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401387" w14:textId="77777777" w:rsidR="00D33D4F" w:rsidRDefault="00D33D4F" w:rsidP="00D33D4F">
      <w:pPr>
        <w:pStyle w:val="Title"/>
      </w:pPr>
      <w:bookmarkStart w:id="0" w:name="_btmrf5omb5nf" w:colFirst="0" w:colLast="0"/>
      <w:bookmarkEnd w:id="0"/>
    </w:p>
    <w:p w14:paraId="5BD43B06" w14:textId="77777777" w:rsidR="00D33D4F" w:rsidRDefault="00D33D4F" w:rsidP="00D33D4F">
      <w:pPr>
        <w:pStyle w:val="Title"/>
      </w:pPr>
    </w:p>
    <w:p w14:paraId="005CBDD6" w14:textId="25A292D4" w:rsidR="00500318" w:rsidRPr="003463B7" w:rsidRDefault="00734995" w:rsidP="00D33D4F">
      <w:pPr>
        <w:pStyle w:val="Title"/>
        <w:rPr>
          <w:sz w:val="36"/>
          <w:szCs w:val="36"/>
        </w:rPr>
      </w:pPr>
      <w:r>
        <w:t xml:space="preserve"> </w:t>
      </w:r>
      <w:r w:rsidR="00D33D4F">
        <w:t xml:space="preserve"> </w:t>
      </w:r>
      <w:r w:rsidR="007D071B" w:rsidRPr="003463B7">
        <w:rPr>
          <w:sz w:val="36"/>
          <w:szCs w:val="36"/>
        </w:rPr>
        <w:t xml:space="preserve">Strategic Management and Sustainability </w:t>
      </w:r>
      <w:r w:rsidR="00D33D4F" w:rsidRPr="003463B7">
        <w:rPr>
          <w:sz w:val="36"/>
          <w:szCs w:val="36"/>
        </w:rPr>
        <w:t>(LCBB6004)</w:t>
      </w:r>
    </w:p>
    <w:p w14:paraId="1A232CC9" w14:textId="77777777" w:rsidR="00D33D4F" w:rsidRDefault="00D33D4F" w:rsidP="00D33D4F"/>
    <w:p w14:paraId="278BDD72" w14:textId="77777777" w:rsidR="00D33D4F" w:rsidRDefault="00D33D4F" w:rsidP="00D33D4F"/>
    <w:p w14:paraId="16E2F8E0" w14:textId="77777777" w:rsidR="00D33D4F" w:rsidRDefault="00D33D4F" w:rsidP="00D33D4F"/>
    <w:p w14:paraId="6DD0814A" w14:textId="7D7829E6" w:rsidR="00D33D4F" w:rsidRPr="003463B7" w:rsidRDefault="00D33D4F" w:rsidP="00D33D4F">
      <w:pPr>
        <w:rPr>
          <w:b/>
          <w:bCs/>
          <w:sz w:val="32"/>
          <w:szCs w:val="32"/>
        </w:rPr>
      </w:pPr>
      <w:r w:rsidRPr="003463B7">
        <w:rPr>
          <w:b/>
          <w:bCs/>
          <w:sz w:val="32"/>
          <w:szCs w:val="32"/>
        </w:rPr>
        <w:t xml:space="preserve">          </w:t>
      </w:r>
      <w:r w:rsidR="00B475AE" w:rsidRPr="003463B7">
        <w:rPr>
          <w:b/>
          <w:bCs/>
          <w:sz w:val="32"/>
          <w:szCs w:val="32"/>
        </w:rPr>
        <w:t xml:space="preserve">Student Name: </w:t>
      </w:r>
      <w:proofErr w:type="spellStart"/>
      <w:r w:rsidR="00B475AE" w:rsidRPr="003463B7">
        <w:rPr>
          <w:b/>
          <w:bCs/>
          <w:sz w:val="32"/>
          <w:szCs w:val="32"/>
        </w:rPr>
        <w:t>Oana</w:t>
      </w:r>
      <w:proofErr w:type="spellEnd"/>
      <w:r w:rsidR="00B475AE" w:rsidRPr="003463B7">
        <w:rPr>
          <w:b/>
          <w:bCs/>
          <w:sz w:val="32"/>
          <w:szCs w:val="32"/>
        </w:rPr>
        <w:t xml:space="preserve"> Florentina </w:t>
      </w:r>
      <w:proofErr w:type="spellStart"/>
      <w:r w:rsidR="00B475AE" w:rsidRPr="003463B7">
        <w:rPr>
          <w:b/>
          <w:bCs/>
          <w:sz w:val="32"/>
          <w:szCs w:val="32"/>
        </w:rPr>
        <w:t>Dumitriu</w:t>
      </w:r>
      <w:proofErr w:type="spellEnd"/>
      <w:r w:rsidR="00B475AE" w:rsidRPr="003463B7">
        <w:rPr>
          <w:b/>
          <w:bCs/>
          <w:sz w:val="32"/>
          <w:szCs w:val="32"/>
        </w:rPr>
        <w:t xml:space="preserve"> (1909491)</w:t>
      </w:r>
    </w:p>
    <w:p w14:paraId="580B4C15" w14:textId="52458658" w:rsidR="00B475AE" w:rsidRPr="003463B7" w:rsidRDefault="00B475AE" w:rsidP="00D33D4F">
      <w:pPr>
        <w:rPr>
          <w:b/>
          <w:bCs/>
          <w:sz w:val="32"/>
          <w:szCs w:val="32"/>
        </w:rPr>
      </w:pPr>
      <w:r w:rsidRPr="003463B7">
        <w:rPr>
          <w:b/>
          <w:bCs/>
          <w:sz w:val="32"/>
          <w:szCs w:val="32"/>
        </w:rPr>
        <w:t xml:space="preserve">          </w:t>
      </w:r>
      <w:r w:rsidR="004D7312" w:rsidRPr="003463B7">
        <w:rPr>
          <w:b/>
          <w:bCs/>
          <w:sz w:val="32"/>
          <w:szCs w:val="32"/>
        </w:rPr>
        <w:t>Assignment Title: Assessment 1</w:t>
      </w:r>
    </w:p>
    <w:p w14:paraId="5C75ACD6" w14:textId="4ADAE0C5" w:rsidR="0009097D" w:rsidRPr="003463B7" w:rsidRDefault="0009097D" w:rsidP="00D33D4F">
      <w:pPr>
        <w:rPr>
          <w:b/>
          <w:bCs/>
          <w:sz w:val="32"/>
          <w:szCs w:val="32"/>
        </w:rPr>
      </w:pPr>
      <w:r w:rsidRPr="003463B7">
        <w:rPr>
          <w:b/>
          <w:bCs/>
          <w:sz w:val="32"/>
          <w:szCs w:val="32"/>
        </w:rPr>
        <w:t xml:space="preserve">          Lecturer: Mary March</w:t>
      </w:r>
    </w:p>
    <w:p w14:paraId="005CBDD7" w14:textId="77777777" w:rsidR="00500318" w:rsidRDefault="007D071B">
      <w:pPr>
        <w:pStyle w:val="Heading1"/>
      </w:pPr>
      <w:bookmarkStart w:id="1" w:name="_7qevb18ejqax" w:colFirst="0" w:colLast="0"/>
      <w:bookmarkEnd w:id="1"/>
      <w:r>
        <w:br w:type="page"/>
      </w:r>
    </w:p>
    <w:bookmarkStart w:id="2" w:name="_i3wtxtx8bebl" w:colFirst="0" w:colLast="0" w:displacedByCustomXml="next"/>
    <w:bookmarkEnd w:id="2" w:displacedByCustomXml="next"/>
    <w:sdt>
      <w:sdtPr>
        <w:rPr>
          <w:rFonts w:ascii="Arial" w:eastAsia="Arial" w:hAnsi="Arial" w:cs="Arial"/>
          <w:b w:val="0"/>
          <w:bCs w:val="0"/>
          <w:color w:val="auto"/>
          <w:sz w:val="22"/>
          <w:szCs w:val="22"/>
          <w:lang w:val="en-IN"/>
        </w:rPr>
        <w:id w:val="44229310"/>
        <w:docPartObj>
          <w:docPartGallery w:val="Table of Contents"/>
          <w:docPartUnique/>
        </w:docPartObj>
      </w:sdtPr>
      <w:sdtEndPr>
        <w:rPr>
          <w:sz w:val="24"/>
          <w:szCs w:val="24"/>
        </w:rPr>
      </w:sdtEndPr>
      <w:sdtContent>
        <w:p w14:paraId="005CBDD8" w14:textId="77777777" w:rsidR="00EF7AA5" w:rsidRPr="00EF7AA5" w:rsidRDefault="00EF7AA5" w:rsidP="00EF7AA5">
          <w:pPr>
            <w:pStyle w:val="TOCHeading"/>
            <w:jc w:val="center"/>
            <w:rPr>
              <w:rFonts w:ascii="Arial" w:hAnsi="Arial" w:cs="Arial"/>
              <w:color w:val="auto"/>
              <w:sz w:val="24"/>
              <w:szCs w:val="24"/>
            </w:rPr>
          </w:pPr>
          <w:r w:rsidRPr="00EF7AA5">
            <w:rPr>
              <w:rFonts w:ascii="Arial" w:hAnsi="Arial" w:cs="Arial"/>
              <w:color w:val="auto"/>
              <w:sz w:val="24"/>
              <w:szCs w:val="24"/>
            </w:rPr>
            <w:t>Table of Contents</w:t>
          </w:r>
        </w:p>
        <w:p w14:paraId="005CBDD9" w14:textId="77777777" w:rsidR="00EF7AA5" w:rsidRPr="004C0A75" w:rsidRDefault="00EF7AA5">
          <w:pPr>
            <w:pStyle w:val="TOC1"/>
            <w:tabs>
              <w:tab w:val="right" w:leader="dot" w:pos="9019"/>
            </w:tabs>
            <w:rPr>
              <w:noProof/>
              <w:sz w:val="24"/>
              <w:szCs w:val="24"/>
            </w:rPr>
          </w:pPr>
          <w:r w:rsidRPr="004C0A75">
            <w:rPr>
              <w:sz w:val="24"/>
              <w:szCs w:val="24"/>
            </w:rPr>
            <w:fldChar w:fldCharType="begin"/>
          </w:r>
          <w:r w:rsidRPr="004C0A75">
            <w:rPr>
              <w:sz w:val="24"/>
              <w:szCs w:val="24"/>
            </w:rPr>
            <w:instrText xml:space="preserve"> TOC \o "1-3" \h \z \u </w:instrText>
          </w:r>
          <w:r w:rsidRPr="004C0A75">
            <w:rPr>
              <w:sz w:val="24"/>
              <w:szCs w:val="24"/>
            </w:rPr>
            <w:fldChar w:fldCharType="separate"/>
          </w:r>
          <w:hyperlink w:anchor="_Toc99829093" w:history="1">
            <w:r w:rsidRPr="004C0A75">
              <w:rPr>
                <w:rStyle w:val="Hyperlink"/>
                <w:noProof/>
                <w:sz w:val="24"/>
                <w:szCs w:val="24"/>
              </w:rPr>
              <w:t>Introduction</w:t>
            </w:r>
            <w:r w:rsidRPr="004C0A75">
              <w:rPr>
                <w:noProof/>
                <w:webHidden/>
                <w:sz w:val="24"/>
                <w:szCs w:val="24"/>
              </w:rPr>
              <w:tab/>
            </w:r>
            <w:r w:rsidRPr="004C0A75">
              <w:rPr>
                <w:noProof/>
                <w:webHidden/>
                <w:sz w:val="24"/>
                <w:szCs w:val="24"/>
              </w:rPr>
              <w:fldChar w:fldCharType="begin"/>
            </w:r>
            <w:r w:rsidRPr="004C0A75">
              <w:rPr>
                <w:noProof/>
                <w:webHidden/>
                <w:sz w:val="24"/>
                <w:szCs w:val="24"/>
              </w:rPr>
              <w:instrText xml:space="preserve"> PAGEREF _Toc99829093 \h </w:instrText>
            </w:r>
            <w:r w:rsidRPr="004C0A75">
              <w:rPr>
                <w:noProof/>
                <w:webHidden/>
                <w:sz w:val="24"/>
                <w:szCs w:val="24"/>
              </w:rPr>
            </w:r>
            <w:r w:rsidRPr="004C0A75">
              <w:rPr>
                <w:noProof/>
                <w:webHidden/>
                <w:sz w:val="24"/>
                <w:szCs w:val="24"/>
              </w:rPr>
              <w:fldChar w:fldCharType="separate"/>
            </w:r>
            <w:r w:rsidRPr="004C0A75">
              <w:rPr>
                <w:noProof/>
                <w:webHidden/>
                <w:sz w:val="24"/>
                <w:szCs w:val="24"/>
              </w:rPr>
              <w:t>3</w:t>
            </w:r>
            <w:r w:rsidRPr="004C0A75">
              <w:rPr>
                <w:noProof/>
                <w:webHidden/>
                <w:sz w:val="24"/>
                <w:szCs w:val="24"/>
              </w:rPr>
              <w:fldChar w:fldCharType="end"/>
            </w:r>
          </w:hyperlink>
        </w:p>
        <w:p w14:paraId="005CBDDA" w14:textId="77777777" w:rsidR="00EF7AA5" w:rsidRPr="004C0A75" w:rsidRDefault="00B16C10">
          <w:pPr>
            <w:pStyle w:val="TOC1"/>
            <w:tabs>
              <w:tab w:val="right" w:leader="dot" w:pos="9019"/>
            </w:tabs>
            <w:rPr>
              <w:noProof/>
              <w:sz w:val="24"/>
              <w:szCs w:val="24"/>
            </w:rPr>
          </w:pPr>
          <w:hyperlink w:anchor="_Toc99829094" w:history="1">
            <w:r w:rsidR="00EF7AA5" w:rsidRPr="004C0A75">
              <w:rPr>
                <w:rStyle w:val="Hyperlink"/>
                <w:noProof/>
                <w:sz w:val="24"/>
                <w:szCs w:val="24"/>
              </w:rPr>
              <w:t>Main body</w:t>
            </w:r>
            <w:r w:rsidR="00EF7AA5" w:rsidRPr="004C0A75">
              <w:rPr>
                <w:noProof/>
                <w:webHidden/>
                <w:sz w:val="24"/>
                <w:szCs w:val="24"/>
              </w:rPr>
              <w:tab/>
            </w:r>
            <w:r w:rsidR="00EF7AA5" w:rsidRPr="004C0A75">
              <w:rPr>
                <w:noProof/>
                <w:webHidden/>
                <w:sz w:val="24"/>
                <w:szCs w:val="24"/>
              </w:rPr>
              <w:fldChar w:fldCharType="begin"/>
            </w:r>
            <w:r w:rsidR="00EF7AA5" w:rsidRPr="004C0A75">
              <w:rPr>
                <w:noProof/>
                <w:webHidden/>
                <w:sz w:val="24"/>
                <w:szCs w:val="24"/>
              </w:rPr>
              <w:instrText xml:space="preserve"> PAGEREF _Toc99829094 \h </w:instrText>
            </w:r>
            <w:r w:rsidR="00EF7AA5" w:rsidRPr="004C0A75">
              <w:rPr>
                <w:noProof/>
                <w:webHidden/>
                <w:sz w:val="24"/>
                <w:szCs w:val="24"/>
              </w:rPr>
            </w:r>
            <w:r w:rsidR="00EF7AA5" w:rsidRPr="004C0A75">
              <w:rPr>
                <w:noProof/>
                <w:webHidden/>
                <w:sz w:val="24"/>
                <w:szCs w:val="24"/>
              </w:rPr>
              <w:fldChar w:fldCharType="separate"/>
            </w:r>
            <w:r w:rsidR="00EF7AA5" w:rsidRPr="004C0A75">
              <w:rPr>
                <w:noProof/>
                <w:webHidden/>
                <w:sz w:val="24"/>
                <w:szCs w:val="24"/>
              </w:rPr>
              <w:t>4</w:t>
            </w:r>
            <w:r w:rsidR="00EF7AA5" w:rsidRPr="004C0A75">
              <w:rPr>
                <w:noProof/>
                <w:webHidden/>
                <w:sz w:val="24"/>
                <w:szCs w:val="24"/>
              </w:rPr>
              <w:fldChar w:fldCharType="end"/>
            </w:r>
          </w:hyperlink>
        </w:p>
        <w:p w14:paraId="005CBDDB" w14:textId="77777777" w:rsidR="00EF7AA5" w:rsidRPr="004C0A75" w:rsidRDefault="00B16C10">
          <w:pPr>
            <w:pStyle w:val="TOC1"/>
            <w:tabs>
              <w:tab w:val="right" w:leader="dot" w:pos="9019"/>
            </w:tabs>
            <w:rPr>
              <w:noProof/>
              <w:sz w:val="24"/>
              <w:szCs w:val="24"/>
            </w:rPr>
          </w:pPr>
          <w:hyperlink w:anchor="_Toc99829095" w:history="1">
            <w:r w:rsidR="00EF7AA5" w:rsidRPr="004C0A75">
              <w:rPr>
                <w:rStyle w:val="Hyperlink"/>
                <w:noProof/>
                <w:sz w:val="24"/>
                <w:szCs w:val="24"/>
              </w:rPr>
              <w:t>Conclusion</w:t>
            </w:r>
            <w:r w:rsidR="00EF7AA5" w:rsidRPr="004C0A75">
              <w:rPr>
                <w:noProof/>
                <w:webHidden/>
                <w:sz w:val="24"/>
                <w:szCs w:val="24"/>
              </w:rPr>
              <w:tab/>
            </w:r>
            <w:r w:rsidR="00EF7AA5" w:rsidRPr="004C0A75">
              <w:rPr>
                <w:noProof/>
                <w:webHidden/>
                <w:sz w:val="24"/>
                <w:szCs w:val="24"/>
              </w:rPr>
              <w:fldChar w:fldCharType="begin"/>
            </w:r>
            <w:r w:rsidR="00EF7AA5" w:rsidRPr="004C0A75">
              <w:rPr>
                <w:noProof/>
                <w:webHidden/>
                <w:sz w:val="24"/>
                <w:szCs w:val="24"/>
              </w:rPr>
              <w:instrText xml:space="preserve"> PAGEREF _Toc99829095 \h </w:instrText>
            </w:r>
            <w:r w:rsidR="00EF7AA5" w:rsidRPr="004C0A75">
              <w:rPr>
                <w:noProof/>
                <w:webHidden/>
                <w:sz w:val="24"/>
                <w:szCs w:val="24"/>
              </w:rPr>
            </w:r>
            <w:r w:rsidR="00EF7AA5" w:rsidRPr="004C0A75">
              <w:rPr>
                <w:noProof/>
                <w:webHidden/>
                <w:sz w:val="24"/>
                <w:szCs w:val="24"/>
              </w:rPr>
              <w:fldChar w:fldCharType="separate"/>
            </w:r>
            <w:r w:rsidR="00EF7AA5" w:rsidRPr="004C0A75">
              <w:rPr>
                <w:noProof/>
                <w:webHidden/>
                <w:sz w:val="24"/>
                <w:szCs w:val="24"/>
              </w:rPr>
              <w:t>11</w:t>
            </w:r>
            <w:r w:rsidR="00EF7AA5" w:rsidRPr="004C0A75">
              <w:rPr>
                <w:noProof/>
                <w:webHidden/>
                <w:sz w:val="24"/>
                <w:szCs w:val="24"/>
              </w:rPr>
              <w:fldChar w:fldCharType="end"/>
            </w:r>
          </w:hyperlink>
        </w:p>
        <w:p w14:paraId="005CBDDC" w14:textId="77777777" w:rsidR="00EF7AA5" w:rsidRPr="004C0A75" w:rsidRDefault="00B16C10">
          <w:pPr>
            <w:pStyle w:val="TOC1"/>
            <w:tabs>
              <w:tab w:val="right" w:leader="dot" w:pos="9019"/>
            </w:tabs>
            <w:rPr>
              <w:noProof/>
              <w:sz w:val="24"/>
              <w:szCs w:val="24"/>
            </w:rPr>
          </w:pPr>
          <w:hyperlink w:anchor="_Toc99829096" w:history="1">
            <w:r w:rsidR="00EF7AA5" w:rsidRPr="004C0A75">
              <w:rPr>
                <w:rStyle w:val="Hyperlink"/>
                <w:noProof/>
                <w:sz w:val="24"/>
                <w:szCs w:val="24"/>
              </w:rPr>
              <w:t>Reference</w:t>
            </w:r>
            <w:r w:rsidR="00EF7AA5" w:rsidRPr="004C0A75">
              <w:rPr>
                <w:noProof/>
                <w:webHidden/>
                <w:sz w:val="24"/>
                <w:szCs w:val="24"/>
              </w:rPr>
              <w:tab/>
            </w:r>
            <w:r w:rsidR="00EF7AA5" w:rsidRPr="004C0A75">
              <w:rPr>
                <w:noProof/>
                <w:webHidden/>
                <w:sz w:val="24"/>
                <w:szCs w:val="24"/>
              </w:rPr>
              <w:fldChar w:fldCharType="begin"/>
            </w:r>
            <w:r w:rsidR="00EF7AA5" w:rsidRPr="004C0A75">
              <w:rPr>
                <w:noProof/>
                <w:webHidden/>
                <w:sz w:val="24"/>
                <w:szCs w:val="24"/>
              </w:rPr>
              <w:instrText xml:space="preserve"> PAGEREF _Toc99829096 \h </w:instrText>
            </w:r>
            <w:r w:rsidR="00EF7AA5" w:rsidRPr="004C0A75">
              <w:rPr>
                <w:noProof/>
                <w:webHidden/>
                <w:sz w:val="24"/>
                <w:szCs w:val="24"/>
              </w:rPr>
            </w:r>
            <w:r w:rsidR="00EF7AA5" w:rsidRPr="004C0A75">
              <w:rPr>
                <w:noProof/>
                <w:webHidden/>
                <w:sz w:val="24"/>
                <w:szCs w:val="24"/>
              </w:rPr>
              <w:fldChar w:fldCharType="separate"/>
            </w:r>
            <w:r w:rsidR="00EF7AA5" w:rsidRPr="004C0A75">
              <w:rPr>
                <w:noProof/>
                <w:webHidden/>
                <w:sz w:val="24"/>
                <w:szCs w:val="24"/>
              </w:rPr>
              <w:t>12</w:t>
            </w:r>
            <w:r w:rsidR="00EF7AA5" w:rsidRPr="004C0A75">
              <w:rPr>
                <w:noProof/>
                <w:webHidden/>
                <w:sz w:val="24"/>
                <w:szCs w:val="24"/>
              </w:rPr>
              <w:fldChar w:fldCharType="end"/>
            </w:r>
          </w:hyperlink>
        </w:p>
        <w:p w14:paraId="005CBDDD" w14:textId="77777777" w:rsidR="00EF7AA5" w:rsidRPr="004C0A75" w:rsidRDefault="00EF7AA5">
          <w:pPr>
            <w:rPr>
              <w:sz w:val="24"/>
              <w:szCs w:val="24"/>
            </w:rPr>
          </w:pPr>
          <w:r w:rsidRPr="004C0A75">
            <w:rPr>
              <w:sz w:val="24"/>
              <w:szCs w:val="24"/>
            </w:rPr>
            <w:fldChar w:fldCharType="end"/>
          </w:r>
        </w:p>
      </w:sdtContent>
    </w:sdt>
    <w:p w14:paraId="005CBDDE" w14:textId="77777777" w:rsidR="00EF7AA5" w:rsidRPr="004C0A75" w:rsidRDefault="00EF7AA5">
      <w:pPr>
        <w:rPr>
          <w:b/>
          <w:sz w:val="24"/>
          <w:szCs w:val="24"/>
        </w:rPr>
      </w:pPr>
      <w:r w:rsidRPr="004C0A75">
        <w:rPr>
          <w:sz w:val="24"/>
          <w:szCs w:val="24"/>
        </w:rPr>
        <w:br w:type="page"/>
      </w:r>
    </w:p>
    <w:p w14:paraId="005CBDDF" w14:textId="77777777" w:rsidR="00500318" w:rsidRPr="004C0A75" w:rsidRDefault="007D071B">
      <w:pPr>
        <w:pStyle w:val="Heading1"/>
        <w:rPr>
          <w:sz w:val="24"/>
          <w:szCs w:val="24"/>
        </w:rPr>
      </w:pPr>
      <w:bookmarkStart w:id="3" w:name="_Toc99829093"/>
      <w:r w:rsidRPr="004C0A75">
        <w:rPr>
          <w:sz w:val="24"/>
          <w:szCs w:val="24"/>
        </w:rPr>
        <w:lastRenderedPageBreak/>
        <w:t>Introduction</w:t>
      </w:r>
      <w:bookmarkEnd w:id="3"/>
    </w:p>
    <w:p w14:paraId="005CBDE0" w14:textId="77777777" w:rsidR="00500318" w:rsidRPr="004C0A75" w:rsidRDefault="007D071B">
      <w:pPr>
        <w:rPr>
          <w:sz w:val="24"/>
          <w:szCs w:val="24"/>
        </w:rPr>
      </w:pPr>
      <w:r w:rsidRPr="004C0A75">
        <w:rPr>
          <w:sz w:val="24"/>
          <w:szCs w:val="24"/>
        </w:rPr>
        <w:t xml:space="preserve">It all started with the discovery of oil in Persia in 1908, British Petroleum (BP) was always about transitions starting from coal to oil and from oil to gas, starting from onshore to deep water. Presently it focuses on the new mix related to energy sources, with the world gradually moving towards a lower-carbon future. The Haulage industry of Britain has undergone a lot of changes in recent history. During the late 19th century, the industrial revolution took place when steam engines were the only way to undertake haulage jobs. John Thorny craft developed the "first steam vehicle" in 1895 and received a huge demand for those cars, due to fewer limitations on the regulation the transportation of goods via road became common and this gave birth to the UK haulage industry. However recently the crisis of fuel that the UK is facing is taking place due to the shortage of HGV drivers who are responsible for the supply of fuel. For that matter, both the BP and haulage industry is in trouble. In the below context, a discussion will be made on the "evidence related to the UK and global haulage industry" with the help of various frameworks. Further, the competitive environment of BP will be highlighted.    </w:t>
      </w:r>
    </w:p>
    <w:p w14:paraId="005CBDE1" w14:textId="77777777" w:rsidR="00500318" w:rsidRPr="004C0A75" w:rsidRDefault="00500318">
      <w:pPr>
        <w:rPr>
          <w:sz w:val="24"/>
          <w:szCs w:val="24"/>
        </w:rPr>
      </w:pPr>
    </w:p>
    <w:p w14:paraId="005CBDE2" w14:textId="77777777" w:rsidR="00500318" w:rsidRPr="004C0A75" w:rsidRDefault="00500318">
      <w:pPr>
        <w:rPr>
          <w:sz w:val="24"/>
          <w:szCs w:val="24"/>
        </w:rPr>
      </w:pPr>
    </w:p>
    <w:p w14:paraId="005CBDE3" w14:textId="77777777" w:rsidR="00500318" w:rsidRPr="004C0A75" w:rsidRDefault="007D071B">
      <w:pPr>
        <w:pStyle w:val="Heading1"/>
        <w:rPr>
          <w:sz w:val="24"/>
          <w:szCs w:val="24"/>
        </w:rPr>
      </w:pPr>
      <w:bookmarkStart w:id="4" w:name="_3g1np9mbm579" w:colFirst="0" w:colLast="0"/>
      <w:bookmarkEnd w:id="4"/>
      <w:r w:rsidRPr="004C0A75">
        <w:rPr>
          <w:sz w:val="24"/>
          <w:szCs w:val="24"/>
        </w:rPr>
        <w:br w:type="page"/>
      </w:r>
    </w:p>
    <w:p w14:paraId="005CBDE4" w14:textId="77777777" w:rsidR="00500318" w:rsidRPr="004C0A75" w:rsidRDefault="007D071B">
      <w:pPr>
        <w:pStyle w:val="Heading1"/>
        <w:rPr>
          <w:sz w:val="24"/>
          <w:szCs w:val="24"/>
        </w:rPr>
      </w:pPr>
      <w:bookmarkStart w:id="5" w:name="_2hl11mvkrv6z" w:colFirst="0" w:colLast="0"/>
      <w:bookmarkStart w:id="6" w:name="_Toc99829094"/>
      <w:bookmarkEnd w:id="5"/>
      <w:r w:rsidRPr="004C0A75">
        <w:rPr>
          <w:sz w:val="24"/>
          <w:szCs w:val="24"/>
        </w:rPr>
        <w:lastRenderedPageBreak/>
        <w:t>Main body</w:t>
      </w:r>
      <w:bookmarkEnd w:id="6"/>
      <w:r w:rsidRPr="004C0A75">
        <w:rPr>
          <w:sz w:val="24"/>
          <w:szCs w:val="24"/>
        </w:rPr>
        <w:t xml:space="preserve">  </w:t>
      </w:r>
    </w:p>
    <w:p w14:paraId="005CBDE5" w14:textId="77777777" w:rsidR="00500318" w:rsidRPr="004C0A75" w:rsidRDefault="007D071B">
      <w:pPr>
        <w:rPr>
          <w:sz w:val="24"/>
          <w:szCs w:val="24"/>
        </w:rPr>
      </w:pPr>
      <w:r w:rsidRPr="004C0A75">
        <w:rPr>
          <w:b/>
          <w:sz w:val="24"/>
          <w:szCs w:val="24"/>
        </w:rPr>
        <w:t xml:space="preserve">PESTLE analysis </w:t>
      </w:r>
      <w:r w:rsidRPr="004C0A75">
        <w:rPr>
          <w:sz w:val="24"/>
          <w:szCs w:val="24"/>
        </w:rPr>
        <w:t xml:space="preserve">significantly explains the political, </w:t>
      </w:r>
      <w:proofErr w:type="spellStart"/>
      <w:r w:rsidRPr="004C0A75">
        <w:rPr>
          <w:sz w:val="24"/>
          <w:szCs w:val="24"/>
        </w:rPr>
        <w:t>economical</w:t>
      </w:r>
      <w:proofErr w:type="spellEnd"/>
      <w:r w:rsidRPr="004C0A75">
        <w:rPr>
          <w:sz w:val="24"/>
          <w:szCs w:val="24"/>
        </w:rPr>
        <w:t xml:space="preserve">, social, technological, legal and environmental factors affecting the BP and haulage industry of the UK. </w:t>
      </w:r>
      <w:r w:rsidRPr="004C0A75">
        <w:rPr>
          <w:b/>
          <w:sz w:val="24"/>
          <w:szCs w:val="24"/>
        </w:rPr>
        <w:t>Political factors</w:t>
      </w:r>
      <w:r w:rsidRPr="004C0A75">
        <w:rPr>
          <w:sz w:val="24"/>
          <w:szCs w:val="24"/>
        </w:rPr>
        <w:t xml:space="preserve"> being that the Government has been insisting that the supply shortage issue that took place due to the pandemic is a temporary situation and that will be resolved with long term training. According to Grant </w:t>
      </w:r>
      <w:proofErr w:type="spellStart"/>
      <w:r w:rsidRPr="004C0A75">
        <w:rPr>
          <w:sz w:val="24"/>
          <w:szCs w:val="24"/>
        </w:rPr>
        <w:t>Shapps</w:t>
      </w:r>
      <w:proofErr w:type="spellEnd"/>
      <w:r w:rsidRPr="004C0A75">
        <w:rPr>
          <w:sz w:val="24"/>
          <w:szCs w:val="24"/>
        </w:rPr>
        <w:t xml:space="preserve"> (Transport Secretary of the UK), </w:t>
      </w:r>
      <w:r w:rsidRPr="004C0A75">
        <w:rPr>
          <w:b/>
          <w:i/>
          <w:sz w:val="24"/>
          <w:szCs w:val="24"/>
        </w:rPr>
        <w:t xml:space="preserve">the government is intended to make various regulatory reforms to boost the number of drivers </w:t>
      </w:r>
      <w:r w:rsidRPr="004C0A75">
        <w:rPr>
          <w:sz w:val="24"/>
          <w:szCs w:val="24"/>
        </w:rPr>
        <w:t xml:space="preserve">(Automotive Logistics, 2022). It also aims to carry out nearly 30,000 HGV tests every year and the length of those tests will shorten with every year. As the driver shortage aggravates various issues like lack of goods supply in the UK, for that matter the government will be issuing temporary visas for three months for the EU truck drivers in order to make up for the deficit. </w:t>
      </w:r>
    </w:p>
    <w:p w14:paraId="005CBDE6" w14:textId="77777777" w:rsidR="00500318" w:rsidRPr="004C0A75" w:rsidRDefault="007D071B">
      <w:pPr>
        <w:rPr>
          <w:b/>
          <w:sz w:val="24"/>
          <w:szCs w:val="24"/>
        </w:rPr>
      </w:pPr>
      <w:r w:rsidRPr="004C0A75">
        <w:rPr>
          <w:sz w:val="24"/>
          <w:szCs w:val="24"/>
        </w:rPr>
        <w:t xml:space="preserve">Regarding the </w:t>
      </w:r>
      <w:r w:rsidRPr="004C0A75">
        <w:rPr>
          <w:b/>
          <w:sz w:val="24"/>
          <w:szCs w:val="24"/>
        </w:rPr>
        <w:t>economic factors,</w:t>
      </w:r>
      <w:r w:rsidRPr="004C0A75">
        <w:rPr>
          <w:sz w:val="24"/>
          <w:szCs w:val="24"/>
        </w:rPr>
        <w:t xml:space="preserve"> the essential goods were efficiently moving during the first wave of the pandemic, however, the implication of lockdown on the non-essential items led to a situation where many drivers had no goods to deliver. That has significantly slowed down the uptake which was unlikely to have arrived from the drivers of the new generation (Sperry </w:t>
      </w:r>
      <w:r w:rsidRPr="004C0A75">
        <w:rPr>
          <w:i/>
          <w:sz w:val="24"/>
          <w:szCs w:val="24"/>
        </w:rPr>
        <w:t>et al</w:t>
      </w:r>
      <w:r w:rsidRPr="004C0A75">
        <w:rPr>
          <w:sz w:val="24"/>
          <w:szCs w:val="24"/>
        </w:rPr>
        <w:t xml:space="preserve">., 2022). Apart from that, Brexit was another economic factor that has caused problems like the disruption of shipments that took place between the EU and the UK and also between Northern Ireland and Great Britain. In terms of </w:t>
      </w:r>
      <w:r w:rsidRPr="004C0A75">
        <w:rPr>
          <w:b/>
          <w:sz w:val="24"/>
          <w:szCs w:val="24"/>
        </w:rPr>
        <w:t xml:space="preserve">social factors, </w:t>
      </w:r>
      <w:r w:rsidRPr="004C0A75">
        <w:rPr>
          <w:sz w:val="24"/>
          <w:szCs w:val="24"/>
        </w:rPr>
        <w:t xml:space="preserve">several petrol stations were forced to shut down after the "nationwide shortage of HGV drivers" left the forecourts with no supply. According to BP, </w:t>
      </w:r>
      <w:r w:rsidRPr="004C0A75">
        <w:rPr>
          <w:b/>
          <w:i/>
          <w:sz w:val="24"/>
          <w:szCs w:val="24"/>
        </w:rPr>
        <w:t xml:space="preserve">nearly 100 of the forecourts were short one grade of fuel and many were forced to shut down due to the lack of deliveries </w:t>
      </w:r>
      <w:r w:rsidRPr="004C0A75">
        <w:rPr>
          <w:sz w:val="24"/>
          <w:szCs w:val="24"/>
        </w:rPr>
        <w:t xml:space="preserve">(Automotive Logistics, 2022). Long queues were formed at some of the petrol </w:t>
      </w:r>
      <w:r w:rsidRPr="004C0A75">
        <w:rPr>
          <w:sz w:val="24"/>
          <w:szCs w:val="24"/>
        </w:rPr>
        <w:lastRenderedPageBreak/>
        <w:t xml:space="preserve">stations in Kent and London due to the rush of the motorists to fill up the empty tank. However, according to Downing Street, there was no fuel shortage and developments were just made to put pressure on the ministers who were already under pressure to ease the shortages in the supply chain during Brexit and the pandemic. </w:t>
      </w:r>
      <w:r w:rsidRPr="004C0A75">
        <w:rPr>
          <w:b/>
          <w:sz w:val="24"/>
          <w:szCs w:val="24"/>
        </w:rPr>
        <w:t>Technological factors</w:t>
      </w:r>
      <w:r w:rsidRPr="004C0A75">
        <w:rPr>
          <w:sz w:val="24"/>
          <w:szCs w:val="24"/>
        </w:rPr>
        <w:t xml:space="preserve">, on the other hand, move rapidly for the emergence of new ideas or approaches. It is particularly evident in the world of energy wherein the evolution taking place in technology is directly connected with the influences of digital innovation. That takes place with the government policies and customer demands that are changing the company's way of operation. The dual challenge in terms of meeting the growing demand for energy in the process of reducing carbon emissions is constantly generating several ideas. Along with the potential of transforming the production and consumption of energy in the world. The role of the emerging technology is basically to focus on the future outcomes and its impact on BP (Sperry </w:t>
      </w:r>
      <w:r w:rsidRPr="004C0A75">
        <w:rPr>
          <w:i/>
          <w:sz w:val="24"/>
          <w:szCs w:val="24"/>
        </w:rPr>
        <w:t>et al</w:t>
      </w:r>
      <w:r w:rsidRPr="004C0A75">
        <w:rPr>
          <w:sz w:val="24"/>
          <w:szCs w:val="24"/>
        </w:rPr>
        <w:t xml:space="preserve">., 2022). In terms of the haulage industry, the implementation of new technologies is significantly transforming the designs, planning and operation of transportation systems. </w:t>
      </w:r>
      <w:r w:rsidRPr="004C0A75">
        <w:rPr>
          <w:b/>
          <w:sz w:val="24"/>
          <w:szCs w:val="24"/>
        </w:rPr>
        <w:t xml:space="preserve">Legal factors </w:t>
      </w:r>
      <w:r w:rsidRPr="004C0A75">
        <w:rPr>
          <w:sz w:val="24"/>
          <w:szCs w:val="24"/>
        </w:rPr>
        <w:t xml:space="preserve">that have significantly affected was that the exodus of European drivers took place, particularly when the UK left the EU officially. Delays in the Bureaucratic border are also a cost related to the haulage companies who pay their drivers depending on the distance travelled rather than by the hour. Shortage in the HGV drivers was also seen across Europe, where the UK was severely affected by the problem. In terms of environmental factors, BP's new idea of becoming a net-zero company includes the emission of greenhouse gas through its operations. Several companies are focusing on their supply chains in order to bring down their supply chain because of limited HGV drivers and also to reduce their carbon footprints (Wormald, 2020). The train </w:t>
      </w:r>
      <w:r w:rsidRPr="004C0A75">
        <w:rPr>
          <w:sz w:val="24"/>
          <w:szCs w:val="24"/>
        </w:rPr>
        <w:lastRenderedPageBreak/>
        <w:t xml:space="preserve">generally takes nearly "60 HGVs off the road", which is believed to be a huge saving in terms of carbon and is a way of supporting the green agenda along with the "pinch points of getting HGV drivers". </w:t>
      </w:r>
    </w:p>
    <w:p w14:paraId="005CBDE7" w14:textId="77777777" w:rsidR="00500318" w:rsidRPr="004C0A75" w:rsidRDefault="007D071B">
      <w:pPr>
        <w:rPr>
          <w:sz w:val="24"/>
          <w:szCs w:val="24"/>
        </w:rPr>
      </w:pPr>
      <w:r w:rsidRPr="004C0A75">
        <w:rPr>
          <w:sz w:val="24"/>
          <w:szCs w:val="24"/>
        </w:rPr>
        <w:t xml:space="preserve">An </w:t>
      </w:r>
      <w:r w:rsidRPr="004C0A75">
        <w:rPr>
          <w:b/>
          <w:sz w:val="24"/>
          <w:szCs w:val="24"/>
        </w:rPr>
        <w:t>industry life cycle</w:t>
      </w:r>
      <w:r w:rsidRPr="004C0A75">
        <w:rPr>
          <w:sz w:val="24"/>
          <w:szCs w:val="24"/>
        </w:rPr>
        <w:t xml:space="preserve"> of the haulage industry comprising four stages is used to determine the extent of its production. It includes the "introduction stage, the growth stage, the industrial maturity stage and the decline stage". The factors determining the life cycle of the haulage industry are the growth in demand and production. The </w:t>
      </w:r>
      <w:r w:rsidRPr="004C0A75">
        <w:rPr>
          <w:b/>
          <w:sz w:val="24"/>
          <w:szCs w:val="24"/>
        </w:rPr>
        <w:t>introduction stage</w:t>
      </w:r>
      <w:r w:rsidRPr="004C0A75">
        <w:rPr>
          <w:sz w:val="24"/>
          <w:szCs w:val="24"/>
        </w:rPr>
        <w:t xml:space="preserve"> of road haulage begins with it being an essential part of the companies and people in the UK, the competitiveness and productivity of the UK economy are entirely dependent on the road infrastructure and haulage of the road (Wormald, 2020). It is a low margin, highly competitive business and an industry that is entirely driven by the service responding to the customer's fluctuating demand. Between 1903 and 1924, the haulage industry experienced a huge growth of 300%. In the </w:t>
      </w:r>
      <w:r w:rsidRPr="004C0A75">
        <w:rPr>
          <w:b/>
          <w:sz w:val="24"/>
          <w:szCs w:val="24"/>
        </w:rPr>
        <w:t>growth stage</w:t>
      </w:r>
      <w:r w:rsidRPr="004C0A75">
        <w:rPr>
          <w:sz w:val="24"/>
          <w:szCs w:val="24"/>
        </w:rPr>
        <w:t>, almost 98% of the agricultural, food, machinery and consumer products are transported via road in the UK. This sector is believed to be the fifth-largest employer in the UK and grew steadily until WWII. Growth in the economy significantly triggered the demands for goods, therefore, more lorries were required for the transportation of the goods from factories, ports and docks to the rising consumer class (</w:t>
      </w:r>
      <w:proofErr w:type="spellStart"/>
      <w:r w:rsidRPr="004C0A75">
        <w:rPr>
          <w:sz w:val="24"/>
          <w:szCs w:val="24"/>
        </w:rPr>
        <w:t>Bazzana</w:t>
      </w:r>
      <w:proofErr w:type="spellEnd"/>
      <w:r w:rsidRPr="004C0A75">
        <w:rPr>
          <w:sz w:val="24"/>
          <w:szCs w:val="24"/>
        </w:rPr>
        <w:t xml:space="preserve"> </w:t>
      </w:r>
      <w:r w:rsidRPr="004C0A75">
        <w:rPr>
          <w:i/>
          <w:sz w:val="24"/>
          <w:szCs w:val="24"/>
        </w:rPr>
        <w:t>et al.,</w:t>
      </w:r>
      <w:r w:rsidRPr="004C0A75">
        <w:rPr>
          <w:sz w:val="24"/>
          <w:szCs w:val="24"/>
        </w:rPr>
        <w:t xml:space="preserve"> 2022). The </w:t>
      </w:r>
      <w:r w:rsidRPr="004C0A75">
        <w:rPr>
          <w:b/>
          <w:sz w:val="24"/>
          <w:szCs w:val="24"/>
        </w:rPr>
        <w:t>maturity stage</w:t>
      </w:r>
      <w:r w:rsidRPr="004C0A75">
        <w:rPr>
          <w:sz w:val="24"/>
          <w:szCs w:val="24"/>
        </w:rPr>
        <w:t xml:space="preserve"> of the industry took place when the use of GPS, computers, mobile, electronic vehicle logs and electronic tolling helped revolutionise logistics. Wherein, along with locating the truck managers were able to optimise routes using data related to real-time traffic, setting up geofences that alert while nearing the destination. It has also enabled tracking the driver's hours automatically, </w:t>
      </w:r>
      <w:r w:rsidR="00EF7AA5" w:rsidRPr="004C0A75">
        <w:rPr>
          <w:sz w:val="24"/>
          <w:szCs w:val="24"/>
        </w:rPr>
        <w:t>fuelling</w:t>
      </w:r>
      <w:r w:rsidRPr="004C0A75">
        <w:rPr>
          <w:sz w:val="24"/>
          <w:szCs w:val="24"/>
        </w:rPr>
        <w:t xml:space="preserve"> information related to tax reporting along with improved utilisation of the vehicle. The </w:t>
      </w:r>
      <w:r w:rsidRPr="004C0A75">
        <w:rPr>
          <w:b/>
          <w:sz w:val="24"/>
          <w:szCs w:val="24"/>
        </w:rPr>
        <w:t>decline stage</w:t>
      </w:r>
      <w:r w:rsidRPr="004C0A75">
        <w:rPr>
          <w:sz w:val="24"/>
          <w:szCs w:val="24"/>
        </w:rPr>
        <w:t xml:space="preserve"> occurred when the industry </w:t>
      </w:r>
      <w:r w:rsidRPr="004C0A75">
        <w:rPr>
          <w:sz w:val="24"/>
          <w:szCs w:val="24"/>
        </w:rPr>
        <w:lastRenderedPageBreak/>
        <w:t xml:space="preserve">was hit by the impact of Covid-19 and Brexit, the key issues included the disruption of shipments due to the shortfall of truck drivers (Doherty and Smith, 2020). It affected various other sectors and the one that was extremely affected was BP due to which many petrol </w:t>
      </w:r>
      <w:r w:rsidR="00EF7AA5" w:rsidRPr="004C0A75">
        <w:rPr>
          <w:sz w:val="24"/>
          <w:szCs w:val="24"/>
        </w:rPr>
        <w:t>stations</w:t>
      </w:r>
      <w:r w:rsidRPr="004C0A75">
        <w:rPr>
          <w:sz w:val="24"/>
          <w:szCs w:val="24"/>
        </w:rPr>
        <w:t xml:space="preserve"> were shut down entirely and the few that operated had to face various challenges reading the limited supply and long queues.     </w:t>
      </w:r>
    </w:p>
    <w:p w14:paraId="005CBDE8" w14:textId="77777777" w:rsidR="00500318" w:rsidRPr="004C0A75" w:rsidRDefault="00EF7AA5">
      <w:pPr>
        <w:rPr>
          <w:b/>
          <w:sz w:val="24"/>
          <w:szCs w:val="24"/>
        </w:rPr>
      </w:pPr>
      <w:r w:rsidRPr="004C0A75">
        <w:rPr>
          <w:b/>
          <w:sz w:val="24"/>
          <w:szCs w:val="24"/>
        </w:rPr>
        <w:t>Strategic Group</w:t>
      </w:r>
      <w:r w:rsidR="007D071B" w:rsidRPr="004C0A75">
        <w:rPr>
          <w:b/>
          <w:sz w:val="24"/>
          <w:szCs w:val="24"/>
        </w:rPr>
        <w:t xml:space="preserve"> analysis</w:t>
      </w:r>
    </w:p>
    <w:tbl>
      <w:tblPr>
        <w:tblStyle w:val="Table1"/>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1"/>
        <w:gridCol w:w="2220"/>
        <w:gridCol w:w="2279"/>
        <w:gridCol w:w="2279"/>
      </w:tblGrid>
      <w:tr w:rsidR="00500318" w:rsidRPr="004C0A75" w14:paraId="005CBDED" w14:textId="77777777">
        <w:trPr>
          <w:cantSplit/>
          <w:tblHeader/>
        </w:trPr>
        <w:tc>
          <w:tcPr>
            <w:tcW w:w="2250" w:type="dxa"/>
            <w:shd w:val="clear" w:color="auto" w:fill="auto"/>
            <w:tcMar>
              <w:top w:w="100" w:type="dxa"/>
              <w:left w:w="100" w:type="dxa"/>
              <w:bottom w:w="100" w:type="dxa"/>
              <w:right w:w="100" w:type="dxa"/>
            </w:tcMar>
          </w:tcPr>
          <w:p w14:paraId="005CBDE9" w14:textId="77777777" w:rsidR="00500318" w:rsidRPr="004C0A75" w:rsidRDefault="007D071B">
            <w:pPr>
              <w:widowControl w:val="0"/>
              <w:pBdr>
                <w:top w:val="nil"/>
                <w:left w:val="nil"/>
                <w:bottom w:val="nil"/>
                <w:right w:val="nil"/>
                <w:between w:val="nil"/>
              </w:pBdr>
              <w:spacing w:line="240" w:lineRule="auto"/>
              <w:jc w:val="center"/>
              <w:rPr>
                <w:b/>
                <w:sz w:val="24"/>
                <w:szCs w:val="24"/>
              </w:rPr>
            </w:pPr>
            <w:r w:rsidRPr="004C0A75">
              <w:rPr>
                <w:b/>
                <w:sz w:val="24"/>
                <w:szCs w:val="24"/>
              </w:rPr>
              <w:t>Strategies</w:t>
            </w:r>
          </w:p>
        </w:tc>
        <w:tc>
          <w:tcPr>
            <w:tcW w:w="2220" w:type="dxa"/>
            <w:shd w:val="clear" w:color="auto" w:fill="auto"/>
            <w:tcMar>
              <w:top w:w="100" w:type="dxa"/>
              <w:left w:w="100" w:type="dxa"/>
              <w:bottom w:w="100" w:type="dxa"/>
              <w:right w:w="100" w:type="dxa"/>
            </w:tcMar>
          </w:tcPr>
          <w:p w14:paraId="005CBDEA" w14:textId="77777777" w:rsidR="00500318" w:rsidRPr="004C0A75" w:rsidRDefault="007D071B">
            <w:pPr>
              <w:widowControl w:val="0"/>
              <w:pBdr>
                <w:top w:val="nil"/>
                <w:left w:val="nil"/>
                <w:bottom w:val="nil"/>
                <w:right w:val="nil"/>
                <w:between w:val="nil"/>
              </w:pBdr>
              <w:spacing w:line="240" w:lineRule="auto"/>
              <w:jc w:val="center"/>
              <w:rPr>
                <w:b/>
                <w:sz w:val="24"/>
                <w:szCs w:val="24"/>
              </w:rPr>
            </w:pPr>
            <w:r w:rsidRPr="004C0A75">
              <w:rPr>
                <w:b/>
                <w:sz w:val="24"/>
                <w:szCs w:val="24"/>
              </w:rPr>
              <w:t xml:space="preserve">British Petroleum </w:t>
            </w:r>
          </w:p>
        </w:tc>
        <w:tc>
          <w:tcPr>
            <w:tcW w:w="2279" w:type="dxa"/>
            <w:shd w:val="clear" w:color="auto" w:fill="auto"/>
            <w:tcMar>
              <w:top w:w="100" w:type="dxa"/>
              <w:left w:w="100" w:type="dxa"/>
              <w:bottom w:w="100" w:type="dxa"/>
              <w:right w:w="100" w:type="dxa"/>
            </w:tcMar>
          </w:tcPr>
          <w:p w14:paraId="005CBDEB" w14:textId="77777777" w:rsidR="00500318" w:rsidRPr="004C0A75" w:rsidRDefault="007D071B">
            <w:pPr>
              <w:widowControl w:val="0"/>
              <w:pBdr>
                <w:top w:val="nil"/>
                <w:left w:val="nil"/>
                <w:bottom w:val="nil"/>
                <w:right w:val="nil"/>
                <w:between w:val="nil"/>
              </w:pBdr>
              <w:spacing w:line="240" w:lineRule="auto"/>
              <w:jc w:val="center"/>
              <w:rPr>
                <w:b/>
                <w:sz w:val="24"/>
                <w:szCs w:val="24"/>
              </w:rPr>
            </w:pPr>
            <w:proofErr w:type="spellStart"/>
            <w:r w:rsidRPr="004C0A75">
              <w:rPr>
                <w:b/>
                <w:sz w:val="24"/>
                <w:szCs w:val="24"/>
              </w:rPr>
              <w:t>TotalEnergies</w:t>
            </w:r>
            <w:proofErr w:type="spellEnd"/>
          </w:p>
        </w:tc>
        <w:tc>
          <w:tcPr>
            <w:tcW w:w="2279" w:type="dxa"/>
            <w:shd w:val="clear" w:color="auto" w:fill="auto"/>
            <w:tcMar>
              <w:top w:w="100" w:type="dxa"/>
              <w:left w:w="100" w:type="dxa"/>
              <w:bottom w:w="100" w:type="dxa"/>
              <w:right w:w="100" w:type="dxa"/>
            </w:tcMar>
          </w:tcPr>
          <w:p w14:paraId="005CBDEC" w14:textId="77777777" w:rsidR="00500318" w:rsidRPr="004C0A75" w:rsidRDefault="007D071B">
            <w:pPr>
              <w:widowControl w:val="0"/>
              <w:pBdr>
                <w:top w:val="nil"/>
                <w:left w:val="nil"/>
                <w:bottom w:val="nil"/>
                <w:right w:val="nil"/>
                <w:between w:val="nil"/>
              </w:pBdr>
              <w:spacing w:line="240" w:lineRule="auto"/>
              <w:jc w:val="center"/>
              <w:rPr>
                <w:b/>
                <w:sz w:val="24"/>
                <w:szCs w:val="24"/>
              </w:rPr>
            </w:pPr>
            <w:r w:rsidRPr="004C0A75">
              <w:rPr>
                <w:b/>
                <w:sz w:val="24"/>
                <w:szCs w:val="24"/>
              </w:rPr>
              <w:t>Eni</w:t>
            </w:r>
          </w:p>
        </w:tc>
      </w:tr>
      <w:tr w:rsidR="00500318" w:rsidRPr="004C0A75" w14:paraId="005CBDF2" w14:textId="77777777">
        <w:trPr>
          <w:cantSplit/>
          <w:tblHeader/>
        </w:trPr>
        <w:tc>
          <w:tcPr>
            <w:tcW w:w="2250" w:type="dxa"/>
            <w:shd w:val="clear" w:color="auto" w:fill="auto"/>
            <w:tcMar>
              <w:top w:w="100" w:type="dxa"/>
              <w:left w:w="100" w:type="dxa"/>
              <w:bottom w:w="100" w:type="dxa"/>
              <w:right w:w="100" w:type="dxa"/>
            </w:tcMar>
          </w:tcPr>
          <w:p w14:paraId="005CBDEE" w14:textId="77777777" w:rsidR="00500318" w:rsidRPr="004C0A75" w:rsidRDefault="007D071B">
            <w:pPr>
              <w:widowControl w:val="0"/>
              <w:pBdr>
                <w:top w:val="nil"/>
                <w:left w:val="nil"/>
                <w:bottom w:val="nil"/>
                <w:right w:val="nil"/>
                <w:between w:val="nil"/>
              </w:pBdr>
              <w:spacing w:line="240" w:lineRule="auto"/>
              <w:jc w:val="left"/>
              <w:rPr>
                <w:b/>
                <w:sz w:val="24"/>
                <w:szCs w:val="24"/>
              </w:rPr>
            </w:pPr>
            <w:r w:rsidRPr="004C0A75">
              <w:rPr>
                <w:b/>
                <w:sz w:val="24"/>
                <w:szCs w:val="24"/>
              </w:rPr>
              <w:t>Unique selling proposition</w:t>
            </w:r>
          </w:p>
        </w:tc>
        <w:tc>
          <w:tcPr>
            <w:tcW w:w="2220" w:type="dxa"/>
            <w:shd w:val="clear" w:color="auto" w:fill="auto"/>
            <w:tcMar>
              <w:top w:w="100" w:type="dxa"/>
              <w:left w:w="100" w:type="dxa"/>
              <w:bottom w:w="100" w:type="dxa"/>
              <w:right w:w="100" w:type="dxa"/>
            </w:tcMar>
          </w:tcPr>
          <w:p w14:paraId="005CBDEF" w14:textId="77777777" w:rsidR="00500318" w:rsidRPr="004C0A75" w:rsidRDefault="007D071B">
            <w:pPr>
              <w:widowControl w:val="0"/>
              <w:pBdr>
                <w:top w:val="nil"/>
                <w:left w:val="nil"/>
                <w:bottom w:val="nil"/>
                <w:right w:val="nil"/>
                <w:between w:val="nil"/>
              </w:pBdr>
              <w:spacing w:line="240" w:lineRule="auto"/>
              <w:jc w:val="left"/>
              <w:rPr>
                <w:sz w:val="24"/>
                <w:szCs w:val="24"/>
              </w:rPr>
            </w:pPr>
            <w:r w:rsidRPr="004C0A75">
              <w:rPr>
                <w:sz w:val="24"/>
                <w:szCs w:val="24"/>
              </w:rPr>
              <w:t xml:space="preserve">BP is an oil as well as petrochemical company that mostly operates downstream, upstream along with renewable businesses. </w:t>
            </w:r>
          </w:p>
        </w:tc>
        <w:tc>
          <w:tcPr>
            <w:tcW w:w="2279" w:type="dxa"/>
            <w:shd w:val="clear" w:color="auto" w:fill="auto"/>
            <w:tcMar>
              <w:top w:w="100" w:type="dxa"/>
              <w:left w:w="100" w:type="dxa"/>
              <w:bottom w:w="100" w:type="dxa"/>
              <w:right w:w="100" w:type="dxa"/>
            </w:tcMar>
          </w:tcPr>
          <w:p w14:paraId="005CBDF0" w14:textId="77777777" w:rsidR="00500318" w:rsidRPr="004C0A75" w:rsidRDefault="007D071B">
            <w:pPr>
              <w:widowControl w:val="0"/>
              <w:pBdr>
                <w:top w:val="nil"/>
                <w:left w:val="nil"/>
                <w:bottom w:val="nil"/>
                <w:right w:val="nil"/>
                <w:between w:val="nil"/>
              </w:pBdr>
              <w:spacing w:line="240" w:lineRule="auto"/>
              <w:jc w:val="left"/>
              <w:rPr>
                <w:sz w:val="24"/>
                <w:szCs w:val="24"/>
              </w:rPr>
            </w:pPr>
            <w:r w:rsidRPr="004C0A75">
              <w:rPr>
                <w:sz w:val="24"/>
                <w:szCs w:val="24"/>
              </w:rPr>
              <w:t>It is a gas and integrated oil company that markets and produces fuels, low carbon electricity and natural gas</w:t>
            </w:r>
          </w:p>
        </w:tc>
        <w:tc>
          <w:tcPr>
            <w:tcW w:w="2279" w:type="dxa"/>
            <w:shd w:val="clear" w:color="auto" w:fill="auto"/>
            <w:tcMar>
              <w:top w:w="100" w:type="dxa"/>
              <w:left w:w="100" w:type="dxa"/>
              <w:bottom w:w="100" w:type="dxa"/>
              <w:right w:w="100" w:type="dxa"/>
            </w:tcMar>
          </w:tcPr>
          <w:p w14:paraId="005CBDF1" w14:textId="77777777" w:rsidR="00500318" w:rsidRPr="004C0A75" w:rsidRDefault="007D071B">
            <w:pPr>
              <w:widowControl w:val="0"/>
              <w:pBdr>
                <w:top w:val="nil"/>
                <w:left w:val="nil"/>
                <w:bottom w:val="nil"/>
                <w:right w:val="nil"/>
                <w:between w:val="nil"/>
              </w:pBdr>
              <w:spacing w:line="240" w:lineRule="auto"/>
              <w:jc w:val="left"/>
              <w:rPr>
                <w:sz w:val="24"/>
                <w:szCs w:val="24"/>
              </w:rPr>
            </w:pPr>
            <w:r w:rsidRPr="004C0A75">
              <w:rPr>
                <w:sz w:val="24"/>
                <w:szCs w:val="24"/>
              </w:rPr>
              <w:t xml:space="preserve">It is an “integrated energy company” engaged in natural gas and oil exploration, production and field development. It also deals with trading, supply and shipping of electricity, natural gas, chemical products, liquified natural gas and fuels.  </w:t>
            </w:r>
          </w:p>
        </w:tc>
      </w:tr>
      <w:tr w:rsidR="00500318" w:rsidRPr="004C0A75" w14:paraId="005CBDF7" w14:textId="77777777">
        <w:trPr>
          <w:cantSplit/>
          <w:tblHeader/>
        </w:trPr>
        <w:tc>
          <w:tcPr>
            <w:tcW w:w="2250" w:type="dxa"/>
            <w:shd w:val="clear" w:color="auto" w:fill="auto"/>
            <w:tcMar>
              <w:top w:w="100" w:type="dxa"/>
              <w:left w:w="100" w:type="dxa"/>
              <w:bottom w:w="100" w:type="dxa"/>
              <w:right w:w="100" w:type="dxa"/>
            </w:tcMar>
          </w:tcPr>
          <w:p w14:paraId="005CBDF3" w14:textId="77777777" w:rsidR="00500318" w:rsidRPr="004C0A75" w:rsidRDefault="007D071B">
            <w:pPr>
              <w:widowControl w:val="0"/>
              <w:pBdr>
                <w:top w:val="nil"/>
                <w:left w:val="nil"/>
                <w:bottom w:val="nil"/>
                <w:right w:val="nil"/>
                <w:between w:val="nil"/>
              </w:pBdr>
              <w:spacing w:line="240" w:lineRule="auto"/>
              <w:jc w:val="left"/>
              <w:rPr>
                <w:b/>
                <w:sz w:val="24"/>
                <w:szCs w:val="24"/>
              </w:rPr>
            </w:pPr>
            <w:r w:rsidRPr="004C0A75">
              <w:rPr>
                <w:b/>
                <w:sz w:val="24"/>
                <w:szCs w:val="24"/>
              </w:rPr>
              <w:t>Core competencies</w:t>
            </w:r>
          </w:p>
        </w:tc>
        <w:tc>
          <w:tcPr>
            <w:tcW w:w="2220" w:type="dxa"/>
            <w:shd w:val="clear" w:color="auto" w:fill="auto"/>
            <w:tcMar>
              <w:top w:w="100" w:type="dxa"/>
              <w:left w:w="100" w:type="dxa"/>
              <w:bottom w:w="100" w:type="dxa"/>
              <w:right w:w="100" w:type="dxa"/>
            </w:tcMar>
          </w:tcPr>
          <w:p w14:paraId="005CBDF4" w14:textId="77777777" w:rsidR="00500318" w:rsidRPr="004C0A75" w:rsidRDefault="007D071B">
            <w:pPr>
              <w:widowControl w:val="0"/>
              <w:pBdr>
                <w:top w:val="nil"/>
                <w:left w:val="nil"/>
                <w:bottom w:val="nil"/>
                <w:right w:val="nil"/>
                <w:between w:val="nil"/>
              </w:pBdr>
              <w:spacing w:line="240" w:lineRule="auto"/>
              <w:jc w:val="left"/>
              <w:rPr>
                <w:sz w:val="24"/>
                <w:szCs w:val="24"/>
              </w:rPr>
            </w:pPr>
            <w:r w:rsidRPr="004C0A75">
              <w:rPr>
                <w:sz w:val="24"/>
                <w:szCs w:val="24"/>
              </w:rPr>
              <w:t xml:space="preserve">The company has strong goodwill, is well-renowned for the exploration skills it has and possesses good internal control. </w:t>
            </w:r>
          </w:p>
        </w:tc>
        <w:tc>
          <w:tcPr>
            <w:tcW w:w="2279" w:type="dxa"/>
            <w:shd w:val="clear" w:color="auto" w:fill="auto"/>
            <w:tcMar>
              <w:top w:w="100" w:type="dxa"/>
              <w:left w:w="100" w:type="dxa"/>
              <w:bottom w:w="100" w:type="dxa"/>
              <w:right w:w="100" w:type="dxa"/>
            </w:tcMar>
          </w:tcPr>
          <w:p w14:paraId="005CBDF5" w14:textId="77777777" w:rsidR="00500318" w:rsidRPr="004C0A75" w:rsidRDefault="007D071B">
            <w:pPr>
              <w:widowControl w:val="0"/>
              <w:pBdr>
                <w:top w:val="nil"/>
                <w:left w:val="nil"/>
                <w:bottom w:val="nil"/>
                <w:right w:val="nil"/>
                <w:between w:val="nil"/>
              </w:pBdr>
              <w:spacing w:line="240" w:lineRule="auto"/>
              <w:jc w:val="left"/>
              <w:rPr>
                <w:sz w:val="24"/>
                <w:szCs w:val="24"/>
              </w:rPr>
            </w:pPr>
            <w:r w:rsidRPr="004C0A75">
              <w:rPr>
                <w:sz w:val="24"/>
                <w:szCs w:val="24"/>
              </w:rPr>
              <w:t xml:space="preserve">The commitment and the skills of the employees of the company are the energy that helps it to drive forward.  </w:t>
            </w:r>
          </w:p>
        </w:tc>
        <w:tc>
          <w:tcPr>
            <w:tcW w:w="2279" w:type="dxa"/>
            <w:shd w:val="clear" w:color="auto" w:fill="auto"/>
            <w:tcMar>
              <w:top w:w="100" w:type="dxa"/>
              <w:left w:w="100" w:type="dxa"/>
              <w:bottom w:w="100" w:type="dxa"/>
              <w:right w:w="100" w:type="dxa"/>
            </w:tcMar>
          </w:tcPr>
          <w:p w14:paraId="005CBDF6" w14:textId="77777777" w:rsidR="00500318" w:rsidRPr="004C0A75" w:rsidRDefault="007D071B">
            <w:pPr>
              <w:widowControl w:val="0"/>
              <w:pBdr>
                <w:top w:val="nil"/>
                <w:left w:val="nil"/>
                <w:bottom w:val="nil"/>
                <w:right w:val="nil"/>
                <w:between w:val="nil"/>
              </w:pBdr>
              <w:spacing w:line="240" w:lineRule="auto"/>
              <w:jc w:val="left"/>
              <w:rPr>
                <w:sz w:val="24"/>
                <w:szCs w:val="24"/>
              </w:rPr>
            </w:pPr>
            <w:r w:rsidRPr="004C0A75">
              <w:rPr>
                <w:sz w:val="24"/>
                <w:szCs w:val="24"/>
              </w:rPr>
              <w:t xml:space="preserve">The company highly focuses on the exploration of gas and oil in different countries and continents. </w:t>
            </w:r>
          </w:p>
        </w:tc>
      </w:tr>
      <w:tr w:rsidR="00500318" w:rsidRPr="004C0A75" w14:paraId="005CBDFC" w14:textId="77777777">
        <w:trPr>
          <w:cantSplit/>
          <w:tblHeader/>
        </w:trPr>
        <w:tc>
          <w:tcPr>
            <w:tcW w:w="2250" w:type="dxa"/>
            <w:shd w:val="clear" w:color="auto" w:fill="auto"/>
            <w:tcMar>
              <w:top w:w="100" w:type="dxa"/>
              <w:left w:w="100" w:type="dxa"/>
              <w:bottom w:w="100" w:type="dxa"/>
              <w:right w:w="100" w:type="dxa"/>
            </w:tcMar>
          </w:tcPr>
          <w:p w14:paraId="005CBDF8" w14:textId="77777777" w:rsidR="00500318" w:rsidRPr="004C0A75" w:rsidRDefault="007D071B">
            <w:pPr>
              <w:widowControl w:val="0"/>
              <w:pBdr>
                <w:top w:val="nil"/>
                <w:left w:val="nil"/>
                <w:bottom w:val="nil"/>
                <w:right w:val="nil"/>
                <w:between w:val="nil"/>
              </w:pBdr>
              <w:spacing w:line="240" w:lineRule="auto"/>
              <w:jc w:val="left"/>
              <w:rPr>
                <w:b/>
                <w:sz w:val="24"/>
                <w:szCs w:val="24"/>
              </w:rPr>
            </w:pPr>
            <w:r w:rsidRPr="004C0A75">
              <w:rPr>
                <w:b/>
                <w:sz w:val="24"/>
                <w:szCs w:val="24"/>
              </w:rPr>
              <w:lastRenderedPageBreak/>
              <w:t>Position in the market</w:t>
            </w:r>
          </w:p>
        </w:tc>
        <w:tc>
          <w:tcPr>
            <w:tcW w:w="2220" w:type="dxa"/>
            <w:shd w:val="clear" w:color="auto" w:fill="auto"/>
            <w:tcMar>
              <w:top w:w="100" w:type="dxa"/>
              <w:left w:w="100" w:type="dxa"/>
              <w:bottom w:w="100" w:type="dxa"/>
              <w:right w:w="100" w:type="dxa"/>
            </w:tcMar>
          </w:tcPr>
          <w:p w14:paraId="005CBDF9" w14:textId="77777777" w:rsidR="00500318" w:rsidRPr="004C0A75" w:rsidRDefault="007D071B">
            <w:pPr>
              <w:widowControl w:val="0"/>
              <w:pBdr>
                <w:top w:val="nil"/>
                <w:left w:val="nil"/>
                <w:bottom w:val="nil"/>
                <w:right w:val="nil"/>
                <w:between w:val="nil"/>
              </w:pBdr>
              <w:spacing w:line="240" w:lineRule="auto"/>
              <w:jc w:val="left"/>
              <w:rPr>
                <w:sz w:val="24"/>
                <w:szCs w:val="24"/>
              </w:rPr>
            </w:pPr>
            <w:r w:rsidRPr="004C0A75">
              <w:rPr>
                <w:sz w:val="24"/>
                <w:szCs w:val="24"/>
              </w:rPr>
              <w:t>It operates in the following segments: Downstream, Upstream and Rosneft (</w:t>
            </w:r>
            <w:proofErr w:type="spellStart"/>
            <w:r w:rsidRPr="004C0A75">
              <w:rPr>
                <w:sz w:val="24"/>
                <w:szCs w:val="24"/>
              </w:rPr>
              <w:t>Bazzana</w:t>
            </w:r>
            <w:proofErr w:type="spellEnd"/>
            <w:r w:rsidRPr="004C0A75">
              <w:rPr>
                <w:sz w:val="24"/>
                <w:szCs w:val="24"/>
              </w:rPr>
              <w:t xml:space="preserve"> </w:t>
            </w:r>
            <w:r w:rsidRPr="004C0A75">
              <w:rPr>
                <w:i/>
                <w:sz w:val="24"/>
                <w:szCs w:val="24"/>
              </w:rPr>
              <w:t>et al.,</w:t>
            </w:r>
            <w:r w:rsidRPr="004C0A75">
              <w:rPr>
                <w:sz w:val="24"/>
                <w:szCs w:val="24"/>
              </w:rPr>
              <w:t xml:space="preserve"> 2022). The market cap of the company is near about $99.05 Billion. It is the world’s “147th most valuable company”. </w:t>
            </w:r>
          </w:p>
        </w:tc>
        <w:tc>
          <w:tcPr>
            <w:tcW w:w="2279" w:type="dxa"/>
            <w:shd w:val="clear" w:color="auto" w:fill="auto"/>
            <w:tcMar>
              <w:top w:w="100" w:type="dxa"/>
              <w:left w:w="100" w:type="dxa"/>
              <w:bottom w:w="100" w:type="dxa"/>
              <w:right w:w="100" w:type="dxa"/>
            </w:tcMar>
          </w:tcPr>
          <w:p w14:paraId="005CBDFA" w14:textId="77777777" w:rsidR="00500318" w:rsidRPr="004C0A75" w:rsidRDefault="007D071B">
            <w:pPr>
              <w:widowControl w:val="0"/>
              <w:pBdr>
                <w:top w:val="nil"/>
                <w:left w:val="nil"/>
                <w:bottom w:val="nil"/>
                <w:right w:val="nil"/>
                <w:between w:val="nil"/>
              </w:pBdr>
              <w:spacing w:line="240" w:lineRule="auto"/>
              <w:jc w:val="left"/>
              <w:rPr>
                <w:sz w:val="24"/>
                <w:szCs w:val="24"/>
              </w:rPr>
            </w:pPr>
            <w:r w:rsidRPr="004C0A75">
              <w:rPr>
                <w:sz w:val="24"/>
                <w:szCs w:val="24"/>
              </w:rPr>
              <w:t xml:space="preserve">The company has a market cap of nearly $137.41 Billion. This made the company the world’s 95th company that is considered to be most valuable by the market cap. </w:t>
            </w:r>
          </w:p>
        </w:tc>
        <w:tc>
          <w:tcPr>
            <w:tcW w:w="2279" w:type="dxa"/>
            <w:shd w:val="clear" w:color="auto" w:fill="auto"/>
            <w:tcMar>
              <w:top w:w="100" w:type="dxa"/>
              <w:left w:w="100" w:type="dxa"/>
              <w:bottom w:w="100" w:type="dxa"/>
              <w:right w:w="100" w:type="dxa"/>
            </w:tcMar>
          </w:tcPr>
          <w:p w14:paraId="005CBDFB" w14:textId="77777777" w:rsidR="00500318" w:rsidRPr="004C0A75" w:rsidRDefault="007D071B">
            <w:pPr>
              <w:widowControl w:val="0"/>
              <w:pBdr>
                <w:top w:val="nil"/>
                <w:left w:val="nil"/>
                <w:bottom w:val="nil"/>
                <w:right w:val="nil"/>
                <w:between w:val="nil"/>
              </w:pBdr>
              <w:spacing w:line="240" w:lineRule="auto"/>
              <w:jc w:val="left"/>
              <w:rPr>
                <w:sz w:val="24"/>
                <w:szCs w:val="24"/>
              </w:rPr>
            </w:pPr>
            <w:r w:rsidRPr="004C0A75">
              <w:rPr>
                <w:sz w:val="24"/>
                <w:szCs w:val="24"/>
              </w:rPr>
              <w:t xml:space="preserve">Eni has a market cap of almost $53.31 Billion, which makes it the world's "335th most valuable company by market cap.  </w:t>
            </w:r>
          </w:p>
        </w:tc>
      </w:tr>
    </w:tbl>
    <w:p w14:paraId="005CBDFD" w14:textId="77777777" w:rsidR="00500318" w:rsidRPr="004C0A75" w:rsidRDefault="007D071B">
      <w:pPr>
        <w:jc w:val="center"/>
        <w:rPr>
          <w:b/>
          <w:sz w:val="24"/>
          <w:szCs w:val="24"/>
        </w:rPr>
      </w:pPr>
      <w:r w:rsidRPr="004C0A75">
        <w:rPr>
          <w:b/>
          <w:sz w:val="24"/>
          <w:szCs w:val="24"/>
        </w:rPr>
        <w:t>Table 1: Strategic Group Analysis</w:t>
      </w:r>
    </w:p>
    <w:p w14:paraId="005CBDFE" w14:textId="77777777" w:rsidR="00500318" w:rsidRPr="004C0A75" w:rsidRDefault="007D071B">
      <w:pPr>
        <w:jc w:val="center"/>
        <w:rPr>
          <w:sz w:val="24"/>
          <w:szCs w:val="24"/>
        </w:rPr>
      </w:pPr>
      <w:r w:rsidRPr="004C0A75">
        <w:rPr>
          <w:sz w:val="24"/>
          <w:szCs w:val="24"/>
        </w:rPr>
        <w:t>(Source: Created by the learner)</w:t>
      </w:r>
    </w:p>
    <w:p w14:paraId="005CBDFF" w14:textId="77777777" w:rsidR="00500318" w:rsidRPr="004C0A75" w:rsidRDefault="007D071B">
      <w:pPr>
        <w:rPr>
          <w:b/>
          <w:sz w:val="24"/>
          <w:szCs w:val="24"/>
        </w:rPr>
      </w:pPr>
      <w:r w:rsidRPr="004C0A75">
        <w:rPr>
          <w:b/>
          <w:sz w:val="24"/>
          <w:szCs w:val="24"/>
        </w:rPr>
        <w:t>Marketing mix of BP</w:t>
      </w:r>
    </w:p>
    <w:p w14:paraId="005CBE00" w14:textId="77777777" w:rsidR="00500318" w:rsidRPr="004C0A75" w:rsidRDefault="007D071B">
      <w:pPr>
        <w:rPr>
          <w:sz w:val="24"/>
          <w:szCs w:val="24"/>
        </w:rPr>
      </w:pPr>
      <w:r w:rsidRPr="004C0A75">
        <w:rPr>
          <w:b/>
          <w:sz w:val="24"/>
          <w:szCs w:val="24"/>
        </w:rPr>
        <w:t>Products</w:t>
      </w:r>
      <w:r w:rsidRPr="004C0A75">
        <w:rPr>
          <w:sz w:val="24"/>
          <w:szCs w:val="24"/>
        </w:rPr>
        <w:t xml:space="preserve"> offered by British Petroleum are petrochemicals, petroleum that includes natural gas, motor fuels and various services including fuel cards that provide payback points. When it comes to </w:t>
      </w:r>
      <w:r w:rsidRPr="004C0A75">
        <w:rPr>
          <w:b/>
          <w:sz w:val="24"/>
          <w:szCs w:val="24"/>
        </w:rPr>
        <w:t>place</w:t>
      </w:r>
      <w:r w:rsidRPr="004C0A75">
        <w:rPr>
          <w:sz w:val="24"/>
          <w:szCs w:val="24"/>
        </w:rPr>
        <w:t xml:space="preserve">, it comprises 15 refineries. It also has a quite efficient distribution network in the global markets that includes nearly 17,200 service stations. Out of which nearly 7000 are in the US and around 1100 are in the UK. The pricing policy of the company is suitable for everyone wherein the regulation of the government has a huge impact on the pricing of the product (Automotive Logistics, 2022). It changes its pricing according to the periodic revaluations of the market. For </w:t>
      </w:r>
      <w:r w:rsidRPr="004C0A75">
        <w:rPr>
          <w:b/>
          <w:sz w:val="24"/>
          <w:szCs w:val="24"/>
        </w:rPr>
        <w:t>promotion,</w:t>
      </w:r>
      <w:r w:rsidRPr="004C0A75">
        <w:rPr>
          <w:sz w:val="24"/>
          <w:szCs w:val="24"/>
        </w:rPr>
        <w:t xml:space="preserve"> the company has made a deal with Ford in order to make hydrogen vehicles and prove them to be eco-friendly. For reducing air pollution BP has built fuel stations for vehicles that run on Hydrogen. In the process of following the innovative schemes the company has become a part of "Green Business". It is a globally recognised brand and the promotion is done through commercials and hoardings that significantly increase the visibility of the product and develop the brand value.      </w:t>
      </w:r>
    </w:p>
    <w:p w14:paraId="005CBE01" w14:textId="77777777" w:rsidR="00500318" w:rsidRPr="004C0A75" w:rsidRDefault="007D071B">
      <w:pPr>
        <w:rPr>
          <w:b/>
          <w:sz w:val="24"/>
          <w:szCs w:val="24"/>
        </w:rPr>
      </w:pPr>
      <w:r w:rsidRPr="004C0A75">
        <w:rPr>
          <w:b/>
          <w:sz w:val="24"/>
          <w:szCs w:val="24"/>
        </w:rPr>
        <w:lastRenderedPageBreak/>
        <w:t xml:space="preserve">Porter’s Five Forces </w:t>
      </w:r>
    </w:p>
    <w:p w14:paraId="005CBE02" w14:textId="77777777" w:rsidR="00500318" w:rsidRPr="004C0A75" w:rsidRDefault="007D071B">
      <w:pPr>
        <w:rPr>
          <w:b/>
          <w:sz w:val="24"/>
          <w:szCs w:val="24"/>
        </w:rPr>
      </w:pPr>
      <w:r w:rsidRPr="004C0A75">
        <w:rPr>
          <w:sz w:val="24"/>
          <w:szCs w:val="24"/>
        </w:rPr>
        <w:t xml:space="preserve">BP’s </w:t>
      </w:r>
      <w:r w:rsidRPr="004C0A75">
        <w:rPr>
          <w:b/>
          <w:sz w:val="24"/>
          <w:szCs w:val="24"/>
        </w:rPr>
        <w:t xml:space="preserve">competition in the industry is much higher </w:t>
      </w:r>
      <w:r w:rsidRPr="004C0A75">
        <w:rPr>
          <w:sz w:val="24"/>
          <w:szCs w:val="24"/>
        </w:rPr>
        <w:t xml:space="preserve">due to the presence of multiple players like Shell, </w:t>
      </w:r>
      <w:proofErr w:type="spellStart"/>
      <w:r w:rsidRPr="004C0A75">
        <w:rPr>
          <w:sz w:val="24"/>
          <w:szCs w:val="24"/>
        </w:rPr>
        <w:t>TotalEnergies</w:t>
      </w:r>
      <w:proofErr w:type="spellEnd"/>
      <w:r w:rsidRPr="004C0A75">
        <w:rPr>
          <w:sz w:val="24"/>
          <w:szCs w:val="24"/>
        </w:rPr>
        <w:t xml:space="preserve">, Eni and many more. The competitors in such industries generally compete in terms of economies of scale, product differentiation and differentiation in cost. All these factors determine the profitability and success of the other companies in this sector. This industry significantly provides good profits and therefore, seems to be quite attractive. However, the </w:t>
      </w:r>
      <w:r w:rsidRPr="004C0A75">
        <w:rPr>
          <w:b/>
          <w:sz w:val="24"/>
          <w:szCs w:val="24"/>
        </w:rPr>
        <w:t>potentiality of new entrants is low</w:t>
      </w:r>
      <w:r w:rsidRPr="004C0A75">
        <w:rPr>
          <w:sz w:val="24"/>
          <w:szCs w:val="24"/>
        </w:rPr>
        <w:t xml:space="preserve"> and the reason is that there are huge barriers like "high fixed costs" for investing in a company of energy resources. Apart from that, the competitors in the market are quite renowned to be competed with and already have a huge number of loyal customers (York Press, 2022). In the case of BP, the suppliers are mainly the suppliers at the oil fields, technicians and management. Companies like BP generally have an "edge over the suppliers", therefore, the company can easily bargain with the suppliers because they will not want to lose such a huge company. So, the </w:t>
      </w:r>
      <w:r w:rsidRPr="004C0A75">
        <w:rPr>
          <w:b/>
          <w:sz w:val="24"/>
          <w:szCs w:val="24"/>
        </w:rPr>
        <w:t>supplier’s power is comparatively low</w:t>
      </w:r>
      <w:r w:rsidRPr="004C0A75">
        <w:rPr>
          <w:sz w:val="24"/>
          <w:szCs w:val="24"/>
        </w:rPr>
        <w:t xml:space="preserve"> in the case of BP. In such an industry the level of price generally depends on the global demand. The developed and high power countries possess the power of bargaining with British Petroleum along with the general customers as they can easily get switched into other companies depending on their requirements. Therefore, the </w:t>
      </w:r>
      <w:r w:rsidRPr="004C0A75">
        <w:rPr>
          <w:b/>
          <w:sz w:val="24"/>
          <w:szCs w:val="24"/>
        </w:rPr>
        <w:t>power of customers is much higher</w:t>
      </w:r>
      <w:r w:rsidRPr="004C0A75">
        <w:rPr>
          <w:sz w:val="24"/>
          <w:szCs w:val="24"/>
        </w:rPr>
        <w:t xml:space="preserve"> for BP. The presence of substitutes can highly affect the company's profitability. Renewable resources and biofuels can be possible substitutes in such an industry (Longman </w:t>
      </w:r>
      <w:r w:rsidRPr="004C0A75">
        <w:rPr>
          <w:i/>
          <w:sz w:val="24"/>
          <w:szCs w:val="24"/>
        </w:rPr>
        <w:t>et al</w:t>
      </w:r>
      <w:r w:rsidRPr="004C0A75">
        <w:rPr>
          <w:sz w:val="24"/>
          <w:szCs w:val="24"/>
        </w:rPr>
        <w:t xml:space="preserve">., 2021). However, the amount of threat is comparatively less, as the company is continuously working on future developments and it won't be easy to replace a well-renowned company. Therefore, the </w:t>
      </w:r>
      <w:r w:rsidRPr="004C0A75">
        <w:rPr>
          <w:b/>
          <w:sz w:val="24"/>
          <w:szCs w:val="24"/>
        </w:rPr>
        <w:t xml:space="preserve">threat of the substitute is comparatively less </w:t>
      </w:r>
      <w:r w:rsidRPr="004C0A75">
        <w:rPr>
          <w:sz w:val="24"/>
          <w:szCs w:val="24"/>
        </w:rPr>
        <w:t xml:space="preserve">in the case of British Petroleum. </w:t>
      </w:r>
    </w:p>
    <w:p w14:paraId="005CBE03" w14:textId="77777777" w:rsidR="00500318" w:rsidRPr="004C0A75" w:rsidRDefault="007D071B">
      <w:pPr>
        <w:rPr>
          <w:b/>
          <w:sz w:val="24"/>
          <w:szCs w:val="24"/>
        </w:rPr>
      </w:pPr>
      <w:r w:rsidRPr="004C0A75">
        <w:rPr>
          <w:b/>
          <w:sz w:val="24"/>
          <w:szCs w:val="24"/>
        </w:rPr>
        <w:lastRenderedPageBreak/>
        <w:t xml:space="preserve">SWOT analysis </w:t>
      </w:r>
    </w:p>
    <w:tbl>
      <w:tblPr>
        <w:tblStyle w:val="Table2"/>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500318" w:rsidRPr="004C0A75" w14:paraId="005CBE06" w14:textId="77777777">
        <w:trPr>
          <w:cantSplit/>
          <w:tblHeader/>
        </w:trPr>
        <w:tc>
          <w:tcPr>
            <w:tcW w:w="4514" w:type="dxa"/>
            <w:shd w:val="clear" w:color="auto" w:fill="auto"/>
            <w:tcMar>
              <w:top w:w="100" w:type="dxa"/>
              <w:left w:w="100" w:type="dxa"/>
              <w:bottom w:w="100" w:type="dxa"/>
              <w:right w:w="100" w:type="dxa"/>
            </w:tcMar>
          </w:tcPr>
          <w:p w14:paraId="005CBE04" w14:textId="77777777" w:rsidR="00500318" w:rsidRPr="004C0A75" w:rsidRDefault="007D071B">
            <w:pPr>
              <w:widowControl w:val="0"/>
              <w:pBdr>
                <w:top w:val="nil"/>
                <w:left w:val="nil"/>
                <w:bottom w:val="nil"/>
                <w:right w:val="nil"/>
                <w:between w:val="nil"/>
              </w:pBdr>
              <w:spacing w:line="240" w:lineRule="auto"/>
              <w:jc w:val="center"/>
              <w:rPr>
                <w:b/>
                <w:sz w:val="24"/>
                <w:szCs w:val="24"/>
              </w:rPr>
            </w:pPr>
            <w:r w:rsidRPr="004C0A75">
              <w:rPr>
                <w:b/>
                <w:sz w:val="24"/>
                <w:szCs w:val="24"/>
              </w:rPr>
              <w:t>Strengths</w:t>
            </w:r>
          </w:p>
        </w:tc>
        <w:tc>
          <w:tcPr>
            <w:tcW w:w="4514" w:type="dxa"/>
            <w:shd w:val="clear" w:color="auto" w:fill="auto"/>
            <w:tcMar>
              <w:top w:w="100" w:type="dxa"/>
              <w:left w:w="100" w:type="dxa"/>
              <w:bottom w:w="100" w:type="dxa"/>
              <w:right w:w="100" w:type="dxa"/>
            </w:tcMar>
          </w:tcPr>
          <w:p w14:paraId="005CBE05" w14:textId="77777777" w:rsidR="00500318" w:rsidRPr="004C0A75" w:rsidRDefault="007D071B">
            <w:pPr>
              <w:widowControl w:val="0"/>
              <w:pBdr>
                <w:top w:val="nil"/>
                <w:left w:val="nil"/>
                <w:bottom w:val="nil"/>
                <w:right w:val="nil"/>
                <w:between w:val="nil"/>
              </w:pBdr>
              <w:spacing w:line="240" w:lineRule="auto"/>
              <w:jc w:val="center"/>
              <w:rPr>
                <w:b/>
                <w:sz w:val="24"/>
                <w:szCs w:val="24"/>
              </w:rPr>
            </w:pPr>
            <w:r w:rsidRPr="004C0A75">
              <w:rPr>
                <w:b/>
                <w:sz w:val="24"/>
                <w:szCs w:val="24"/>
              </w:rPr>
              <w:t>Weakness</w:t>
            </w:r>
          </w:p>
        </w:tc>
      </w:tr>
      <w:tr w:rsidR="00500318" w:rsidRPr="004C0A75" w14:paraId="005CBE0F" w14:textId="77777777">
        <w:trPr>
          <w:cantSplit/>
          <w:tblHeader/>
        </w:trPr>
        <w:tc>
          <w:tcPr>
            <w:tcW w:w="4514" w:type="dxa"/>
            <w:shd w:val="clear" w:color="auto" w:fill="auto"/>
            <w:tcMar>
              <w:top w:w="100" w:type="dxa"/>
              <w:left w:w="100" w:type="dxa"/>
              <w:bottom w:w="100" w:type="dxa"/>
              <w:right w:w="100" w:type="dxa"/>
            </w:tcMar>
          </w:tcPr>
          <w:p w14:paraId="005CBE07" w14:textId="77777777" w:rsidR="00500318" w:rsidRPr="004C0A75" w:rsidRDefault="007D071B">
            <w:pPr>
              <w:widowControl w:val="0"/>
              <w:numPr>
                <w:ilvl w:val="0"/>
                <w:numId w:val="4"/>
              </w:numPr>
              <w:pBdr>
                <w:top w:val="nil"/>
                <w:left w:val="nil"/>
                <w:bottom w:val="nil"/>
                <w:right w:val="nil"/>
                <w:between w:val="nil"/>
              </w:pBdr>
              <w:spacing w:line="240" w:lineRule="auto"/>
              <w:jc w:val="left"/>
              <w:rPr>
                <w:sz w:val="24"/>
                <w:szCs w:val="24"/>
              </w:rPr>
            </w:pPr>
            <w:r w:rsidRPr="004C0A75">
              <w:rPr>
                <w:sz w:val="24"/>
                <w:szCs w:val="24"/>
              </w:rPr>
              <w:t>The company has loyal customers.</w:t>
            </w:r>
          </w:p>
          <w:p w14:paraId="005CBE08" w14:textId="77777777" w:rsidR="00500318" w:rsidRPr="004C0A75" w:rsidRDefault="007D071B">
            <w:pPr>
              <w:widowControl w:val="0"/>
              <w:numPr>
                <w:ilvl w:val="0"/>
                <w:numId w:val="4"/>
              </w:numPr>
              <w:pBdr>
                <w:top w:val="nil"/>
                <w:left w:val="nil"/>
                <w:bottom w:val="nil"/>
                <w:right w:val="nil"/>
                <w:between w:val="nil"/>
              </w:pBdr>
              <w:spacing w:line="240" w:lineRule="auto"/>
              <w:jc w:val="left"/>
              <w:rPr>
                <w:sz w:val="24"/>
                <w:szCs w:val="24"/>
              </w:rPr>
            </w:pPr>
            <w:r w:rsidRPr="004C0A75">
              <w:rPr>
                <w:sz w:val="24"/>
                <w:szCs w:val="24"/>
              </w:rPr>
              <w:t xml:space="preserve">It is a globally recognised company and is believed to be the market leader.  </w:t>
            </w:r>
          </w:p>
          <w:p w14:paraId="005CBE09" w14:textId="77777777" w:rsidR="00500318" w:rsidRPr="004C0A75" w:rsidRDefault="007D071B">
            <w:pPr>
              <w:widowControl w:val="0"/>
              <w:numPr>
                <w:ilvl w:val="0"/>
                <w:numId w:val="4"/>
              </w:numPr>
              <w:pBdr>
                <w:top w:val="nil"/>
                <w:left w:val="nil"/>
                <w:bottom w:val="nil"/>
                <w:right w:val="nil"/>
                <w:between w:val="nil"/>
              </w:pBdr>
              <w:spacing w:line="240" w:lineRule="auto"/>
              <w:jc w:val="left"/>
              <w:rPr>
                <w:sz w:val="24"/>
                <w:szCs w:val="24"/>
              </w:rPr>
            </w:pPr>
            <w:r w:rsidRPr="004C0A75">
              <w:rPr>
                <w:sz w:val="24"/>
                <w:szCs w:val="24"/>
              </w:rPr>
              <w:t>The company also has diversified interests other than gas and oil.</w:t>
            </w:r>
          </w:p>
          <w:p w14:paraId="005CBE0A" w14:textId="77777777" w:rsidR="00500318" w:rsidRPr="004C0A75" w:rsidRDefault="007D071B">
            <w:pPr>
              <w:widowControl w:val="0"/>
              <w:numPr>
                <w:ilvl w:val="0"/>
                <w:numId w:val="4"/>
              </w:numPr>
              <w:pBdr>
                <w:top w:val="nil"/>
                <w:left w:val="nil"/>
                <w:bottom w:val="nil"/>
                <w:right w:val="nil"/>
                <w:between w:val="nil"/>
              </w:pBdr>
              <w:spacing w:line="240" w:lineRule="auto"/>
              <w:jc w:val="left"/>
              <w:rPr>
                <w:sz w:val="24"/>
                <w:szCs w:val="24"/>
              </w:rPr>
            </w:pPr>
            <w:r w:rsidRPr="004C0A75">
              <w:rPr>
                <w:sz w:val="24"/>
                <w:szCs w:val="24"/>
              </w:rPr>
              <w:t xml:space="preserve">It has a strong base and relation with the customers. </w:t>
            </w:r>
          </w:p>
          <w:p w14:paraId="005CBE0B" w14:textId="77777777" w:rsidR="00500318" w:rsidRPr="004C0A75" w:rsidRDefault="007D071B">
            <w:pPr>
              <w:widowControl w:val="0"/>
              <w:numPr>
                <w:ilvl w:val="0"/>
                <w:numId w:val="4"/>
              </w:numPr>
              <w:pBdr>
                <w:top w:val="nil"/>
                <w:left w:val="nil"/>
                <w:bottom w:val="nil"/>
                <w:right w:val="nil"/>
                <w:between w:val="nil"/>
              </w:pBdr>
              <w:spacing w:line="240" w:lineRule="auto"/>
              <w:jc w:val="left"/>
              <w:rPr>
                <w:sz w:val="24"/>
                <w:szCs w:val="24"/>
              </w:rPr>
            </w:pPr>
            <w:r w:rsidRPr="004C0A75">
              <w:rPr>
                <w:sz w:val="24"/>
                <w:szCs w:val="24"/>
              </w:rPr>
              <w:t>The company has a huge network.</w:t>
            </w:r>
          </w:p>
        </w:tc>
        <w:tc>
          <w:tcPr>
            <w:tcW w:w="4514" w:type="dxa"/>
            <w:shd w:val="clear" w:color="auto" w:fill="auto"/>
            <w:tcMar>
              <w:top w:w="100" w:type="dxa"/>
              <w:left w:w="100" w:type="dxa"/>
              <w:bottom w:w="100" w:type="dxa"/>
              <w:right w:w="100" w:type="dxa"/>
            </w:tcMar>
          </w:tcPr>
          <w:p w14:paraId="005CBE0C" w14:textId="77777777" w:rsidR="00500318" w:rsidRPr="004C0A75" w:rsidRDefault="007D071B">
            <w:pPr>
              <w:widowControl w:val="0"/>
              <w:numPr>
                <w:ilvl w:val="0"/>
                <w:numId w:val="3"/>
              </w:numPr>
              <w:pBdr>
                <w:top w:val="nil"/>
                <w:left w:val="nil"/>
                <w:bottom w:val="nil"/>
                <w:right w:val="nil"/>
                <w:between w:val="nil"/>
              </w:pBdr>
              <w:spacing w:line="240" w:lineRule="auto"/>
              <w:jc w:val="left"/>
              <w:rPr>
                <w:sz w:val="24"/>
                <w:szCs w:val="24"/>
              </w:rPr>
            </w:pPr>
            <w:r w:rsidRPr="004C0A75">
              <w:rPr>
                <w:sz w:val="24"/>
                <w:szCs w:val="24"/>
              </w:rPr>
              <w:t>The company has been into several controversies recently due to its supply crises during Covid-19 and Brexit</w:t>
            </w:r>
          </w:p>
          <w:p w14:paraId="005CBE0D" w14:textId="77777777" w:rsidR="00500318" w:rsidRPr="004C0A75" w:rsidRDefault="007D071B">
            <w:pPr>
              <w:widowControl w:val="0"/>
              <w:numPr>
                <w:ilvl w:val="0"/>
                <w:numId w:val="3"/>
              </w:numPr>
              <w:pBdr>
                <w:top w:val="nil"/>
                <w:left w:val="nil"/>
                <w:bottom w:val="nil"/>
                <w:right w:val="nil"/>
                <w:between w:val="nil"/>
              </w:pBdr>
              <w:spacing w:line="240" w:lineRule="auto"/>
              <w:jc w:val="left"/>
              <w:rPr>
                <w:sz w:val="24"/>
                <w:szCs w:val="24"/>
              </w:rPr>
            </w:pPr>
            <w:r w:rsidRPr="004C0A75">
              <w:rPr>
                <w:sz w:val="24"/>
                <w:szCs w:val="24"/>
              </w:rPr>
              <w:t xml:space="preserve">The company also has faced ethical issues related to dishonest transactions. </w:t>
            </w:r>
          </w:p>
          <w:p w14:paraId="005CBE0E" w14:textId="77777777" w:rsidR="00500318" w:rsidRPr="004C0A75" w:rsidRDefault="007D071B">
            <w:pPr>
              <w:widowControl w:val="0"/>
              <w:numPr>
                <w:ilvl w:val="0"/>
                <w:numId w:val="3"/>
              </w:numPr>
              <w:pBdr>
                <w:top w:val="nil"/>
                <w:left w:val="nil"/>
                <w:bottom w:val="nil"/>
                <w:right w:val="nil"/>
                <w:between w:val="nil"/>
              </w:pBdr>
              <w:spacing w:line="240" w:lineRule="auto"/>
              <w:jc w:val="left"/>
              <w:rPr>
                <w:sz w:val="24"/>
                <w:szCs w:val="24"/>
              </w:rPr>
            </w:pPr>
            <w:r w:rsidRPr="004C0A75">
              <w:rPr>
                <w:sz w:val="24"/>
                <w:szCs w:val="24"/>
              </w:rPr>
              <w:t>BP has significantly failed to penetrate the market of non-energy.</w:t>
            </w:r>
          </w:p>
        </w:tc>
      </w:tr>
      <w:tr w:rsidR="00500318" w:rsidRPr="004C0A75" w14:paraId="005CBE12" w14:textId="77777777">
        <w:trPr>
          <w:cantSplit/>
          <w:tblHeader/>
        </w:trPr>
        <w:tc>
          <w:tcPr>
            <w:tcW w:w="4514" w:type="dxa"/>
            <w:shd w:val="clear" w:color="auto" w:fill="auto"/>
            <w:tcMar>
              <w:top w:w="100" w:type="dxa"/>
              <w:left w:w="100" w:type="dxa"/>
              <w:bottom w:w="100" w:type="dxa"/>
              <w:right w:w="100" w:type="dxa"/>
            </w:tcMar>
          </w:tcPr>
          <w:p w14:paraId="005CBE10" w14:textId="77777777" w:rsidR="00500318" w:rsidRPr="004C0A75" w:rsidRDefault="007D071B">
            <w:pPr>
              <w:widowControl w:val="0"/>
              <w:pBdr>
                <w:top w:val="nil"/>
                <w:left w:val="nil"/>
                <w:bottom w:val="nil"/>
                <w:right w:val="nil"/>
                <w:between w:val="nil"/>
              </w:pBdr>
              <w:spacing w:line="240" w:lineRule="auto"/>
              <w:jc w:val="center"/>
              <w:rPr>
                <w:b/>
                <w:sz w:val="24"/>
                <w:szCs w:val="24"/>
              </w:rPr>
            </w:pPr>
            <w:r w:rsidRPr="004C0A75">
              <w:rPr>
                <w:b/>
                <w:sz w:val="24"/>
                <w:szCs w:val="24"/>
              </w:rPr>
              <w:t>Opportunities</w:t>
            </w:r>
          </w:p>
        </w:tc>
        <w:tc>
          <w:tcPr>
            <w:tcW w:w="4514" w:type="dxa"/>
            <w:shd w:val="clear" w:color="auto" w:fill="auto"/>
            <w:tcMar>
              <w:top w:w="100" w:type="dxa"/>
              <w:left w:w="100" w:type="dxa"/>
              <w:bottom w:w="100" w:type="dxa"/>
              <w:right w:w="100" w:type="dxa"/>
            </w:tcMar>
          </w:tcPr>
          <w:p w14:paraId="005CBE11" w14:textId="77777777" w:rsidR="00500318" w:rsidRPr="004C0A75" w:rsidRDefault="007D071B">
            <w:pPr>
              <w:widowControl w:val="0"/>
              <w:pBdr>
                <w:top w:val="nil"/>
                <w:left w:val="nil"/>
                <w:bottom w:val="nil"/>
                <w:right w:val="nil"/>
                <w:between w:val="nil"/>
              </w:pBdr>
              <w:spacing w:line="240" w:lineRule="auto"/>
              <w:jc w:val="center"/>
              <w:rPr>
                <w:b/>
                <w:sz w:val="24"/>
                <w:szCs w:val="24"/>
              </w:rPr>
            </w:pPr>
            <w:r w:rsidRPr="004C0A75">
              <w:rPr>
                <w:b/>
                <w:sz w:val="24"/>
                <w:szCs w:val="24"/>
              </w:rPr>
              <w:t>Threats</w:t>
            </w:r>
          </w:p>
        </w:tc>
      </w:tr>
      <w:tr w:rsidR="00500318" w:rsidRPr="004C0A75" w14:paraId="005CBE16" w14:textId="77777777">
        <w:trPr>
          <w:cantSplit/>
          <w:tblHeader/>
        </w:trPr>
        <w:tc>
          <w:tcPr>
            <w:tcW w:w="4514" w:type="dxa"/>
            <w:shd w:val="clear" w:color="auto" w:fill="auto"/>
            <w:tcMar>
              <w:top w:w="100" w:type="dxa"/>
              <w:left w:w="100" w:type="dxa"/>
              <w:bottom w:w="100" w:type="dxa"/>
              <w:right w:w="100" w:type="dxa"/>
            </w:tcMar>
          </w:tcPr>
          <w:p w14:paraId="005CBE13" w14:textId="77777777" w:rsidR="00500318" w:rsidRPr="004C0A75" w:rsidRDefault="007D071B">
            <w:pPr>
              <w:widowControl w:val="0"/>
              <w:numPr>
                <w:ilvl w:val="0"/>
                <w:numId w:val="2"/>
              </w:numPr>
              <w:pBdr>
                <w:top w:val="nil"/>
                <w:left w:val="nil"/>
                <w:bottom w:val="nil"/>
                <w:right w:val="nil"/>
                <w:between w:val="nil"/>
              </w:pBdr>
              <w:spacing w:line="240" w:lineRule="auto"/>
              <w:jc w:val="left"/>
              <w:rPr>
                <w:sz w:val="24"/>
                <w:szCs w:val="24"/>
              </w:rPr>
            </w:pPr>
            <w:r w:rsidRPr="004C0A75">
              <w:rPr>
                <w:sz w:val="24"/>
                <w:szCs w:val="24"/>
              </w:rPr>
              <w:t>Expansion in the industry of infrastructure can enhance the image of the brand.</w:t>
            </w:r>
          </w:p>
          <w:p w14:paraId="005CBE14" w14:textId="77777777" w:rsidR="00500318" w:rsidRPr="004C0A75" w:rsidRDefault="007D071B">
            <w:pPr>
              <w:widowControl w:val="0"/>
              <w:numPr>
                <w:ilvl w:val="0"/>
                <w:numId w:val="2"/>
              </w:numPr>
              <w:pBdr>
                <w:top w:val="nil"/>
                <w:left w:val="nil"/>
                <w:bottom w:val="nil"/>
                <w:right w:val="nil"/>
                <w:between w:val="nil"/>
              </w:pBdr>
              <w:spacing w:line="240" w:lineRule="auto"/>
              <w:jc w:val="left"/>
              <w:rPr>
                <w:sz w:val="24"/>
                <w:szCs w:val="24"/>
              </w:rPr>
            </w:pPr>
            <w:r w:rsidRPr="004C0A75">
              <w:rPr>
                <w:sz w:val="24"/>
                <w:szCs w:val="24"/>
              </w:rPr>
              <w:t xml:space="preserve">It is highly focused on sustainability which can provide various opportunities for the company. </w:t>
            </w:r>
          </w:p>
        </w:tc>
        <w:tc>
          <w:tcPr>
            <w:tcW w:w="4514" w:type="dxa"/>
            <w:shd w:val="clear" w:color="auto" w:fill="auto"/>
            <w:tcMar>
              <w:top w:w="100" w:type="dxa"/>
              <w:left w:w="100" w:type="dxa"/>
              <w:bottom w:w="100" w:type="dxa"/>
              <w:right w:w="100" w:type="dxa"/>
            </w:tcMar>
          </w:tcPr>
          <w:p w14:paraId="005CBE15" w14:textId="77777777" w:rsidR="00500318" w:rsidRPr="004C0A75" w:rsidRDefault="007D071B">
            <w:pPr>
              <w:widowControl w:val="0"/>
              <w:numPr>
                <w:ilvl w:val="0"/>
                <w:numId w:val="1"/>
              </w:numPr>
              <w:pBdr>
                <w:top w:val="nil"/>
                <w:left w:val="nil"/>
                <w:bottom w:val="nil"/>
                <w:right w:val="nil"/>
                <w:between w:val="nil"/>
              </w:pBdr>
              <w:spacing w:line="240" w:lineRule="auto"/>
              <w:jc w:val="left"/>
              <w:rPr>
                <w:sz w:val="24"/>
                <w:szCs w:val="24"/>
              </w:rPr>
            </w:pPr>
            <w:r w:rsidRPr="004C0A75">
              <w:rPr>
                <w:sz w:val="24"/>
                <w:szCs w:val="24"/>
              </w:rPr>
              <w:t xml:space="preserve">The level of competition is huge for BP as several giant companies are believed to be the tough competitors </w:t>
            </w:r>
          </w:p>
        </w:tc>
      </w:tr>
    </w:tbl>
    <w:p w14:paraId="005CBE17" w14:textId="77777777" w:rsidR="00500318" w:rsidRPr="004C0A75" w:rsidRDefault="007D071B">
      <w:pPr>
        <w:jc w:val="center"/>
        <w:rPr>
          <w:b/>
          <w:sz w:val="24"/>
          <w:szCs w:val="24"/>
        </w:rPr>
      </w:pPr>
      <w:r w:rsidRPr="004C0A75">
        <w:rPr>
          <w:b/>
          <w:sz w:val="24"/>
          <w:szCs w:val="24"/>
        </w:rPr>
        <w:t>Table 2: SWOT analysis</w:t>
      </w:r>
    </w:p>
    <w:p w14:paraId="005CBE18" w14:textId="77777777" w:rsidR="00500318" w:rsidRPr="004C0A75" w:rsidRDefault="007D071B">
      <w:pPr>
        <w:jc w:val="center"/>
        <w:rPr>
          <w:sz w:val="24"/>
          <w:szCs w:val="24"/>
        </w:rPr>
      </w:pPr>
      <w:r w:rsidRPr="004C0A75">
        <w:rPr>
          <w:sz w:val="24"/>
          <w:szCs w:val="24"/>
        </w:rPr>
        <w:t>(Source: Created by the learner)</w:t>
      </w:r>
    </w:p>
    <w:p w14:paraId="005CBE19" w14:textId="77777777" w:rsidR="00500318" w:rsidRPr="004C0A75" w:rsidRDefault="007D071B">
      <w:pPr>
        <w:rPr>
          <w:sz w:val="24"/>
          <w:szCs w:val="24"/>
        </w:rPr>
      </w:pPr>
      <w:r w:rsidRPr="004C0A75">
        <w:rPr>
          <w:sz w:val="24"/>
          <w:szCs w:val="24"/>
        </w:rPr>
        <w:t xml:space="preserve">The company has highly loyal customers, particularly in its oil business, which has been proved by their continuous sourcing along with their long-standing and stable relationship with the company (York Press, 2022). BP has been one of the biggest players in offering gas and oil in the UK, apart from that it is also considered the biggest seller and the market leader in selling gasoline in the US. The company focuses on fulfilling the customer's requirements for maintaining the relationship and also makes sure that it does not give the customers reasons to get switched to other brands. However, the recent scandal that disrupted the company's supply of petroleum has hugely impacted its image in the market that has also led to the shutting down of some of the petrol </w:t>
      </w:r>
      <w:r w:rsidR="00EF7AA5" w:rsidRPr="004C0A75">
        <w:rPr>
          <w:sz w:val="24"/>
          <w:szCs w:val="24"/>
        </w:rPr>
        <w:t>stations</w:t>
      </w:r>
      <w:r w:rsidRPr="004C0A75">
        <w:rPr>
          <w:sz w:val="24"/>
          <w:szCs w:val="24"/>
        </w:rPr>
        <w:t xml:space="preserve"> due to the lack of supply. Another weakness of the company is that it has a good hold on the "energy-related domains", </w:t>
      </w:r>
      <w:r w:rsidRPr="004C0A75">
        <w:rPr>
          <w:sz w:val="24"/>
          <w:szCs w:val="24"/>
        </w:rPr>
        <w:lastRenderedPageBreak/>
        <w:t xml:space="preserve">but its presence is considered to be very poor in the "non-energy sectors". There are several opportunities for the company, one among them being that it can engage with creating various infrastructural solutions by using its "alternative energy options". Apart from that, the company can also focus on various other sources of energy like wind and tidal energy, this can help the company to expand shortly. The only threat that the company has are the giant competitors in the market, which demand continuous innovations and improvement for the company in order to stay ahead.    </w:t>
      </w:r>
    </w:p>
    <w:p w14:paraId="005CBE1A" w14:textId="77777777" w:rsidR="00500318" w:rsidRPr="004C0A75" w:rsidRDefault="007D071B">
      <w:pPr>
        <w:pStyle w:val="Heading1"/>
        <w:rPr>
          <w:sz w:val="24"/>
          <w:szCs w:val="24"/>
        </w:rPr>
      </w:pPr>
      <w:bookmarkStart w:id="7" w:name="_xka71ofcy0s0" w:colFirst="0" w:colLast="0"/>
      <w:bookmarkEnd w:id="7"/>
      <w:r w:rsidRPr="004C0A75">
        <w:rPr>
          <w:sz w:val="24"/>
          <w:szCs w:val="24"/>
        </w:rPr>
        <w:br w:type="page"/>
      </w:r>
    </w:p>
    <w:p w14:paraId="005CBE1B" w14:textId="77777777" w:rsidR="00500318" w:rsidRPr="004C0A75" w:rsidRDefault="007D071B">
      <w:pPr>
        <w:pStyle w:val="Heading1"/>
        <w:rPr>
          <w:sz w:val="24"/>
          <w:szCs w:val="24"/>
        </w:rPr>
      </w:pPr>
      <w:bookmarkStart w:id="8" w:name="_6gmd5m7op8gu" w:colFirst="0" w:colLast="0"/>
      <w:bookmarkStart w:id="9" w:name="_Toc99829095"/>
      <w:bookmarkEnd w:id="8"/>
      <w:r w:rsidRPr="004C0A75">
        <w:rPr>
          <w:sz w:val="24"/>
          <w:szCs w:val="24"/>
        </w:rPr>
        <w:lastRenderedPageBreak/>
        <w:t>Conclusion</w:t>
      </w:r>
      <w:bookmarkEnd w:id="9"/>
      <w:r w:rsidRPr="004C0A75">
        <w:rPr>
          <w:sz w:val="24"/>
          <w:szCs w:val="24"/>
        </w:rPr>
        <w:t xml:space="preserve"> </w:t>
      </w:r>
    </w:p>
    <w:p w14:paraId="005CBE1C" w14:textId="77777777" w:rsidR="00500318" w:rsidRPr="004C0A75" w:rsidRDefault="007D071B">
      <w:pPr>
        <w:rPr>
          <w:sz w:val="24"/>
          <w:szCs w:val="24"/>
        </w:rPr>
      </w:pPr>
      <w:r w:rsidRPr="004C0A75">
        <w:rPr>
          <w:sz w:val="24"/>
          <w:szCs w:val="24"/>
        </w:rPr>
        <w:t xml:space="preserve">In order to resolve the situation that took place during the crisis of Covid-19 and Brexit that has led to even shutting down of various sites of BP. That took place due to the shortfall of lorry drivers in the haulage industry. However, the company is gradually coping with the situation and by doing that they can also provide higher salaries to the British drivers (York Press, 2022). The conditions of the road that are considered to be very poor can be improved. Also, hiring the young drivers and looking into the facilities provided to them include "safe parking facilities" and proper arrangements of showers and toilets at various sites. The company can continue to implement new ideas that would reduce the pollution in the environment by taking care of the harmful emissions from the lorry. In the context above, the "evidence related to the UK and global haulage industry" have been evaluated with various frameworks along with the competitive environment of BP.    </w:t>
      </w:r>
    </w:p>
    <w:p w14:paraId="005CBE1D" w14:textId="77777777" w:rsidR="00500318" w:rsidRPr="004C0A75" w:rsidRDefault="00500318">
      <w:pPr>
        <w:rPr>
          <w:sz w:val="24"/>
          <w:szCs w:val="24"/>
        </w:rPr>
      </w:pPr>
    </w:p>
    <w:p w14:paraId="005CBE1E" w14:textId="77777777" w:rsidR="00500318" w:rsidRPr="004C0A75" w:rsidRDefault="007D071B">
      <w:pPr>
        <w:pStyle w:val="Heading1"/>
        <w:rPr>
          <w:sz w:val="24"/>
          <w:szCs w:val="24"/>
        </w:rPr>
      </w:pPr>
      <w:bookmarkStart w:id="10" w:name="_s3dbd7tr57bv" w:colFirst="0" w:colLast="0"/>
      <w:bookmarkEnd w:id="10"/>
      <w:r w:rsidRPr="004C0A75">
        <w:rPr>
          <w:sz w:val="24"/>
          <w:szCs w:val="24"/>
        </w:rPr>
        <w:br w:type="page"/>
      </w:r>
    </w:p>
    <w:p w14:paraId="005CBE1F" w14:textId="77777777" w:rsidR="00500318" w:rsidRPr="004C0A75" w:rsidRDefault="007D071B">
      <w:pPr>
        <w:pStyle w:val="Heading1"/>
        <w:rPr>
          <w:sz w:val="24"/>
          <w:szCs w:val="24"/>
        </w:rPr>
      </w:pPr>
      <w:bookmarkStart w:id="11" w:name="_2gfxn184usjo" w:colFirst="0" w:colLast="0"/>
      <w:bookmarkStart w:id="12" w:name="_Toc99829096"/>
      <w:bookmarkEnd w:id="11"/>
      <w:r w:rsidRPr="004C0A75">
        <w:rPr>
          <w:sz w:val="24"/>
          <w:szCs w:val="24"/>
        </w:rPr>
        <w:lastRenderedPageBreak/>
        <w:t>Reference</w:t>
      </w:r>
      <w:bookmarkEnd w:id="12"/>
    </w:p>
    <w:p w14:paraId="005CBE20" w14:textId="77777777" w:rsidR="00EF7AA5" w:rsidRPr="004C0A75" w:rsidRDefault="00EF7AA5">
      <w:pPr>
        <w:rPr>
          <w:sz w:val="24"/>
          <w:szCs w:val="24"/>
        </w:rPr>
      </w:pPr>
      <w:r w:rsidRPr="004C0A75">
        <w:rPr>
          <w:sz w:val="24"/>
          <w:szCs w:val="24"/>
        </w:rPr>
        <w:t xml:space="preserve">Automotive Logistics. 2022. </w:t>
      </w:r>
      <w:r w:rsidRPr="004C0A75">
        <w:rPr>
          <w:i/>
          <w:sz w:val="24"/>
          <w:szCs w:val="24"/>
        </w:rPr>
        <w:t>UK haulage industry in crisis as driver numbers haemorrhage</w:t>
      </w:r>
      <w:r w:rsidRPr="004C0A75">
        <w:rPr>
          <w:sz w:val="24"/>
          <w:szCs w:val="24"/>
        </w:rPr>
        <w:t xml:space="preserve">. [online] Available at: &lt;https://www.automotivelogistics.media/policy-and-regulation/uk-haulage-industry-in-crisis-as-driver-numbers-haemorrhage/42324.article&gt; [Accessed 2 April 2022]. </w:t>
      </w:r>
    </w:p>
    <w:p w14:paraId="005CBE21" w14:textId="77777777" w:rsidR="00EF7AA5" w:rsidRPr="004C0A75" w:rsidRDefault="00EF7AA5">
      <w:pPr>
        <w:rPr>
          <w:sz w:val="24"/>
          <w:szCs w:val="24"/>
        </w:rPr>
      </w:pPr>
      <w:proofErr w:type="spellStart"/>
      <w:r w:rsidRPr="004C0A75">
        <w:rPr>
          <w:sz w:val="24"/>
          <w:szCs w:val="24"/>
        </w:rPr>
        <w:t>Bazzana</w:t>
      </w:r>
      <w:proofErr w:type="spellEnd"/>
      <w:r w:rsidRPr="004C0A75">
        <w:rPr>
          <w:sz w:val="24"/>
          <w:szCs w:val="24"/>
        </w:rPr>
        <w:t xml:space="preserve">, D., Cohen, J.J., </w:t>
      </w:r>
      <w:proofErr w:type="spellStart"/>
      <w:r w:rsidRPr="004C0A75">
        <w:rPr>
          <w:sz w:val="24"/>
          <w:szCs w:val="24"/>
        </w:rPr>
        <w:t>Golinucci</w:t>
      </w:r>
      <w:proofErr w:type="spellEnd"/>
      <w:r w:rsidRPr="004C0A75">
        <w:rPr>
          <w:sz w:val="24"/>
          <w:szCs w:val="24"/>
        </w:rPr>
        <w:t xml:space="preserve">, N., Hafner, M., </w:t>
      </w:r>
      <w:proofErr w:type="spellStart"/>
      <w:r w:rsidRPr="004C0A75">
        <w:rPr>
          <w:sz w:val="24"/>
          <w:szCs w:val="24"/>
        </w:rPr>
        <w:t>Noussan</w:t>
      </w:r>
      <w:proofErr w:type="spellEnd"/>
      <w:r w:rsidRPr="004C0A75">
        <w:rPr>
          <w:sz w:val="24"/>
          <w:szCs w:val="24"/>
        </w:rPr>
        <w:t xml:space="preserve">, M., </w:t>
      </w:r>
      <w:proofErr w:type="spellStart"/>
      <w:r w:rsidRPr="004C0A75">
        <w:rPr>
          <w:sz w:val="24"/>
          <w:szCs w:val="24"/>
        </w:rPr>
        <w:t>Reichl</w:t>
      </w:r>
      <w:proofErr w:type="spellEnd"/>
      <w:r w:rsidRPr="004C0A75">
        <w:rPr>
          <w:sz w:val="24"/>
          <w:szCs w:val="24"/>
        </w:rPr>
        <w:t xml:space="preserve">, J., Rocco, M.V., </w:t>
      </w:r>
      <w:proofErr w:type="spellStart"/>
      <w:r w:rsidRPr="004C0A75">
        <w:rPr>
          <w:sz w:val="24"/>
          <w:szCs w:val="24"/>
        </w:rPr>
        <w:t>Sciullo</w:t>
      </w:r>
      <w:proofErr w:type="spellEnd"/>
      <w:r w:rsidRPr="004C0A75">
        <w:rPr>
          <w:sz w:val="24"/>
          <w:szCs w:val="24"/>
        </w:rPr>
        <w:t xml:space="preserve">, A. and </w:t>
      </w:r>
      <w:proofErr w:type="spellStart"/>
      <w:r w:rsidRPr="004C0A75">
        <w:rPr>
          <w:sz w:val="24"/>
          <w:szCs w:val="24"/>
        </w:rPr>
        <w:t>Vergalli</w:t>
      </w:r>
      <w:proofErr w:type="spellEnd"/>
      <w:r w:rsidRPr="004C0A75">
        <w:rPr>
          <w:sz w:val="24"/>
          <w:szCs w:val="24"/>
        </w:rPr>
        <w:t xml:space="preserve">, S., 2022. A multi-disciplinary approach to estimate the medium-term impact of COVID-19 on transport and energy: A case study for Italy. Energy, 238, p.122015. </w:t>
      </w:r>
    </w:p>
    <w:p w14:paraId="005CBE22" w14:textId="77777777" w:rsidR="00EF7AA5" w:rsidRPr="004C0A75" w:rsidRDefault="00EF7AA5">
      <w:pPr>
        <w:rPr>
          <w:sz w:val="24"/>
          <w:szCs w:val="24"/>
        </w:rPr>
      </w:pPr>
      <w:r w:rsidRPr="004C0A75">
        <w:rPr>
          <w:sz w:val="24"/>
          <w:szCs w:val="24"/>
        </w:rPr>
        <w:t xml:space="preserve">Campbell, R., Sanders, T., Hassan, R., </w:t>
      </w:r>
      <w:proofErr w:type="spellStart"/>
      <w:r w:rsidRPr="004C0A75">
        <w:rPr>
          <w:sz w:val="24"/>
          <w:szCs w:val="24"/>
        </w:rPr>
        <w:t>Gichuna</w:t>
      </w:r>
      <w:proofErr w:type="spellEnd"/>
      <w:r w:rsidRPr="004C0A75">
        <w:rPr>
          <w:sz w:val="24"/>
          <w:szCs w:val="24"/>
        </w:rPr>
        <w:t xml:space="preserve">, S., </w:t>
      </w:r>
      <w:proofErr w:type="spellStart"/>
      <w:r w:rsidRPr="004C0A75">
        <w:rPr>
          <w:sz w:val="24"/>
          <w:szCs w:val="24"/>
        </w:rPr>
        <w:t>Mutonyi</w:t>
      </w:r>
      <w:proofErr w:type="spellEnd"/>
      <w:r w:rsidRPr="004C0A75">
        <w:rPr>
          <w:sz w:val="24"/>
          <w:szCs w:val="24"/>
        </w:rPr>
        <w:t>, M. and Mwangi, P., 2020. Global Effects of COVID-19, government restrictions and implications for sex workers: A focus on Africa. LIAS Working Paper Series, 3.</w:t>
      </w:r>
    </w:p>
    <w:p w14:paraId="005CBE23" w14:textId="77777777" w:rsidR="00EF7AA5" w:rsidRPr="004C0A75" w:rsidRDefault="00EF7AA5">
      <w:pPr>
        <w:rPr>
          <w:sz w:val="24"/>
          <w:szCs w:val="24"/>
        </w:rPr>
      </w:pPr>
      <w:proofErr w:type="spellStart"/>
      <w:r w:rsidRPr="004C0A75">
        <w:rPr>
          <w:sz w:val="24"/>
          <w:szCs w:val="24"/>
        </w:rPr>
        <w:t>Cavaleri</w:t>
      </w:r>
      <w:proofErr w:type="spellEnd"/>
      <w:r w:rsidRPr="004C0A75">
        <w:rPr>
          <w:sz w:val="24"/>
          <w:szCs w:val="24"/>
        </w:rPr>
        <w:t xml:space="preserve">, S. and Shabana, K., 2018. Rethinking sustainability strategies. Journal of Strategy and Management. </w:t>
      </w:r>
    </w:p>
    <w:p w14:paraId="005CBE24" w14:textId="77777777" w:rsidR="00EF7AA5" w:rsidRPr="004C0A75" w:rsidRDefault="00EF7AA5">
      <w:pPr>
        <w:rPr>
          <w:sz w:val="24"/>
          <w:szCs w:val="24"/>
        </w:rPr>
      </w:pPr>
      <w:r w:rsidRPr="004C0A75">
        <w:rPr>
          <w:sz w:val="24"/>
          <w:szCs w:val="24"/>
        </w:rPr>
        <w:t>Cullen, A.M., Hail, Y. and McQuaid, R., Impacts of COVID-19 on employment fairness in the transport industry–challenges, employer support and flexible working.</w:t>
      </w:r>
    </w:p>
    <w:p w14:paraId="005CBE25" w14:textId="77777777" w:rsidR="00EF7AA5" w:rsidRPr="004C0A75" w:rsidRDefault="00EF7AA5">
      <w:pPr>
        <w:rPr>
          <w:sz w:val="24"/>
          <w:szCs w:val="24"/>
        </w:rPr>
      </w:pPr>
      <w:r w:rsidRPr="004C0A75">
        <w:rPr>
          <w:sz w:val="24"/>
          <w:szCs w:val="24"/>
        </w:rPr>
        <w:t xml:space="preserve">Doherty, N.A. and Smith, C., 2020. Corporate insurance strategy: The case of British Petroleum. Journal of Applied Corporate Finance, 32(1), pp.48-57. </w:t>
      </w:r>
    </w:p>
    <w:p w14:paraId="005CBE26" w14:textId="77777777" w:rsidR="00EF7AA5" w:rsidRPr="004C0A75" w:rsidRDefault="00EF7AA5">
      <w:pPr>
        <w:rPr>
          <w:sz w:val="24"/>
          <w:szCs w:val="24"/>
        </w:rPr>
      </w:pPr>
      <w:r w:rsidRPr="004C0A75">
        <w:rPr>
          <w:sz w:val="24"/>
          <w:szCs w:val="24"/>
        </w:rPr>
        <w:t xml:space="preserve">Longman, D.P., Shaw, C.N., Varela-Mato, V., Sherry, A.P., </w:t>
      </w:r>
      <w:proofErr w:type="spellStart"/>
      <w:r w:rsidRPr="004C0A75">
        <w:rPr>
          <w:sz w:val="24"/>
          <w:szCs w:val="24"/>
        </w:rPr>
        <w:t>Ruettger</w:t>
      </w:r>
      <w:proofErr w:type="spellEnd"/>
      <w:r w:rsidRPr="004C0A75">
        <w:rPr>
          <w:sz w:val="24"/>
          <w:szCs w:val="24"/>
        </w:rPr>
        <w:t xml:space="preserve">, K., </w:t>
      </w:r>
      <w:proofErr w:type="spellStart"/>
      <w:r w:rsidRPr="004C0A75">
        <w:rPr>
          <w:sz w:val="24"/>
          <w:szCs w:val="24"/>
        </w:rPr>
        <w:t>Sayyah</w:t>
      </w:r>
      <w:proofErr w:type="spellEnd"/>
      <w:r w:rsidRPr="004C0A75">
        <w:rPr>
          <w:sz w:val="24"/>
          <w:szCs w:val="24"/>
        </w:rPr>
        <w:t xml:space="preserve">, M., Guest, A., Chen, Y.L., Paine, N.J., King, J.A. and </w:t>
      </w:r>
      <w:proofErr w:type="spellStart"/>
      <w:r w:rsidRPr="004C0A75">
        <w:rPr>
          <w:sz w:val="24"/>
          <w:szCs w:val="24"/>
        </w:rPr>
        <w:t>Clemes</w:t>
      </w:r>
      <w:proofErr w:type="spellEnd"/>
      <w:r w:rsidRPr="004C0A75">
        <w:rPr>
          <w:sz w:val="24"/>
          <w:szCs w:val="24"/>
        </w:rPr>
        <w:t xml:space="preserve">, S.A., 2021. Time in nature associated with decreased fatigue in UK truck drivers. International journal of environmental research and public health, 18(6), p.3158. </w:t>
      </w:r>
    </w:p>
    <w:p w14:paraId="005CBE27" w14:textId="77777777" w:rsidR="00EF7AA5" w:rsidRPr="004C0A75" w:rsidRDefault="00EF7AA5">
      <w:pPr>
        <w:rPr>
          <w:sz w:val="24"/>
          <w:szCs w:val="24"/>
        </w:rPr>
      </w:pPr>
      <w:proofErr w:type="spellStart"/>
      <w:r w:rsidRPr="004C0A75">
        <w:rPr>
          <w:sz w:val="24"/>
          <w:szCs w:val="24"/>
        </w:rPr>
        <w:t>Mahsud</w:t>
      </w:r>
      <w:proofErr w:type="spellEnd"/>
      <w:r w:rsidRPr="004C0A75">
        <w:rPr>
          <w:sz w:val="24"/>
          <w:szCs w:val="24"/>
        </w:rPr>
        <w:t xml:space="preserve">, R., </w:t>
      </w:r>
      <w:proofErr w:type="spellStart"/>
      <w:r w:rsidRPr="004C0A75">
        <w:rPr>
          <w:sz w:val="24"/>
          <w:szCs w:val="24"/>
        </w:rPr>
        <w:t>Imanaka</w:t>
      </w:r>
      <w:proofErr w:type="spellEnd"/>
      <w:r w:rsidRPr="004C0A75">
        <w:rPr>
          <w:sz w:val="24"/>
          <w:szCs w:val="24"/>
        </w:rPr>
        <w:t>, J.L. and Prussia, G.E., 2018. Authenticity in business sustainability: Overcoming limitations in strategic management constructs. Sustainability Accounting, Management and Policy Journal.</w:t>
      </w:r>
    </w:p>
    <w:p w14:paraId="005CBE28" w14:textId="77777777" w:rsidR="00EF7AA5" w:rsidRPr="004C0A75" w:rsidRDefault="00EF7AA5">
      <w:pPr>
        <w:rPr>
          <w:sz w:val="24"/>
          <w:szCs w:val="24"/>
        </w:rPr>
      </w:pPr>
      <w:proofErr w:type="spellStart"/>
      <w:r w:rsidRPr="004C0A75">
        <w:rPr>
          <w:sz w:val="24"/>
          <w:szCs w:val="24"/>
        </w:rPr>
        <w:lastRenderedPageBreak/>
        <w:t>Osińska</w:t>
      </w:r>
      <w:proofErr w:type="spellEnd"/>
      <w:r w:rsidRPr="004C0A75">
        <w:rPr>
          <w:sz w:val="24"/>
          <w:szCs w:val="24"/>
        </w:rPr>
        <w:t xml:space="preserve">, M. and </w:t>
      </w:r>
      <w:proofErr w:type="spellStart"/>
      <w:r w:rsidRPr="004C0A75">
        <w:rPr>
          <w:sz w:val="24"/>
          <w:szCs w:val="24"/>
        </w:rPr>
        <w:t>Zalewski</w:t>
      </w:r>
      <w:proofErr w:type="spellEnd"/>
      <w:r w:rsidRPr="004C0A75">
        <w:rPr>
          <w:sz w:val="24"/>
          <w:szCs w:val="24"/>
        </w:rPr>
        <w:t xml:space="preserve">, W., 2020. Effectiveness of the anti-crisis policy in the period of COVID-19 pandemic in the road transport industry. European Research Studies, 23(2), pp.40-57. </w:t>
      </w:r>
    </w:p>
    <w:p w14:paraId="005CBE29" w14:textId="77777777" w:rsidR="00EF7AA5" w:rsidRPr="004C0A75" w:rsidRDefault="00EF7AA5">
      <w:pPr>
        <w:rPr>
          <w:sz w:val="24"/>
          <w:szCs w:val="24"/>
        </w:rPr>
      </w:pPr>
      <w:r w:rsidRPr="004C0A75">
        <w:rPr>
          <w:sz w:val="24"/>
          <w:szCs w:val="24"/>
        </w:rPr>
        <w:t>Policy, L.U., 2021. Skills and Employment Report 2021.</w:t>
      </w:r>
    </w:p>
    <w:p w14:paraId="005CBE2A" w14:textId="77777777" w:rsidR="00EF7AA5" w:rsidRPr="004C0A75" w:rsidRDefault="00EF7AA5">
      <w:pPr>
        <w:rPr>
          <w:sz w:val="24"/>
          <w:szCs w:val="24"/>
        </w:rPr>
      </w:pPr>
      <w:r w:rsidRPr="004C0A75">
        <w:rPr>
          <w:sz w:val="24"/>
          <w:szCs w:val="24"/>
        </w:rPr>
        <w:t xml:space="preserve">Sperry, D., Schuster, A.M., </w:t>
      </w:r>
      <w:proofErr w:type="spellStart"/>
      <w:r w:rsidRPr="004C0A75">
        <w:rPr>
          <w:sz w:val="24"/>
          <w:szCs w:val="24"/>
        </w:rPr>
        <w:t>Cotten</w:t>
      </w:r>
      <w:proofErr w:type="spellEnd"/>
      <w:r w:rsidRPr="004C0A75">
        <w:rPr>
          <w:sz w:val="24"/>
          <w:szCs w:val="24"/>
        </w:rPr>
        <w:t xml:space="preserve">, S.R., Agrawal, S., Mack, E., Britt, N. and Liberman, J., 2022. Trucking in the Era of COVID-19. American </w:t>
      </w:r>
      <w:proofErr w:type="spellStart"/>
      <w:r w:rsidRPr="004C0A75">
        <w:rPr>
          <w:sz w:val="24"/>
          <w:szCs w:val="24"/>
        </w:rPr>
        <w:t>Behavioral</w:t>
      </w:r>
      <w:proofErr w:type="spellEnd"/>
      <w:r w:rsidRPr="004C0A75">
        <w:rPr>
          <w:sz w:val="24"/>
          <w:szCs w:val="24"/>
        </w:rPr>
        <w:t xml:space="preserve"> Scientist, p.00027642211066039. </w:t>
      </w:r>
    </w:p>
    <w:p w14:paraId="005CBE2B" w14:textId="77777777" w:rsidR="00EF7AA5" w:rsidRPr="004C0A75" w:rsidRDefault="00EF7AA5">
      <w:pPr>
        <w:rPr>
          <w:sz w:val="24"/>
          <w:szCs w:val="24"/>
        </w:rPr>
      </w:pPr>
      <w:proofErr w:type="spellStart"/>
      <w:r w:rsidRPr="004C0A75">
        <w:rPr>
          <w:sz w:val="24"/>
          <w:szCs w:val="24"/>
        </w:rPr>
        <w:t>Vingilis</w:t>
      </w:r>
      <w:proofErr w:type="spellEnd"/>
      <w:r w:rsidRPr="004C0A75">
        <w:rPr>
          <w:sz w:val="24"/>
          <w:szCs w:val="24"/>
        </w:rPr>
        <w:t xml:space="preserve">, E., </w:t>
      </w:r>
      <w:proofErr w:type="spellStart"/>
      <w:r w:rsidRPr="004C0A75">
        <w:rPr>
          <w:sz w:val="24"/>
          <w:szCs w:val="24"/>
        </w:rPr>
        <w:t>Beirness</w:t>
      </w:r>
      <w:proofErr w:type="spellEnd"/>
      <w:r w:rsidRPr="004C0A75">
        <w:rPr>
          <w:sz w:val="24"/>
          <w:szCs w:val="24"/>
        </w:rPr>
        <w:t xml:space="preserve">, D., </w:t>
      </w:r>
      <w:proofErr w:type="spellStart"/>
      <w:r w:rsidRPr="004C0A75">
        <w:rPr>
          <w:sz w:val="24"/>
          <w:szCs w:val="24"/>
        </w:rPr>
        <w:t>Boase</w:t>
      </w:r>
      <w:proofErr w:type="spellEnd"/>
      <w:r w:rsidRPr="004C0A75">
        <w:rPr>
          <w:sz w:val="24"/>
          <w:szCs w:val="24"/>
        </w:rPr>
        <w:t xml:space="preserve">, P., Byrne, P., Johnson, J., Jonah, B., Mann, R.E., Rapoport, M.J., Seeley, J., </w:t>
      </w:r>
      <w:proofErr w:type="spellStart"/>
      <w:r w:rsidRPr="004C0A75">
        <w:rPr>
          <w:sz w:val="24"/>
          <w:szCs w:val="24"/>
        </w:rPr>
        <w:t>Wickens</w:t>
      </w:r>
      <w:proofErr w:type="spellEnd"/>
      <w:r w:rsidRPr="004C0A75">
        <w:rPr>
          <w:sz w:val="24"/>
          <w:szCs w:val="24"/>
        </w:rPr>
        <w:t>, C.M. and Wiesenthal, D.L., 2020. Coronavirus disease 2019: What could be the effects on Road safety?. Accident Analysis &amp; Prevention, 144, p.105687.</w:t>
      </w:r>
    </w:p>
    <w:p w14:paraId="005CBE2C" w14:textId="77777777" w:rsidR="00EF7AA5" w:rsidRPr="004C0A75" w:rsidRDefault="00EF7AA5">
      <w:pPr>
        <w:rPr>
          <w:sz w:val="24"/>
          <w:szCs w:val="24"/>
        </w:rPr>
      </w:pPr>
      <w:r w:rsidRPr="004C0A75">
        <w:rPr>
          <w:sz w:val="24"/>
          <w:szCs w:val="24"/>
        </w:rPr>
        <w:t xml:space="preserve">Wormald, J., 2020. The UK Automobile: Post-Brexit. </w:t>
      </w:r>
    </w:p>
    <w:p w14:paraId="005CBE2D" w14:textId="77777777" w:rsidR="00EF7AA5" w:rsidRPr="004C0A75" w:rsidRDefault="00EF7AA5">
      <w:pPr>
        <w:rPr>
          <w:sz w:val="24"/>
          <w:szCs w:val="24"/>
        </w:rPr>
      </w:pPr>
      <w:r w:rsidRPr="004C0A75">
        <w:rPr>
          <w:sz w:val="24"/>
          <w:szCs w:val="24"/>
        </w:rPr>
        <w:t xml:space="preserve">York Press. 2022. </w:t>
      </w:r>
      <w:r w:rsidRPr="004C0A75">
        <w:rPr>
          <w:i/>
          <w:sz w:val="24"/>
          <w:szCs w:val="24"/>
        </w:rPr>
        <w:t>The poor conditions that deter drivers from becoming truckers.</w:t>
      </w:r>
      <w:r w:rsidRPr="004C0A75">
        <w:rPr>
          <w:sz w:val="24"/>
          <w:szCs w:val="24"/>
        </w:rPr>
        <w:t xml:space="preserve"> [online] Available at: &lt;https://www.yorkpress.co.uk/news/19606111.truckers-reveal-reasons-behind-hgv-driver-shortage/&gt; [Accessed 2 April 2022]. </w:t>
      </w:r>
    </w:p>
    <w:p w14:paraId="005CBE2E" w14:textId="77777777" w:rsidR="00EF7AA5" w:rsidRPr="004C0A75" w:rsidRDefault="00EF7AA5">
      <w:pPr>
        <w:rPr>
          <w:sz w:val="24"/>
          <w:szCs w:val="24"/>
        </w:rPr>
      </w:pPr>
      <w:proofErr w:type="spellStart"/>
      <w:r w:rsidRPr="004C0A75">
        <w:rPr>
          <w:sz w:val="24"/>
          <w:szCs w:val="24"/>
        </w:rPr>
        <w:t>Zhongming</w:t>
      </w:r>
      <w:proofErr w:type="spellEnd"/>
      <w:r w:rsidRPr="004C0A75">
        <w:rPr>
          <w:sz w:val="24"/>
          <w:szCs w:val="24"/>
        </w:rPr>
        <w:t xml:space="preserve">, Z., </w:t>
      </w:r>
      <w:proofErr w:type="spellStart"/>
      <w:r w:rsidRPr="004C0A75">
        <w:rPr>
          <w:sz w:val="24"/>
          <w:szCs w:val="24"/>
        </w:rPr>
        <w:t>Linong</w:t>
      </w:r>
      <w:proofErr w:type="spellEnd"/>
      <w:r w:rsidRPr="004C0A75">
        <w:rPr>
          <w:sz w:val="24"/>
          <w:szCs w:val="24"/>
        </w:rPr>
        <w:t xml:space="preserve">, L., </w:t>
      </w:r>
      <w:proofErr w:type="spellStart"/>
      <w:r w:rsidRPr="004C0A75">
        <w:rPr>
          <w:sz w:val="24"/>
          <w:szCs w:val="24"/>
        </w:rPr>
        <w:t>Xiaona</w:t>
      </w:r>
      <w:proofErr w:type="spellEnd"/>
      <w:r w:rsidRPr="004C0A75">
        <w:rPr>
          <w:sz w:val="24"/>
          <w:szCs w:val="24"/>
        </w:rPr>
        <w:t xml:space="preserve">, Y., </w:t>
      </w:r>
      <w:proofErr w:type="spellStart"/>
      <w:r w:rsidRPr="004C0A75">
        <w:rPr>
          <w:sz w:val="24"/>
          <w:szCs w:val="24"/>
        </w:rPr>
        <w:t>Wangqiang</w:t>
      </w:r>
      <w:proofErr w:type="spellEnd"/>
      <w:r w:rsidRPr="004C0A75">
        <w:rPr>
          <w:sz w:val="24"/>
          <w:szCs w:val="24"/>
        </w:rPr>
        <w:t>, Z. and Wei, L., 2021. More support to help people to become HGV drivers among package of government measures to ease risk of shortages.</w:t>
      </w:r>
    </w:p>
    <w:sectPr w:rsidR="00EF7AA5" w:rsidRPr="004C0A75" w:rsidSect="00500318">
      <w:footerReference w:type="default" r:id="rId8"/>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52CB41" w14:textId="77777777" w:rsidR="00B16C10" w:rsidRDefault="00B16C10" w:rsidP="00500318">
      <w:pPr>
        <w:spacing w:line="240" w:lineRule="auto"/>
      </w:pPr>
      <w:r>
        <w:separator/>
      </w:r>
    </w:p>
  </w:endnote>
  <w:endnote w:type="continuationSeparator" w:id="0">
    <w:p w14:paraId="2C04C1A6" w14:textId="77777777" w:rsidR="00B16C10" w:rsidRDefault="00B16C10" w:rsidP="0050031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5CBE33" w14:textId="77777777" w:rsidR="00500318" w:rsidRDefault="00500318">
    <w:pPr>
      <w:jc w:val="right"/>
    </w:pPr>
    <w:r>
      <w:fldChar w:fldCharType="begin"/>
    </w:r>
    <w:r w:rsidR="007D071B">
      <w:instrText>PAGE</w:instrText>
    </w:r>
    <w:r>
      <w:fldChar w:fldCharType="separate"/>
    </w:r>
    <w:r w:rsidR="00EF7AA5">
      <w:rPr>
        <w:noProof/>
      </w:rPr>
      <w:t>11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3BD667" w14:textId="77777777" w:rsidR="00B16C10" w:rsidRDefault="00B16C10" w:rsidP="00500318">
      <w:pPr>
        <w:spacing w:line="240" w:lineRule="auto"/>
      </w:pPr>
      <w:r>
        <w:separator/>
      </w:r>
    </w:p>
  </w:footnote>
  <w:footnote w:type="continuationSeparator" w:id="0">
    <w:p w14:paraId="68E9A12A" w14:textId="77777777" w:rsidR="00B16C10" w:rsidRDefault="00B16C10" w:rsidP="0050031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E9B31D"/>
    <w:multiLevelType w:val="hybridMultilevel"/>
    <w:tmpl w:val="00000000"/>
    <w:lvl w:ilvl="0" w:tplc="FBD6F616">
      <w:start w:val="1"/>
      <w:numFmt w:val="bullet"/>
      <w:lvlText w:val="●"/>
      <w:lvlJc w:val="left"/>
      <w:pPr>
        <w:ind w:left="720" w:hanging="360"/>
      </w:pPr>
      <w:rPr>
        <w:u w:val="none"/>
      </w:rPr>
    </w:lvl>
    <w:lvl w:ilvl="1" w:tplc="6746647A">
      <w:start w:val="1"/>
      <w:numFmt w:val="bullet"/>
      <w:lvlText w:val="○"/>
      <w:lvlJc w:val="left"/>
      <w:pPr>
        <w:ind w:left="1440" w:hanging="360"/>
      </w:pPr>
      <w:rPr>
        <w:u w:val="none"/>
      </w:rPr>
    </w:lvl>
    <w:lvl w:ilvl="2" w:tplc="03BA5FE2">
      <w:start w:val="1"/>
      <w:numFmt w:val="bullet"/>
      <w:lvlText w:val="■"/>
      <w:lvlJc w:val="left"/>
      <w:pPr>
        <w:ind w:left="2160" w:hanging="360"/>
      </w:pPr>
      <w:rPr>
        <w:u w:val="none"/>
      </w:rPr>
    </w:lvl>
    <w:lvl w:ilvl="3" w:tplc="FD2E5D88">
      <w:start w:val="1"/>
      <w:numFmt w:val="bullet"/>
      <w:lvlText w:val="●"/>
      <w:lvlJc w:val="left"/>
      <w:pPr>
        <w:ind w:left="2880" w:hanging="360"/>
      </w:pPr>
      <w:rPr>
        <w:u w:val="none"/>
      </w:rPr>
    </w:lvl>
    <w:lvl w:ilvl="4" w:tplc="91CCD8E4">
      <w:start w:val="1"/>
      <w:numFmt w:val="bullet"/>
      <w:lvlText w:val="○"/>
      <w:lvlJc w:val="left"/>
      <w:pPr>
        <w:ind w:left="3600" w:hanging="360"/>
      </w:pPr>
      <w:rPr>
        <w:u w:val="none"/>
      </w:rPr>
    </w:lvl>
    <w:lvl w:ilvl="5" w:tplc="2AB6DEBC">
      <w:start w:val="1"/>
      <w:numFmt w:val="bullet"/>
      <w:lvlText w:val="■"/>
      <w:lvlJc w:val="left"/>
      <w:pPr>
        <w:ind w:left="4320" w:hanging="360"/>
      </w:pPr>
      <w:rPr>
        <w:u w:val="none"/>
      </w:rPr>
    </w:lvl>
    <w:lvl w:ilvl="6" w:tplc="4E6AA3F2">
      <w:start w:val="1"/>
      <w:numFmt w:val="bullet"/>
      <w:lvlText w:val="●"/>
      <w:lvlJc w:val="left"/>
      <w:pPr>
        <w:ind w:left="5040" w:hanging="360"/>
      </w:pPr>
      <w:rPr>
        <w:u w:val="none"/>
      </w:rPr>
    </w:lvl>
    <w:lvl w:ilvl="7" w:tplc="F76EEC50">
      <w:start w:val="1"/>
      <w:numFmt w:val="bullet"/>
      <w:lvlText w:val="○"/>
      <w:lvlJc w:val="left"/>
      <w:pPr>
        <w:ind w:left="5760" w:hanging="360"/>
      </w:pPr>
      <w:rPr>
        <w:u w:val="none"/>
      </w:rPr>
    </w:lvl>
    <w:lvl w:ilvl="8" w:tplc="3A4E2B26">
      <w:start w:val="1"/>
      <w:numFmt w:val="bullet"/>
      <w:lvlText w:val="■"/>
      <w:lvlJc w:val="left"/>
      <w:pPr>
        <w:ind w:left="6480" w:hanging="360"/>
      </w:pPr>
      <w:rPr>
        <w:u w:val="none"/>
      </w:rPr>
    </w:lvl>
  </w:abstractNum>
  <w:abstractNum w:abstractNumId="1" w15:restartNumberingAfterBreak="0">
    <w:nsid w:val="0D6D03BA"/>
    <w:multiLevelType w:val="hybridMultilevel"/>
    <w:tmpl w:val="00000000"/>
    <w:lvl w:ilvl="0" w:tplc="435ECAAC">
      <w:start w:val="1"/>
      <w:numFmt w:val="bullet"/>
      <w:lvlText w:val="●"/>
      <w:lvlJc w:val="left"/>
      <w:pPr>
        <w:ind w:left="720" w:hanging="360"/>
      </w:pPr>
      <w:rPr>
        <w:u w:val="none"/>
      </w:rPr>
    </w:lvl>
    <w:lvl w:ilvl="1" w:tplc="A0E050E6">
      <w:start w:val="1"/>
      <w:numFmt w:val="bullet"/>
      <w:lvlText w:val="○"/>
      <w:lvlJc w:val="left"/>
      <w:pPr>
        <w:ind w:left="1440" w:hanging="360"/>
      </w:pPr>
      <w:rPr>
        <w:u w:val="none"/>
      </w:rPr>
    </w:lvl>
    <w:lvl w:ilvl="2" w:tplc="0450E5E0">
      <w:start w:val="1"/>
      <w:numFmt w:val="bullet"/>
      <w:lvlText w:val="■"/>
      <w:lvlJc w:val="left"/>
      <w:pPr>
        <w:ind w:left="2160" w:hanging="360"/>
      </w:pPr>
      <w:rPr>
        <w:u w:val="none"/>
      </w:rPr>
    </w:lvl>
    <w:lvl w:ilvl="3" w:tplc="82988920">
      <w:start w:val="1"/>
      <w:numFmt w:val="bullet"/>
      <w:lvlText w:val="●"/>
      <w:lvlJc w:val="left"/>
      <w:pPr>
        <w:ind w:left="2880" w:hanging="360"/>
      </w:pPr>
      <w:rPr>
        <w:u w:val="none"/>
      </w:rPr>
    </w:lvl>
    <w:lvl w:ilvl="4" w:tplc="25F23D66">
      <w:start w:val="1"/>
      <w:numFmt w:val="bullet"/>
      <w:lvlText w:val="○"/>
      <w:lvlJc w:val="left"/>
      <w:pPr>
        <w:ind w:left="3600" w:hanging="360"/>
      </w:pPr>
      <w:rPr>
        <w:u w:val="none"/>
      </w:rPr>
    </w:lvl>
    <w:lvl w:ilvl="5" w:tplc="CAF498B2">
      <w:start w:val="1"/>
      <w:numFmt w:val="bullet"/>
      <w:lvlText w:val="■"/>
      <w:lvlJc w:val="left"/>
      <w:pPr>
        <w:ind w:left="4320" w:hanging="360"/>
      </w:pPr>
      <w:rPr>
        <w:u w:val="none"/>
      </w:rPr>
    </w:lvl>
    <w:lvl w:ilvl="6" w:tplc="851CEF8E">
      <w:start w:val="1"/>
      <w:numFmt w:val="bullet"/>
      <w:lvlText w:val="●"/>
      <w:lvlJc w:val="left"/>
      <w:pPr>
        <w:ind w:left="5040" w:hanging="360"/>
      </w:pPr>
      <w:rPr>
        <w:u w:val="none"/>
      </w:rPr>
    </w:lvl>
    <w:lvl w:ilvl="7" w:tplc="D85A7ED6">
      <w:start w:val="1"/>
      <w:numFmt w:val="bullet"/>
      <w:lvlText w:val="○"/>
      <w:lvlJc w:val="left"/>
      <w:pPr>
        <w:ind w:left="5760" w:hanging="360"/>
      </w:pPr>
      <w:rPr>
        <w:u w:val="none"/>
      </w:rPr>
    </w:lvl>
    <w:lvl w:ilvl="8" w:tplc="6908B6AE">
      <w:start w:val="1"/>
      <w:numFmt w:val="bullet"/>
      <w:lvlText w:val="■"/>
      <w:lvlJc w:val="left"/>
      <w:pPr>
        <w:ind w:left="6480" w:hanging="360"/>
      </w:pPr>
      <w:rPr>
        <w:u w:val="none"/>
      </w:rPr>
    </w:lvl>
  </w:abstractNum>
  <w:abstractNum w:abstractNumId="2" w15:restartNumberingAfterBreak="0">
    <w:nsid w:val="0DCE290C"/>
    <w:multiLevelType w:val="hybridMultilevel"/>
    <w:tmpl w:val="00000000"/>
    <w:lvl w:ilvl="0" w:tplc="F67A438E">
      <w:start w:val="1"/>
      <w:numFmt w:val="bullet"/>
      <w:lvlText w:val="●"/>
      <w:lvlJc w:val="left"/>
      <w:pPr>
        <w:ind w:left="720" w:hanging="360"/>
      </w:pPr>
      <w:rPr>
        <w:u w:val="none"/>
      </w:rPr>
    </w:lvl>
    <w:lvl w:ilvl="1" w:tplc="F99C5BD6">
      <w:start w:val="1"/>
      <w:numFmt w:val="bullet"/>
      <w:lvlText w:val="○"/>
      <w:lvlJc w:val="left"/>
      <w:pPr>
        <w:ind w:left="1440" w:hanging="360"/>
      </w:pPr>
      <w:rPr>
        <w:u w:val="none"/>
      </w:rPr>
    </w:lvl>
    <w:lvl w:ilvl="2" w:tplc="90FC9108">
      <w:start w:val="1"/>
      <w:numFmt w:val="bullet"/>
      <w:lvlText w:val="■"/>
      <w:lvlJc w:val="left"/>
      <w:pPr>
        <w:ind w:left="2160" w:hanging="360"/>
      </w:pPr>
      <w:rPr>
        <w:u w:val="none"/>
      </w:rPr>
    </w:lvl>
    <w:lvl w:ilvl="3" w:tplc="47DC54DC">
      <w:start w:val="1"/>
      <w:numFmt w:val="bullet"/>
      <w:lvlText w:val="●"/>
      <w:lvlJc w:val="left"/>
      <w:pPr>
        <w:ind w:left="2880" w:hanging="360"/>
      </w:pPr>
      <w:rPr>
        <w:u w:val="none"/>
      </w:rPr>
    </w:lvl>
    <w:lvl w:ilvl="4" w:tplc="0FAED3CA">
      <w:start w:val="1"/>
      <w:numFmt w:val="bullet"/>
      <w:lvlText w:val="○"/>
      <w:lvlJc w:val="left"/>
      <w:pPr>
        <w:ind w:left="3600" w:hanging="360"/>
      </w:pPr>
      <w:rPr>
        <w:u w:val="none"/>
      </w:rPr>
    </w:lvl>
    <w:lvl w:ilvl="5" w:tplc="63E8499E">
      <w:start w:val="1"/>
      <w:numFmt w:val="bullet"/>
      <w:lvlText w:val="■"/>
      <w:lvlJc w:val="left"/>
      <w:pPr>
        <w:ind w:left="4320" w:hanging="360"/>
      </w:pPr>
      <w:rPr>
        <w:u w:val="none"/>
      </w:rPr>
    </w:lvl>
    <w:lvl w:ilvl="6" w:tplc="AD04F984">
      <w:start w:val="1"/>
      <w:numFmt w:val="bullet"/>
      <w:lvlText w:val="●"/>
      <w:lvlJc w:val="left"/>
      <w:pPr>
        <w:ind w:left="5040" w:hanging="360"/>
      </w:pPr>
      <w:rPr>
        <w:u w:val="none"/>
      </w:rPr>
    </w:lvl>
    <w:lvl w:ilvl="7" w:tplc="D7C06246">
      <w:start w:val="1"/>
      <w:numFmt w:val="bullet"/>
      <w:lvlText w:val="○"/>
      <w:lvlJc w:val="left"/>
      <w:pPr>
        <w:ind w:left="5760" w:hanging="360"/>
      </w:pPr>
      <w:rPr>
        <w:u w:val="none"/>
      </w:rPr>
    </w:lvl>
    <w:lvl w:ilvl="8" w:tplc="8BE2EF62">
      <w:start w:val="1"/>
      <w:numFmt w:val="bullet"/>
      <w:lvlText w:val="■"/>
      <w:lvlJc w:val="left"/>
      <w:pPr>
        <w:ind w:left="6480" w:hanging="360"/>
      </w:pPr>
      <w:rPr>
        <w:u w:val="none"/>
      </w:rPr>
    </w:lvl>
  </w:abstractNum>
  <w:abstractNum w:abstractNumId="3" w15:restartNumberingAfterBreak="0">
    <w:nsid w:val="0EBC300D"/>
    <w:multiLevelType w:val="hybridMultilevel"/>
    <w:tmpl w:val="00000000"/>
    <w:lvl w:ilvl="0" w:tplc="FF9EE0C0">
      <w:start w:val="1"/>
      <w:numFmt w:val="bullet"/>
      <w:lvlText w:val="●"/>
      <w:lvlJc w:val="left"/>
      <w:pPr>
        <w:ind w:left="720" w:hanging="360"/>
      </w:pPr>
      <w:rPr>
        <w:u w:val="none"/>
      </w:rPr>
    </w:lvl>
    <w:lvl w:ilvl="1" w:tplc="A0AEE558">
      <w:start w:val="1"/>
      <w:numFmt w:val="bullet"/>
      <w:lvlText w:val="○"/>
      <w:lvlJc w:val="left"/>
      <w:pPr>
        <w:ind w:left="1440" w:hanging="360"/>
      </w:pPr>
      <w:rPr>
        <w:u w:val="none"/>
      </w:rPr>
    </w:lvl>
    <w:lvl w:ilvl="2" w:tplc="0E4E11D6">
      <w:start w:val="1"/>
      <w:numFmt w:val="bullet"/>
      <w:lvlText w:val="■"/>
      <w:lvlJc w:val="left"/>
      <w:pPr>
        <w:ind w:left="2160" w:hanging="360"/>
      </w:pPr>
      <w:rPr>
        <w:u w:val="none"/>
      </w:rPr>
    </w:lvl>
    <w:lvl w:ilvl="3" w:tplc="B7445DE2">
      <w:start w:val="1"/>
      <w:numFmt w:val="bullet"/>
      <w:lvlText w:val="●"/>
      <w:lvlJc w:val="left"/>
      <w:pPr>
        <w:ind w:left="2880" w:hanging="360"/>
      </w:pPr>
      <w:rPr>
        <w:u w:val="none"/>
      </w:rPr>
    </w:lvl>
    <w:lvl w:ilvl="4" w:tplc="2C90DEF4">
      <w:start w:val="1"/>
      <w:numFmt w:val="bullet"/>
      <w:lvlText w:val="○"/>
      <w:lvlJc w:val="left"/>
      <w:pPr>
        <w:ind w:left="3600" w:hanging="360"/>
      </w:pPr>
      <w:rPr>
        <w:u w:val="none"/>
      </w:rPr>
    </w:lvl>
    <w:lvl w:ilvl="5" w:tplc="F4EE06D2">
      <w:start w:val="1"/>
      <w:numFmt w:val="bullet"/>
      <w:lvlText w:val="■"/>
      <w:lvlJc w:val="left"/>
      <w:pPr>
        <w:ind w:left="4320" w:hanging="360"/>
      </w:pPr>
      <w:rPr>
        <w:u w:val="none"/>
      </w:rPr>
    </w:lvl>
    <w:lvl w:ilvl="6" w:tplc="F02A2FD0">
      <w:start w:val="1"/>
      <w:numFmt w:val="bullet"/>
      <w:lvlText w:val="●"/>
      <w:lvlJc w:val="left"/>
      <w:pPr>
        <w:ind w:left="5040" w:hanging="360"/>
      </w:pPr>
      <w:rPr>
        <w:u w:val="none"/>
      </w:rPr>
    </w:lvl>
    <w:lvl w:ilvl="7" w:tplc="B00A1466">
      <w:start w:val="1"/>
      <w:numFmt w:val="bullet"/>
      <w:lvlText w:val="○"/>
      <w:lvlJc w:val="left"/>
      <w:pPr>
        <w:ind w:left="5760" w:hanging="360"/>
      </w:pPr>
      <w:rPr>
        <w:u w:val="none"/>
      </w:rPr>
    </w:lvl>
    <w:lvl w:ilvl="8" w:tplc="EE0855E4">
      <w:start w:val="1"/>
      <w:numFmt w:val="bullet"/>
      <w:lvlText w:val="■"/>
      <w:lvlJc w:val="left"/>
      <w:pPr>
        <w:ind w:left="6480" w:hanging="360"/>
      </w:pPr>
      <w:rPr>
        <w:u w:val="none"/>
      </w:rPr>
    </w:lvl>
  </w:abstractNum>
  <w:num w:numId="1" w16cid:durableId="1270316375">
    <w:abstractNumId w:val="3"/>
  </w:num>
  <w:num w:numId="2" w16cid:durableId="1254779696">
    <w:abstractNumId w:val="1"/>
  </w:num>
  <w:num w:numId="3" w16cid:durableId="828013965">
    <w:abstractNumId w:val="2"/>
  </w:num>
  <w:num w:numId="4" w16cid:durableId="623365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00318"/>
    <w:rsid w:val="0009097D"/>
    <w:rsid w:val="003463B7"/>
    <w:rsid w:val="004C0A75"/>
    <w:rsid w:val="004D7312"/>
    <w:rsid w:val="00500318"/>
    <w:rsid w:val="00734995"/>
    <w:rsid w:val="007D071B"/>
    <w:rsid w:val="00B16C10"/>
    <w:rsid w:val="00B475AE"/>
    <w:rsid w:val="00D33D4F"/>
    <w:rsid w:val="00EF7AA5"/>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5CBDD6"/>
  <w15:docId w15:val="{18045E5E-7328-4ADC-8A2A-70B736F48F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500318"/>
  </w:style>
  <w:style w:type="paragraph" w:styleId="Heading1">
    <w:name w:val="heading 1"/>
    <w:basedOn w:val="Normal"/>
    <w:next w:val="Normal"/>
    <w:rsid w:val="00500318"/>
    <w:pPr>
      <w:keepNext/>
      <w:keepLines/>
      <w:spacing w:before="400" w:after="120"/>
      <w:outlineLvl w:val="0"/>
    </w:pPr>
    <w:rPr>
      <w:b/>
    </w:rPr>
  </w:style>
  <w:style w:type="paragraph" w:styleId="Heading2">
    <w:name w:val="heading 2"/>
    <w:basedOn w:val="Normal"/>
    <w:next w:val="Normal"/>
    <w:rsid w:val="00500318"/>
    <w:pPr>
      <w:keepNext/>
      <w:keepLines/>
      <w:spacing w:before="360" w:after="120"/>
      <w:outlineLvl w:val="1"/>
    </w:pPr>
    <w:rPr>
      <w:sz w:val="32"/>
      <w:szCs w:val="32"/>
    </w:rPr>
  </w:style>
  <w:style w:type="paragraph" w:styleId="Heading3">
    <w:name w:val="heading 3"/>
    <w:basedOn w:val="Normal"/>
    <w:next w:val="Normal"/>
    <w:rsid w:val="00500318"/>
    <w:pPr>
      <w:keepNext/>
      <w:keepLines/>
      <w:spacing w:before="320" w:after="80"/>
      <w:outlineLvl w:val="2"/>
    </w:pPr>
    <w:rPr>
      <w:color w:val="434343"/>
      <w:sz w:val="28"/>
      <w:szCs w:val="28"/>
    </w:rPr>
  </w:style>
  <w:style w:type="paragraph" w:styleId="Heading4">
    <w:name w:val="heading 4"/>
    <w:basedOn w:val="Normal"/>
    <w:next w:val="Normal"/>
    <w:rsid w:val="00500318"/>
    <w:pPr>
      <w:keepNext/>
      <w:keepLines/>
      <w:spacing w:before="280" w:after="80"/>
      <w:outlineLvl w:val="3"/>
    </w:pPr>
    <w:rPr>
      <w:color w:val="666666"/>
      <w:sz w:val="24"/>
      <w:szCs w:val="24"/>
    </w:rPr>
  </w:style>
  <w:style w:type="paragraph" w:styleId="Heading5">
    <w:name w:val="heading 5"/>
    <w:basedOn w:val="Normal"/>
    <w:next w:val="Normal"/>
    <w:rsid w:val="00500318"/>
    <w:pPr>
      <w:keepNext/>
      <w:keepLines/>
      <w:spacing w:before="240" w:after="80"/>
      <w:outlineLvl w:val="4"/>
    </w:pPr>
    <w:rPr>
      <w:color w:val="666666"/>
    </w:rPr>
  </w:style>
  <w:style w:type="paragraph" w:styleId="Heading6">
    <w:name w:val="heading 6"/>
    <w:basedOn w:val="Normal"/>
    <w:next w:val="Normal"/>
    <w:rsid w:val="0050031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500318"/>
    <w:pPr>
      <w:keepNext/>
      <w:keepLines/>
      <w:jc w:val="center"/>
    </w:pPr>
    <w:rPr>
      <w:b/>
      <w:sz w:val="32"/>
      <w:szCs w:val="32"/>
    </w:rPr>
  </w:style>
  <w:style w:type="paragraph" w:styleId="Subtitle">
    <w:name w:val="Subtitle"/>
    <w:basedOn w:val="Normal"/>
    <w:next w:val="Normal"/>
    <w:rsid w:val="00500318"/>
    <w:pPr>
      <w:keepNext/>
      <w:keepLines/>
      <w:spacing w:after="320"/>
    </w:pPr>
    <w:rPr>
      <w:color w:val="666666"/>
      <w:sz w:val="30"/>
      <w:szCs w:val="30"/>
    </w:rPr>
  </w:style>
  <w:style w:type="table" w:customStyle="1" w:styleId="Table1">
    <w:name w:val="Table1"/>
    <w:basedOn w:val="TableNormal"/>
    <w:rsid w:val="00500318"/>
    <w:tblPr>
      <w:tblStyleRowBandSize w:val="1"/>
      <w:tblStyleColBandSize w:val="1"/>
      <w:tblCellMar>
        <w:top w:w="100" w:type="dxa"/>
        <w:left w:w="100" w:type="dxa"/>
        <w:bottom w:w="100" w:type="dxa"/>
        <w:right w:w="100" w:type="dxa"/>
      </w:tblCellMar>
    </w:tblPr>
  </w:style>
  <w:style w:type="table" w:customStyle="1" w:styleId="Table2">
    <w:name w:val="Table2"/>
    <w:basedOn w:val="TableNormal"/>
    <w:rsid w:val="00500318"/>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EF7AA5"/>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EF7AA5"/>
    <w:pPr>
      <w:spacing w:after="100"/>
    </w:pPr>
  </w:style>
  <w:style w:type="character" w:styleId="Hyperlink">
    <w:name w:val="Hyperlink"/>
    <w:basedOn w:val="DefaultParagraphFont"/>
    <w:uiPriority w:val="99"/>
    <w:unhideWhenUsed/>
    <w:rsid w:val="00EF7AA5"/>
    <w:rPr>
      <w:color w:val="0000FF" w:themeColor="hyperlink"/>
      <w:u w:val="single"/>
    </w:rPr>
  </w:style>
  <w:style w:type="paragraph" w:styleId="BalloonText">
    <w:name w:val="Balloon Text"/>
    <w:basedOn w:val="Normal"/>
    <w:link w:val="BalloonTextChar"/>
    <w:uiPriority w:val="99"/>
    <w:semiHidden/>
    <w:unhideWhenUsed/>
    <w:rsid w:val="00EF7AA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7AA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30D88FA-CF70-45B3-AD45-AAAF9AA353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14</Pages>
  <Words>2844</Words>
  <Characters>16216</Characters>
  <Application>Microsoft Office Word</Application>
  <DocSecurity>0</DocSecurity>
  <Lines>135</Lines>
  <Paragraphs>38</Paragraphs>
  <ScaleCrop>false</ScaleCrop>
  <Company/>
  <LinksUpToDate>false</LinksUpToDate>
  <CharactersWithSpaces>19022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8</cp:revision>
  <dcterms:created xsi:type="dcterms:W3CDTF">2022-04-02T16:27:00Z</dcterms:created>
  <dcterms:modified xsi:type="dcterms:W3CDTF">2022-04-24T11:44:00Z</dcterms:modified>
</cp:coreProperties>
</file>