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15442" w:rsidRDefault="00B15442" w:rsidP="00B15442">
      <w:pPr>
        <w:jc w:val="center"/>
        <w:rPr>
          <w:b/>
          <w:sz w:val="38"/>
        </w:rPr>
      </w:pPr>
      <w:bookmarkStart w:id="0" w:name="_GoBack"/>
      <w:bookmarkEnd w:id="0"/>
    </w:p>
    <w:p w:rsidR="00B15442" w:rsidRDefault="00B15442" w:rsidP="00B15442">
      <w:pPr>
        <w:jc w:val="center"/>
        <w:rPr>
          <w:b/>
          <w:sz w:val="38"/>
        </w:rPr>
      </w:pPr>
    </w:p>
    <w:p w:rsidR="00B15442" w:rsidRDefault="00B15442" w:rsidP="00B15442">
      <w:pPr>
        <w:jc w:val="center"/>
        <w:rPr>
          <w:b/>
          <w:sz w:val="38"/>
        </w:rPr>
      </w:pPr>
    </w:p>
    <w:p w:rsidR="00736C29" w:rsidRPr="00365689" w:rsidRDefault="00B15442" w:rsidP="00B15442">
      <w:pPr>
        <w:jc w:val="center"/>
        <w:rPr>
          <w:b/>
          <w:sz w:val="44"/>
        </w:rPr>
      </w:pPr>
      <w:r w:rsidRPr="00365689">
        <w:rPr>
          <w:b/>
          <w:sz w:val="44"/>
        </w:rPr>
        <w:t>Criminal Law</w:t>
      </w:r>
    </w:p>
    <w:p w:rsidR="00B15442" w:rsidRDefault="00B15442" w:rsidP="00B15442">
      <w:pPr>
        <w:jc w:val="center"/>
        <w:rPr>
          <w:b/>
          <w:sz w:val="38"/>
        </w:rPr>
      </w:pPr>
    </w:p>
    <w:p w:rsidR="00B15442" w:rsidRDefault="00B15442" w:rsidP="00B15442">
      <w:pPr>
        <w:jc w:val="center"/>
        <w:rPr>
          <w:b/>
          <w:sz w:val="38"/>
        </w:rPr>
      </w:pPr>
    </w:p>
    <w:p w:rsidR="00B15442" w:rsidRDefault="00B15442" w:rsidP="00B15442">
      <w:pPr>
        <w:jc w:val="center"/>
        <w:rPr>
          <w:b/>
          <w:sz w:val="38"/>
        </w:rPr>
      </w:pPr>
    </w:p>
    <w:p w:rsidR="00B15442" w:rsidRDefault="00B15442" w:rsidP="00B15442">
      <w:pPr>
        <w:jc w:val="center"/>
        <w:rPr>
          <w:b/>
          <w:sz w:val="38"/>
        </w:rPr>
      </w:pPr>
    </w:p>
    <w:p w:rsidR="00B15442" w:rsidRDefault="00B15442" w:rsidP="00B15442">
      <w:pPr>
        <w:jc w:val="center"/>
        <w:rPr>
          <w:b/>
          <w:sz w:val="38"/>
        </w:rPr>
      </w:pPr>
    </w:p>
    <w:p w:rsidR="00B15442" w:rsidRDefault="00B15442" w:rsidP="00B15442">
      <w:pPr>
        <w:jc w:val="center"/>
        <w:rPr>
          <w:b/>
          <w:sz w:val="38"/>
        </w:rPr>
      </w:pPr>
    </w:p>
    <w:p w:rsidR="00B15442" w:rsidRDefault="00B15442" w:rsidP="00B15442">
      <w:pPr>
        <w:jc w:val="center"/>
        <w:rPr>
          <w:b/>
          <w:sz w:val="38"/>
        </w:rPr>
      </w:pPr>
    </w:p>
    <w:p w:rsidR="00B15442" w:rsidRDefault="00B15442" w:rsidP="00B15442">
      <w:pPr>
        <w:jc w:val="center"/>
        <w:rPr>
          <w:b/>
          <w:sz w:val="38"/>
        </w:rPr>
      </w:pPr>
    </w:p>
    <w:p w:rsidR="00B15442" w:rsidRDefault="00B15442" w:rsidP="00B15442">
      <w:pPr>
        <w:jc w:val="center"/>
        <w:rPr>
          <w:b/>
          <w:sz w:val="38"/>
        </w:rPr>
      </w:pPr>
    </w:p>
    <w:p w:rsidR="00B15442" w:rsidRDefault="00B15442" w:rsidP="00B15442">
      <w:pPr>
        <w:jc w:val="center"/>
        <w:rPr>
          <w:b/>
          <w:sz w:val="38"/>
        </w:rPr>
      </w:pPr>
    </w:p>
    <w:p w:rsidR="00B15442" w:rsidRDefault="00B15442" w:rsidP="00B15442">
      <w:pPr>
        <w:jc w:val="center"/>
        <w:rPr>
          <w:b/>
          <w:sz w:val="38"/>
        </w:rPr>
      </w:pPr>
    </w:p>
    <w:p w:rsidR="00B15442" w:rsidRDefault="00B15442" w:rsidP="00B15442">
      <w:pPr>
        <w:jc w:val="center"/>
        <w:rPr>
          <w:b/>
          <w:sz w:val="38"/>
        </w:rPr>
      </w:pPr>
    </w:p>
    <w:sdt>
      <w:sdtPr>
        <w:rPr>
          <w:rFonts w:ascii="Times New Roman" w:eastAsiaTheme="minorHAnsi" w:hAnsi="Times New Roman" w:cstheme="minorBidi"/>
          <w:color w:val="auto"/>
          <w:sz w:val="24"/>
          <w:szCs w:val="22"/>
        </w:rPr>
        <w:id w:val="562681144"/>
        <w:docPartObj>
          <w:docPartGallery w:val="Table of Contents"/>
          <w:docPartUnique/>
        </w:docPartObj>
      </w:sdtPr>
      <w:sdtEndPr>
        <w:rPr>
          <w:b/>
          <w:bCs/>
          <w:noProof/>
        </w:rPr>
      </w:sdtEndPr>
      <w:sdtContent>
        <w:p w:rsidR="00365689" w:rsidRDefault="00365689">
          <w:pPr>
            <w:pStyle w:val="TOCHeading"/>
          </w:pPr>
          <w:r>
            <w:t>Contents</w:t>
          </w:r>
        </w:p>
        <w:p w:rsidR="00365689" w:rsidRDefault="00365689">
          <w:pPr>
            <w:pStyle w:val="TOC1"/>
            <w:tabs>
              <w:tab w:val="right" w:leader="dot" w:pos="9350"/>
            </w:tabs>
            <w:rPr>
              <w:noProof/>
            </w:rPr>
          </w:pPr>
          <w:r>
            <w:fldChar w:fldCharType="begin"/>
          </w:r>
          <w:r>
            <w:instrText xml:space="preserve"> TOC \o "1-3" \h \z \u </w:instrText>
          </w:r>
          <w:r>
            <w:fldChar w:fldCharType="separate"/>
          </w:r>
          <w:hyperlink w:anchor="_Toc66108390" w:history="1">
            <w:r w:rsidRPr="00A8355B">
              <w:rPr>
                <w:rStyle w:val="Hyperlink"/>
                <w:noProof/>
              </w:rPr>
              <w:t>Non-fatal offences against the person</w:t>
            </w:r>
            <w:r>
              <w:rPr>
                <w:noProof/>
                <w:webHidden/>
              </w:rPr>
              <w:tab/>
            </w:r>
            <w:r>
              <w:rPr>
                <w:noProof/>
                <w:webHidden/>
              </w:rPr>
              <w:fldChar w:fldCharType="begin"/>
            </w:r>
            <w:r>
              <w:rPr>
                <w:noProof/>
                <w:webHidden/>
              </w:rPr>
              <w:instrText xml:space="preserve"> PAGEREF _Toc66108390 \h </w:instrText>
            </w:r>
            <w:r>
              <w:rPr>
                <w:noProof/>
                <w:webHidden/>
              </w:rPr>
            </w:r>
            <w:r>
              <w:rPr>
                <w:noProof/>
                <w:webHidden/>
              </w:rPr>
              <w:fldChar w:fldCharType="separate"/>
            </w:r>
            <w:r>
              <w:rPr>
                <w:noProof/>
                <w:webHidden/>
              </w:rPr>
              <w:t>1</w:t>
            </w:r>
            <w:r>
              <w:rPr>
                <w:noProof/>
                <w:webHidden/>
              </w:rPr>
              <w:fldChar w:fldCharType="end"/>
            </w:r>
          </w:hyperlink>
        </w:p>
        <w:p w:rsidR="00365689" w:rsidRDefault="00AA655D">
          <w:pPr>
            <w:pStyle w:val="TOC1"/>
            <w:tabs>
              <w:tab w:val="right" w:leader="dot" w:pos="9350"/>
            </w:tabs>
            <w:rPr>
              <w:noProof/>
            </w:rPr>
          </w:pPr>
          <w:hyperlink w:anchor="_Toc66108391" w:history="1">
            <w:r w:rsidR="00365689" w:rsidRPr="00A8355B">
              <w:rPr>
                <w:rStyle w:val="Hyperlink"/>
                <w:noProof/>
              </w:rPr>
              <w:t>Evaluation of the law about non-fatal offence against a person</w:t>
            </w:r>
            <w:r w:rsidR="00365689">
              <w:rPr>
                <w:noProof/>
                <w:webHidden/>
              </w:rPr>
              <w:tab/>
            </w:r>
            <w:r w:rsidR="00365689">
              <w:rPr>
                <w:noProof/>
                <w:webHidden/>
              </w:rPr>
              <w:fldChar w:fldCharType="begin"/>
            </w:r>
            <w:r w:rsidR="00365689">
              <w:rPr>
                <w:noProof/>
                <w:webHidden/>
              </w:rPr>
              <w:instrText xml:space="preserve"> PAGEREF _Toc66108391 \h </w:instrText>
            </w:r>
            <w:r w:rsidR="00365689">
              <w:rPr>
                <w:noProof/>
                <w:webHidden/>
              </w:rPr>
            </w:r>
            <w:r w:rsidR="00365689">
              <w:rPr>
                <w:noProof/>
                <w:webHidden/>
              </w:rPr>
              <w:fldChar w:fldCharType="separate"/>
            </w:r>
            <w:r w:rsidR="00365689">
              <w:rPr>
                <w:noProof/>
                <w:webHidden/>
              </w:rPr>
              <w:t>3</w:t>
            </w:r>
            <w:r w:rsidR="00365689">
              <w:rPr>
                <w:noProof/>
                <w:webHidden/>
              </w:rPr>
              <w:fldChar w:fldCharType="end"/>
            </w:r>
          </w:hyperlink>
        </w:p>
        <w:p w:rsidR="00365689" w:rsidRDefault="00AA655D">
          <w:pPr>
            <w:pStyle w:val="TOC1"/>
            <w:tabs>
              <w:tab w:val="right" w:leader="dot" w:pos="9350"/>
            </w:tabs>
            <w:rPr>
              <w:noProof/>
            </w:rPr>
          </w:pPr>
          <w:hyperlink w:anchor="_Toc66108392" w:history="1">
            <w:r w:rsidR="00365689" w:rsidRPr="00A8355B">
              <w:rPr>
                <w:rStyle w:val="Hyperlink"/>
                <w:noProof/>
              </w:rPr>
              <w:t>Recommendation</w:t>
            </w:r>
            <w:r w:rsidR="00365689">
              <w:rPr>
                <w:noProof/>
                <w:webHidden/>
              </w:rPr>
              <w:tab/>
            </w:r>
            <w:r w:rsidR="00365689">
              <w:rPr>
                <w:noProof/>
                <w:webHidden/>
              </w:rPr>
              <w:fldChar w:fldCharType="begin"/>
            </w:r>
            <w:r w:rsidR="00365689">
              <w:rPr>
                <w:noProof/>
                <w:webHidden/>
              </w:rPr>
              <w:instrText xml:space="preserve"> PAGEREF _Toc66108392 \h </w:instrText>
            </w:r>
            <w:r w:rsidR="00365689">
              <w:rPr>
                <w:noProof/>
                <w:webHidden/>
              </w:rPr>
            </w:r>
            <w:r w:rsidR="00365689">
              <w:rPr>
                <w:noProof/>
                <w:webHidden/>
              </w:rPr>
              <w:fldChar w:fldCharType="separate"/>
            </w:r>
            <w:r w:rsidR="00365689">
              <w:rPr>
                <w:noProof/>
                <w:webHidden/>
              </w:rPr>
              <w:t>6</w:t>
            </w:r>
            <w:r w:rsidR="00365689">
              <w:rPr>
                <w:noProof/>
                <w:webHidden/>
              </w:rPr>
              <w:fldChar w:fldCharType="end"/>
            </w:r>
          </w:hyperlink>
        </w:p>
        <w:p w:rsidR="00365689" w:rsidRDefault="00AA655D">
          <w:pPr>
            <w:pStyle w:val="TOC1"/>
            <w:tabs>
              <w:tab w:val="right" w:leader="dot" w:pos="9350"/>
            </w:tabs>
            <w:rPr>
              <w:noProof/>
            </w:rPr>
          </w:pPr>
          <w:hyperlink w:anchor="_Toc66108393" w:history="1">
            <w:r w:rsidR="00365689" w:rsidRPr="00A8355B">
              <w:rPr>
                <w:rStyle w:val="Hyperlink"/>
                <w:noProof/>
              </w:rPr>
              <w:t>References</w:t>
            </w:r>
            <w:r w:rsidR="00365689">
              <w:rPr>
                <w:noProof/>
                <w:webHidden/>
              </w:rPr>
              <w:tab/>
            </w:r>
            <w:r w:rsidR="00365689">
              <w:rPr>
                <w:noProof/>
                <w:webHidden/>
              </w:rPr>
              <w:fldChar w:fldCharType="begin"/>
            </w:r>
            <w:r w:rsidR="00365689">
              <w:rPr>
                <w:noProof/>
                <w:webHidden/>
              </w:rPr>
              <w:instrText xml:space="preserve"> PAGEREF _Toc66108393 \h </w:instrText>
            </w:r>
            <w:r w:rsidR="00365689">
              <w:rPr>
                <w:noProof/>
                <w:webHidden/>
              </w:rPr>
            </w:r>
            <w:r w:rsidR="00365689">
              <w:rPr>
                <w:noProof/>
                <w:webHidden/>
              </w:rPr>
              <w:fldChar w:fldCharType="separate"/>
            </w:r>
            <w:r w:rsidR="00365689">
              <w:rPr>
                <w:noProof/>
                <w:webHidden/>
              </w:rPr>
              <w:t>7</w:t>
            </w:r>
            <w:r w:rsidR="00365689">
              <w:rPr>
                <w:noProof/>
                <w:webHidden/>
              </w:rPr>
              <w:fldChar w:fldCharType="end"/>
            </w:r>
          </w:hyperlink>
        </w:p>
        <w:p w:rsidR="00365689" w:rsidRDefault="00365689">
          <w:r>
            <w:rPr>
              <w:b/>
              <w:bCs/>
              <w:noProof/>
            </w:rPr>
            <w:fldChar w:fldCharType="end"/>
          </w:r>
        </w:p>
      </w:sdtContent>
    </w:sdt>
    <w:p w:rsidR="00B15442" w:rsidRDefault="00B15442" w:rsidP="00B15442">
      <w:pPr>
        <w:rPr>
          <w:b/>
          <w:szCs w:val="24"/>
        </w:rPr>
      </w:pPr>
    </w:p>
    <w:p w:rsidR="00B15442" w:rsidRDefault="00B15442" w:rsidP="00B15442">
      <w:pPr>
        <w:rPr>
          <w:b/>
          <w:szCs w:val="24"/>
        </w:rPr>
      </w:pPr>
    </w:p>
    <w:p w:rsidR="00B15442" w:rsidRDefault="00B15442" w:rsidP="00B15442">
      <w:pPr>
        <w:rPr>
          <w:b/>
          <w:szCs w:val="24"/>
        </w:rPr>
      </w:pPr>
    </w:p>
    <w:p w:rsidR="00B15442" w:rsidRDefault="00B15442" w:rsidP="00B15442">
      <w:pPr>
        <w:rPr>
          <w:b/>
          <w:szCs w:val="24"/>
        </w:rPr>
      </w:pPr>
    </w:p>
    <w:p w:rsidR="00B15442" w:rsidRDefault="00B15442" w:rsidP="00B15442">
      <w:pPr>
        <w:rPr>
          <w:b/>
          <w:szCs w:val="24"/>
        </w:rPr>
      </w:pPr>
    </w:p>
    <w:p w:rsidR="00B15442" w:rsidRDefault="00B15442" w:rsidP="00B15442">
      <w:pPr>
        <w:rPr>
          <w:b/>
          <w:szCs w:val="24"/>
        </w:rPr>
      </w:pPr>
    </w:p>
    <w:p w:rsidR="00B15442" w:rsidRDefault="00B15442" w:rsidP="00B15442">
      <w:pPr>
        <w:rPr>
          <w:b/>
          <w:szCs w:val="24"/>
        </w:rPr>
      </w:pPr>
    </w:p>
    <w:p w:rsidR="00B15442" w:rsidRDefault="00B15442" w:rsidP="00B15442">
      <w:pPr>
        <w:rPr>
          <w:b/>
          <w:szCs w:val="24"/>
        </w:rPr>
      </w:pPr>
    </w:p>
    <w:p w:rsidR="00B15442" w:rsidRDefault="00B15442" w:rsidP="00B15442">
      <w:pPr>
        <w:rPr>
          <w:b/>
          <w:szCs w:val="24"/>
        </w:rPr>
      </w:pPr>
    </w:p>
    <w:p w:rsidR="00B15442" w:rsidRDefault="00B15442" w:rsidP="00B15442">
      <w:pPr>
        <w:rPr>
          <w:b/>
          <w:szCs w:val="24"/>
        </w:rPr>
      </w:pPr>
    </w:p>
    <w:p w:rsidR="00B15442" w:rsidRDefault="00B15442" w:rsidP="00B15442">
      <w:pPr>
        <w:rPr>
          <w:b/>
          <w:szCs w:val="24"/>
        </w:rPr>
      </w:pPr>
    </w:p>
    <w:p w:rsidR="00B15442" w:rsidRDefault="00B15442" w:rsidP="00B15442">
      <w:pPr>
        <w:rPr>
          <w:b/>
          <w:szCs w:val="24"/>
        </w:rPr>
      </w:pPr>
    </w:p>
    <w:p w:rsidR="00B15442" w:rsidRDefault="00B15442" w:rsidP="00B15442">
      <w:pPr>
        <w:rPr>
          <w:b/>
          <w:szCs w:val="24"/>
        </w:rPr>
      </w:pPr>
    </w:p>
    <w:p w:rsidR="00B15442" w:rsidRDefault="00B15442" w:rsidP="00B15442">
      <w:pPr>
        <w:rPr>
          <w:b/>
          <w:szCs w:val="24"/>
        </w:rPr>
      </w:pPr>
    </w:p>
    <w:p w:rsidR="00B15442" w:rsidRDefault="00B15442" w:rsidP="00B15442">
      <w:pPr>
        <w:rPr>
          <w:b/>
          <w:szCs w:val="24"/>
        </w:rPr>
      </w:pPr>
    </w:p>
    <w:p w:rsidR="00B15442" w:rsidRDefault="00B15442" w:rsidP="00B15442">
      <w:pPr>
        <w:rPr>
          <w:b/>
          <w:szCs w:val="24"/>
        </w:rPr>
      </w:pPr>
    </w:p>
    <w:p w:rsidR="00B15442" w:rsidRDefault="00B15442" w:rsidP="00B15442">
      <w:pPr>
        <w:rPr>
          <w:b/>
          <w:szCs w:val="24"/>
        </w:rPr>
      </w:pPr>
    </w:p>
    <w:p w:rsidR="007F7B98" w:rsidRDefault="007F7B98" w:rsidP="00B15442">
      <w:pPr>
        <w:rPr>
          <w:b/>
          <w:szCs w:val="24"/>
        </w:rPr>
        <w:sectPr w:rsidR="007F7B98" w:rsidSect="00365689">
          <w:footerReference w:type="default" r:id="rId7"/>
          <w:pgSz w:w="12240" w:h="15840"/>
          <w:pgMar w:top="1440" w:right="1440" w:bottom="1440" w:left="1440" w:header="720" w:footer="720" w:gutter="0"/>
          <w:pgNumType w:fmt="lowerRoman" w:start="1"/>
          <w:cols w:space="720"/>
          <w:docGrid w:linePitch="360"/>
        </w:sectPr>
      </w:pPr>
    </w:p>
    <w:p w:rsidR="00B15442" w:rsidRDefault="00B15442" w:rsidP="00B15442">
      <w:pPr>
        <w:rPr>
          <w:b/>
          <w:szCs w:val="24"/>
        </w:rPr>
      </w:pPr>
    </w:p>
    <w:p w:rsidR="00B15442" w:rsidRPr="00694244" w:rsidRDefault="00B15442" w:rsidP="00B15442">
      <w:pPr>
        <w:jc w:val="center"/>
        <w:rPr>
          <w:b/>
          <w:sz w:val="34"/>
          <w:szCs w:val="28"/>
        </w:rPr>
      </w:pPr>
      <w:r w:rsidRPr="00694244">
        <w:rPr>
          <w:b/>
          <w:noProof/>
          <w:sz w:val="34"/>
          <w:szCs w:val="28"/>
        </w:rPr>
        <mc:AlternateContent>
          <mc:Choice Requires="wps">
            <w:drawing>
              <wp:anchor distT="0" distB="0" distL="114300" distR="114300" simplePos="0" relativeHeight="251659264" behindDoc="0" locked="0" layoutInCell="1" allowOverlap="1" wp14:anchorId="7BABD793" wp14:editId="0A7A1738">
                <wp:simplePos x="0" y="0"/>
                <wp:positionH relativeFrom="column">
                  <wp:posOffset>57149</wp:posOffset>
                </wp:positionH>
                <wp:positionV relativeFrom="paragraph">
                  <wp:posOffset>676275</wp:posOffset>
                </wp:positionV>
                <wp:extent cx="5934075" cy="28575"/>
                <wp:effectExtent l="0" t="0" r="28575" b="28575"/>
                <wp:wrapNone/>
                <wp:docPr id="1" name="Straight Connector 1"/>
                <wp:cNvGraphicFramePr/>
                <a:graphic xmlns:a="http://schemas.openxmlformats.org/drawingml/2006/main">
                  <a:graphicData uri="http://schemas.microsoft.com/office/word/2010/wordprocessingShape">
                    <wps:wsp>
                      <wps:cNvCnPr/>
                      <wps:spPr>
                        <a:xfrm flipV="1">
                          <a:off x="0" y="0"/>
                          <a:ext cx="5934075" cy="285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D29F6FF" id="Straight Connector 1" o:spid="_x0000_s1026" style="position:absolute;flip:y;z-index:251659264;visibility:visible;mso-wrap-style:square;mso-wrap-distance-left:9pt;mso-wrap-distance-top:0;mso-wrap-distance-right:9pt;mso-wrap-distance-bottom:0;mso-position-horizontal:absolute;mso-position-horizontal-relative:text;mso-position-vertical:absolute;mso-position-vertical-relative:text" from="4.5pt,53.25pt" to="471.75pt,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" strokecolor="#5b9bd5 [3204]" strokeweight=".5pt">
                <v:stroke joinstyle="miter"/>
              </v:line>
            </w:pict>
          </mc:Fallback>
        </mc:AlternateContent>
      </w:r>
      <w:r w:rsidRPr="00694244">
        <w:rPr>
          <w:b/>
          <w:sz w:val="34"/>
          <w:szCs w:val="28"/>
        </w:rPr>
        <w:t xml:space="preserve">The law </w:t>
      </w:r>
      <w:r w:rsidR="00AD7BC0">
        <w:rPr>
          <w:b/>
          <w:sz w:val="34"/>
          <w:szCs w:val="28"/>
        </w:rPr>
        <w:t>about</w:t>
      </w:r>
      <w:r w:rsidRPr="00694244">
        <w:rPr>
          <w:b/>
          <w:sz w:val="34"/>
          <w:szCs w:val="28"/>
        </w:rPr>
        <w:t xml:space="preserve"> non-fatal offences against the person is no longer fit for purpose and </w:t>
      </w:r>
      <w:r w:rsidR="00AD7BC0">
        <w:rPr>
          <w:b/>
          <w:sz w:val="34"/>
          <w:szCs w:val="28"/>
        </w:rPr>
        <w:t>requires</w:t>
      </w:r>
      <w:r w:rsidRPr="00694244">
        <w:rPr>
          <w:b/>
          <w:sz w:val="34"/>
          <w:szCs w:val="28"/>
        </w:rPr>
        <w:t xml:space="preserve"> reform. </w:t>
      </w:r>
    </w:p>
    <w:p w:rsidR="00B8590F" w:rsidRDefault="00214241" w:rsidP="00B8590F">
      <w:pPr>
        <w:rPr>
          <w:b/>
          <w:szCs w:val="24"/>
        </w:rPr>
      </w:pPr>
      <w:r>
        <w:rPr>
          <w:b/>
          <w:szCs w:val="24"/>
        </w:rPr>
        <w:t xml:space="preserve">Introduction </w:t>
      </w:r>
    </w:p>
    <w:p w:rsidR="00214241" w:rsidRDefault="00DB6BB2" w:rsidP="00B8590F">
      <w:pPr>
        <w:rPr>
          <w:szCs w:val="24"/>
        </w:rPr>
      </w:pPr>
      <w:r>
        <w:rPr>
          <w:szCs w:val="24"/>
        </w:rPr>
        <w:t xml:space="preserve">The legislation that aims to prevent </w:t>
      </w:r>
      <w:r w:rsidR="00AD7BC0">
        <w:rPr>
          <w:szCs w:val="24"/>
        </w:rPr>
        <w:t xml:space="preserve">a </w:t>
      </w:r>
      <w:r>
        <w:rPr>
          <w:szCs w:val="24"/>
        </w:rPr>
        <w:t xml:space="preserve">non-fatal offence against </w:t>
      </w:r>
      <w:r w:rsidR="00AD7BC0">
        <w:rPr>
          <w:szCs w:val="24"/>
        </w:rPr>
        <w:t xml:space="preserve">a </w:t>
      </w:r>
      <w:r>
        <w:rPr>
          <w:szCs w:val="24"/>
        </w:rPr>
        <w:t xml:space="preserve">person is the Offence </w:t>
      </w:r>
      <w:r w:rsidR="00365689">
        <w:rPr>
          <w:szCs w:val="24"/>
        </w:rPr>
        <w:t>against</w:t>
      </w:r>
      <w:r>
        <w:rPr>
          <w:szCs w:val="24"/>
        </w:rPr>
        <w:t xml:space="preserve"> the Person Act 1861 which has been criticized for </w:t>
      </w:r>
      <w:r w:rsidR="00AD7BC0">
        <w:rPr>
          <w:szCs w:val="24"/>
        </w:rPr>
        <w:t xml:space="preserve">a </w:t>
      </w:r>
      <w:r>
        <w:rPr>
          <w:szCs w:val="24"/>
        </w:rPr>
        <w:t>long time. The law commission report</w:t>
      </w:r>
      <w:r w:rsidR="00AD7BC0">
        <w:rPr>
          <w:szCs w:val="24"/>
        </w:rPr>
        <w:t>s</w:t>
      </w:r>
      <w:r>
        <w:rPr>
          <w:szCs w:val="24"/>
        </w:rPr>
        <w:t xml:space="preserve"> </w:t>
      </w:r>
      <w:r w:rsidR="00AD7BC0">
        <w:rPr>
          <w:szCs w:val="24"/>
        </w:rPr>
        <w:t xml:space="preserve">the </w:t>
      </w:r>
      <w:r>
        <w:rPr>
          <w:szCs w:val="24"/>
        </w:rPr>
        <w:t xml:space="preserve">2015 death with the recommendation made for </w:t>
      </w:r>
      <w:r w:rsidR="00AD7BC0">
        <w:rPr>
          <w:szCs w:val="24"/>
        </w:rPr>
        <w:t xml:space="preserve">the </w:t>
      </w:r>
      <w:r>
        <w:rPr>
          <w:szCs w:val="24"/>
        </w:rPr>
        <w:t xml:space="preserve">reformation of the act because it is not insufficient to implement and outdated in action. The law commission reports and other legal scholars have identified several </w:t>
      </w:r>
      <w:r w:rsidR="00B34F55">
        <w:rPr>
          <w:szCs w:val="24"/>
        </w:rPr>
        <w:t>shortfall</w:t>
      </w:r>
      <w:r w:rsidR="00AD7BC0">
        <w:rPr>
          <w:szCs w:val="24"/>
        </w:rPr>
        <w:t>s</w:t>
      </w:r>
      <w:r w:rsidR="00B34F55">
        <w:rPr>
          <w:szCs w:val="24"/>
        </w:rPr>
        <w:t xml:space="preserve"> of the law. This essay will discuss the non-fatal offences against the person to comment</w:t>
      </w:r>
      <w:r w:rsidR="00AD7BC0">
        <w:rPr>
          <w:szCs w:val="24"/>
        </w:rPr>
        <w:t xml:space="preserve"> on</w:t>
      </w:r>
      <w:r w:rsidR="00B34F55">
        <w:rPr>
          <w:szCs w:val="24"/>
        </w:rPr>
        <w:t xml:space="preserve"> whether the law is fit for the purpose in modern times. </w:t>
      </w:r>
    </w:p>
    <w:p w:rsidR="00B34F55" w:rsidRPr="00F7193C" w:rsidRDefault="007013DF" w:rsidP="00F7193C">
      <w:pPr>
        <w:pStyle w:val="Heading1"/>
      </w:pPr>
      <w:bookmarkStart w:id="1" w:name="_Toc66108390"/>
      <w:r w:rsidRPr="00F7193C">
        <w:t>Non-fatal offences against the person</w:t>
      </w:r>
      <w:bookmarkEnd w:id="1"/>
    </w:p>
    <w:p w:rsidR="007013DF" w:rsidRDefault="007013DF" w:rsidP="00B8590F">
      <w:pPr>
        <w:rPr>
          <w:rStyle w:val="Emphasis"/>
          <w:i w:val="0"/>
        </w:rPr>
      </w:pPr>
      <w:r>
        <w:rPr>
          <w:szCs w:val="24"/>
        </w:rPr>
        <w:t xml:space="preserve">Non-fatal offences are those that are caused by unlawful violence which </w:t>
      </w:r>
      <w:r w:rsidR="00AD7BC0">
        <w:rPr>
          <w:szCs w:val="24"/>
        </w:rPr>
        <w:t>is</w:t>
      </w:r>
      <w:r>
        <w:rPr>
          <w:szCs w:val="24"/>
        </w:rPr>
        <w:t xml:space="preserve"> not much severe and assault is the most common type of non-fatal offence against the person. Assault is taken place when the ac</w:t>
      </w:r>
      <w:r w:rsidR="00066347">
        <w:rPr>
          <w:szCs w:val="24"/>
        </w:rPr>
        <w:t>t of one person causes another person physical and mental harm</w:t>
      </w:r>
      <w:r w:rsidR="00D91A1E">
        <w:rPr>
          <w:szCs w:val="24"/>
        </w:rPr>
        <w:t xml:space="preserve"> (Atoki, 2017)</w:t>
      </w:r>
      <w:r w:rsidR="00D91A1E">
        <w:rPr>
          <w:rStyle w:val="FootnoteReference"/>
          <w:szCs w:val="24"/>
        </w:rPr>
        <w:footnoteReference w:id="1"/>
      </w:r>
      <w:r w:rsidR="00066347">
        <w:rPr>
          <w:szCs w:val="24"/>
        </w:rPr>
        <w:t xml:space="preserve">. The assault caused by threatening another person is also regarded as </w:t>
      </w:r>
      <w:r w:rsidR="00AD7BC0">
        <w:rPr>
          <w:szCs w:val="24"/>
        </w:rPr>
        <w:t>a</w:t>
      </w:r>
      <w:r w:rsidR="00066347">
        <w:rPr>
          <w:szCs w:val="24"/>
        </w:rPr>
        <w:t xml:space="preserve"> non-fatal offence against </w:t>
      </w:r>
      <w:r w:rsidR="00AD7BC0">
        <w:rPr>
          <w:szCs w:val="24"/>
        </w:rPr>
        <w:t xml:space="preserve">the </w:t>
      </w:r>
      <w:r w:rsidR="00066347">
        <w:rPr>
          <w:szCs w:val="24"/>
        </w:rPr>
        <w:t xml:space="preserve">person in both civil and criminal law. However, the definition of assault is founded in the judgment of the case of </w:t>
      </w:r>
      <w:r w:rsidR="00066347" w:rsidRPr="00066347">
        <w:rPr>
          <w:rStyle w:val="Emphasis"/>
          <w:b/>
        </w:rPr>
        <w:t>Lo</w:t>
      </w:r>
      <w:r w:rsidR="00AD7BC0">
        <w:rPr>
          <w:rStyle w:val="Emphasis"/>
          <w:b/>
        </w:rPr>
        <w:t>n</w:t>
      </w:r>
      <w:r w:rsidR="00066347" w:rsidRPr="00066347">
        <w:rPr>
          <w:rStyle w:val="Emphasis"/>
          <w:b/>
        </w:rPr>
        <w:t>don v DPP</w:t>
      </w:r>
      <w:r w:rsidR="00D91A1E">
        <w:rPr>
          <w:rStyle w:val="Emphasis"/>
          <w:b/>
        </w:rPr>
        <w:t xml:space="preserve"> [1976]</w:t>
      </w:r>
      <w:r w:rsidR="00D91A1E">
        <w:rPr>
          <w:rStyle w:val="FootnoteReference"/>
          <w:b/>
          <w:i/>
          <w:iCs/>
        </w:rPr>
        <w:footnoteReference w:id="2"/>
      </w:r>
      <w:r w:rsidR="00066347">
        <w:rPr>
          <w:rStyle w:val="Emphasis"/>
          <w:b/>
        </w:rPr>
        <w:t xml:space="preserve"> </w:t>
      </w:r>
      <w:r w:rsidR="00066347">
        <w:rPr>
          <w:rStyle w:val="Emphasis"/>
          <w:i w:val="0"/>
        </w:rPr>
        <w:t xml:space="preserve">in which the learned judge held that the assault is the act of </w:t>
      </w:r>
      <w:r w:rsidR="00AD7BC0">
        <w:rPr>
          <w:rStyle w:val="Emphasis"/>
          <w:i w:val="0"/>
        </w:rPr>
        <w:t xml:space="preserve">the </w:t>
      </w:r>
      <w:r w:rsidR="00066347">
        <w:rPr>
          <w:rStyle w:val="Emphasis"/>
          <w:i w:val="0"/>
        </w:rPr>
        <w:t xml:space="preserve">defendant that forces the victim to apprehend unlawful violence. In the mentioned case, the defendant pointed a blank gun </w:t>
      </w:r>
      <w:r w:rsidR="00AD7BC0">
        <w:rPr>
          <w:rStyle w:val="Emphasis"/>
          <w:i w:val="0"/>
        </w:rPr>
        <w:t>at</w:t>
      </w:r>
      <w:r w:rsidR="00066347">
        <w:rPr>
          <w:rStyle w:val="Emphasis"/>
          <w:i w:val="0"/>
        </w:rPr>
        <w:t xml:space="preserve"> the plaintiff and the plaintiff apprehend</w:t>
      </w:r>
      <w:r w:rsidR="00AD7BC0">
        <w:rPr>
          <w:rStyle w:val="Emphasis"/>
          <w:i w:val="0"/>
        </w:rPr>
        <w:t>s</w:t>
      </w:r>
      <w:r w:rsidR="00066347">
        <w:rPr>
          <w:rStyle w:val="Emphasis"/>
          <w:i w:val="0"/>
        </w:rPr>
        <w:t xml:space="preserve"> it as serious violence because the defended acted recklessly</w:t>
      </w:r>
      <w:r w:rsidR="00D91A1E">
        <w:rPr>
          <w:rStyle w:val="Emphasis"/>
          <w:i w:val="0"/>
        </w:rPr>
        <w:t xml:space="preserve"> (</w:t>
      </w:r>
      <w:r w:rsidR="00D91A1E">
        <w:rPr>
          <w:rFonts w:eastAsia="Times New Roman" w:cs="Times New Roman"/>
          <w:szCs w:val="24"/>
        </w:rPr>
        <w:t xml:space="preserve">Elliott </w:t>
      </w:r>
      <w:r w:rsidR="00D91A1E" w:rsidRPr="00500EA3">
        <w:rPr>
          <w:rFonts w:eastAsia="Times New Roman" w:cs="Times New Roman"/>
          <w:szCs w:val="24"/>
        </w:rPr>
        <w:t>and Quinn</w:t>
      </w:r>
      <w:r w:rsidR="00D91A1E">
        <w:rPr>
          <w:rFonts w:eastAsia="Times New Roman" w:cs="Times New Roman"/>
          <w:szCs w:val="24"/>
        </w:rPr>
        <w:t>, 2016</w:t>
      </w:r>
      <w:r w:rsidR="00D91A1E">
        <w:rPr>
          <w:rStyle w:val="Emphasis"/>
          <w:i w:val="0"/>
        </w:rPr>
        <w:t>)</w:t>
      </w:r>
      <w:r w:rsidR="00D91A1E">
        <w:rPr>
          <w:rStyle w:val="FootnoteReference"/>
          <w:iCs/>
        </w:rPr>
        <w:footnoteReference w:id="3"/>
      </w:r>
      <w:r w:rsidR="00066347">
        <w:rPr>
          <w:rStyle w:val="Emphasis"/>
          <w:i w:val="0"/>
        </w:rPr>
        <w:t xml:space="preserve">. Another non-fatal offence against </w:t>
      </w:r>
      <w:r w:rsidR="00AD7BC0">
        <w:rPr>
          <w:rStyle w:val="Emphasis"/>
          <w:i w:val="0"/>
        </w:rPr>
        <w:t xml:space="preserve">the </w:t>
      </w:r>
      <w:r w:rsidR="00066347">
        <w:rPr>
          <w:rStyle w:val="Emphasis"/>
          <w:i w:val="0"/>
        </w:rPr>
        <w:t xml:space="preserve">person is </w:t>
      </w:r>
      <w:r w:rsidR="00AD7BC0">
        <w:rPr>
          <w:rStyle w:val="Emphasis"/>
          <w:i w:val="0"/>
        </w:rPr>
        <w:t xml:space="preserve">a </w:t>
      </w:r>
      <w:r w:rsidR="00066347">
        <w:rPr>
          <w:rStyle w:val="Emphasis"/>
          <w:i w:val="0"/>
        </w:rPr>
        <w:t xml:space="preserve">battery </w:t>
      </w:r>
      <w:r w:rsidR="00AD7BC0">
        <w:rPr>
          <w:rStyle w:val="Emphasis"/>
          <w:i w:val="0"/>
        </w:rPr>
        <w:t>that</w:t>
      </w:r>
      <w:r w:rsidR="00066347">
        <w:rPr>
          <w:rStyle w:val="Emphasis"/>
          <w:i w:val="0"/>
        </w:rPr>
        <w:t xml:space="preserve"> involves unlawful physical touch. The offence of battery can be </w:t>
      </w:r>
      <w:r w:rsidR="0016769B">
        <w:rPr>
          <w:rStyle w:val="Emphasis"/>
          <w:i w:val="0"/>
        </w:rPr>
        <w:t>brought</w:t>
      </w:r>
      <w:r w:rsidR="00066347">
        <w:rPr>
          <w:rStyle w:val="Emphasis"/>
          <w:i w:val="0"/>
        </w:rPr>
        <w:t xml:space="preserve"> against a person when a </w:t>
      </w:r>
      <w:r w:rsidR="0016769B">
        <w:rPr>
          <w:rStyle w:val="Emphasis"/>
          <w:i w:val="0"/>
        </w:rPr>
        <w:t xml:space="preserve">person touches the private parts of another person forcefully and </w:t>
      </w:r>
      <w:r w:rsidR="0016769B">
        <w:rPr>
          <w:rStyle w:val="Emphasis"/>
          <w:i w:val="0"/>
        </w:rPr>
        <w:lastRenderedPageBreak/>
        <w:t xml:space="preserve">intentionally. However, no physical injury is required but unlawful touch is required for the offence of battery. According to </w:t>
      </w:r>
      <w:r w:rsidR="00AD7BC0">
        <w:rPr>
          <w:rStyle w:val="Emphasis"/>
          <w:i w:val="0"/>
        </w:rPr>
        <w:t xml:space="preserve">the </w:t>
      </w:r>
      <w:r w:rsidR="0016769B">
        <w:rPr>
          <w:rStyle w:val="Emphasis"/>
          <w:i w:val="0"/>
        </w:rPr>
        <w:t>Offence against Person Act 1861, six months</w:t>
      </w:r>
      <w:r w:rsidR="00AD7BC0">
        <w:rPr>
          <w:rStyle w:val="Emphasis"/>
          <w:i w:val="0"/>
        </w:rPr>
        <w:t xml:space="preserve"> of</w:t>
      </w:r>
      <w:r w:rsidR="0016769B">
        <w:rPr>
          <w:rStyle w:val="Emphasis"/>
          <w:i w:val="0"/>
        </w:rPr>
        <w:t xml:space="preserve"> imprisonment is sentenced for both of the offence</w:t>
      </w:r>
      <w:r w:rsidR="00D91A1E">
        <w:rPr>
          <w:rStyle w:val="Emphasis"/>
          <w:i w:val="0"/>
        </w:rPr>
        <w:t xml:space="preserve"> (Data.legislation.gov.uk, 2021)</w:t>
      </w:r>
      <w:r w:rsidR="00D91A1E">
        <w:rPr>
          <w:rStyle w:val="FootnoteReference"/>
          <w:iCs/>
        </w:rPr>
        <w:footnoteReference w:id="4"/>
      </w:r>
      <w:r w:rsidR="0016769B">
        <w:rPr>
          <w:rStyle w:val="Emphasis"/>
          <w:i w:val="0"/>
        </w:rPr>
        <w:t xml:space="preserve">. </w:t>
      </w:r>
    </w:p>
    <w:p w:rsidR="0016769B" w:rsidRDefault="0016769B" w:rsidP="00B8590F">
      <w:pPr>
        <w:rPr>
          <w:rStyle w:val="Emphasis"/>
          <w:i w:val="0"/>
        </w:rPr>
      </w:pPr>
      <w:r>
        <w:rPr>
          <w:rStyle w:val="Emphasis"/>
          <w:i w:val="0"/>
        </w:rPr>
        <w:t xml:space="preserve">In case of physical assault by which the victim is caused bodily injury or harm by the act of </w:t>
      </w:r>
      <w:r w:rsidR="00AD7BC0">
        <w:rPr>
          <w:rStyle w:val="Emphasis"/>
          <w:i w:val="0"/>
        </w:rPr>
        <w:t xml:space="preserve">the </w:t>
      </w:r>
      <w:r>
        <w:rPr>
          <w:rStyle w:val="Emphasis"/>
          <w:i w:val="0"/>
        </w:rPr>
        <w:t xml:space="preserve">defendant is </w:t>
      </w:r>
      <w:r w:rsidR="00AD7BC0">
        <w:rPr>
          <w:rStyle w:val="Emphasis"/>
          <w:i w:val="0"/>
        </w:rPr>
        <w:t xml:space="preserve">a </w:t>
      </w:r>
      <w:r>
        <w:rPr>
          <w:rStyle w:val="Emphasis"/>
          <w:i w:val="0"/>
        </w:rPr>
        <w:t>more severe offence than mere assault or battery. The reason behind it is that the victim should have been suffered bodily harm or physical injury. Section 47 of the OAPA 1861, mentioned that a person convicted for physical injury should be liable and imprisonment not exceeding 5 years will be punished to the defendant</w:t>
      </w:r>
      <w:r w:rsidR="00D91A1E">
        <w:rPr>
          <w:rStyle w:val="Emphasis"/>
          <w:i w:val="0"/>
        </w:rPr>
        <w:t xml:space="preserve"> (Atoki, 2017)</w:t>
      </w:r>
      <w:r w:rsidR="00D91A1E">
        <w:rPr>
          <w:rStyle w:val="FootnoteReference"/>
          <w:iCs/>
        </w:rPr>
        <w:footnoteReference w:id="5"/>
      </w:r>
      <w:r>
        <w:rPr>
          <w:rStyle w:val="Emphasis"/>
          <w:i w:val="0"/>
        </w:rPr>
        <w:t>. On the other hand, section 20 of the OAPA</w:t>
      </w:r>
      <w:r w:rsidR="00211378">
        <w:rPr>
          <w:rStyle w:val="Emphasis"/>
          <w:i w:val="0"/>
        </w:rPr>
        <w:t xml:space="preserve"> </w:t>
      </w:r>
      <w:r>
        <w:rPr>
          <w:rStyle w:val="Emphasis"/>
          <w:i w:val="0"/>
        </w:rPr>
        <w:t xml:space="preserve">1861 deals with the punishment of </w:t>
      </w:r>
      <w:r w:rsidR="00211378">
        <w:rPr>
          <w:rStyle w:val="Emphasis"/>
          <w:i w:val="0"/>
        </w:rPr>
        <w:t>grievous bodily harm of the defendant</w:t>
      </w:r>
      <w:r w:rsidR="00D91A1E">
        <w:rPr>
          <w:rStyle w:val="Emphasis"/>
          <w:i w:val="0"/>
        </w:rPr>
        <w:t xml:space="preserve"> (</w:t>
      </w:r>
      <w:r w:rsidR="00D91A1E" w:rsidRPr="00500EA3">
        <w:rPr>
          <w:rFonts w:eastAsia="Times New Roman" w:cs="Times New Roman"/>
          <w:szCs w:val="24"/>
        </w:rPr>
        <w:t>Fewtrell</w:t>
      </w:r>
      <w:r w:rsidR="00D91A1E">
        <w:rPr>
          <w:rFonts w:eastAsia="Times New Roman" w:cs="Times New Roman"/>
          <w:szCs w:val="24"/>
        </w:rPr>
        <w:t>, 2010</w:t>
      </w:r>
      <w:r w:rsidR="00D91A1E">
        <w:rPr>
          <w:rStyle w:val="Emphasis"/>
          <w:i w:val="0"/>
        </w:rPr>
        <w:t>)</w:t>
      </w:r>
      <w:r w:rsidR="00D91A1E">
        <w:rPr>
          <w:rStyle w:val="FootnoteReference"/>
          <w:iCs/>
        </w:rPr>
        <w:footnoteReference w:id="6"/>
      </w:r>
      <w:r w:rsidR="00211378">
        <w:rPr>
          <w:rStyle w:val="Emphasis"/>
          <w:i w:val="0"/>
        </w:rPr>
        <w:t>. The law mentioned that when a person maliciously and unlawfully inflicts or wound another person that cause</w:t>
      </w:r>
      <w:r w:rsidR="00AD7BC0">
        <w:rPr>
          <w:rStyle w:val="Emphasis"/>
          <w:i w:val="0"/>
        </w:rPr>
        <w:t>s</w:t>
      </w:r>
      <w:r w:rsidR="00211378">
        <w:rPr>
          <w:rStyle w:val="Emphasis"/>
          <w:i w:val="0"/>
        </w:rPr>
        <w:t xml:space="preserve"> grievous bodily harm, the person will be convicted and given a sentence of not exceeding 5 years. According to the case of </w:t>
      </w:r>
      <w:hyperlink r:id="rId8" w:history="1">
        <w:r w:rsidR="00211378" w:rsidRPr="00211378">
          <w:rPr>
            <w:rStyle w:val="Hyperlink"/>
            <w:b/>
            <w:i/>
            <w:color w:val="auto"/>
            <w:u w:val="none"/>
          </w:rPr>
          <w:t xml:space="preserve">R v </w:t>
        </w:r>
      </w:hyperlink>
      <w:hyperlink r:id="rId9" w:history="1">
        <w:r w:rsidR="00211378" w:rsidRPr="00211378">
          <w:rPr>
            <w:rStyle w:val="Hyperlink"/>
            <w:b/>
            <w:i/>
            <w:iCs/>
            <w:color w:val="auto"/>
            <w:u w:val="none"/>
          </w:rPr>
          <w:t>Saunders</w:t>
        </w:r>
      </w:hyperlink>
      <w:r w:rsidR="00D91A1E">
        <w:rPr>
          <w:rStyle w:val="Emphasis"/>
          <w:b/>
          <w:i w:val="0"/>
        </w:rPr>
        <w:t xml:space="preserve"> </w:t>
      </w:r>
      <w:r w:rsidR="00D91A1E" w:rsidRPr="00D91A1E">
        <w:rPr>
          <w:rStyle w:val="Emphasis"/>
          <w:b/>
        </w:rPr>
        <w:t>[2004]</w:t>
      </w:r>
      <w:r w:rsidR="00D91A1E">
        <w:rPr>
          <w:rStyle w:val="FootnoteReference"/>
          <w:b/>
          <w:iCs/>
        </w:rPr>
        <w:footnoteReference w:id="7"/>
      </w:r>
      <w:r w:rsidR="00211378" w:rsidRPr="00211378">
        <w:rPr>
          <w:rStyle w:val="Emphasis"/>
          <w:i w:val="0"/>
        </w:rPr>
        <w:t xml:space="preserve"> </w:t>
      </w:r>
      <w:r w:rsidR="00211378">
        <w:rPr>
          <w:rStyle w:val="Emphasis"/>
          <w:i w:val="0"/>
        </w:rPr>
        <w:t xml:space="preserve">the learned judge mentioned that in case of grievous bodily harm, it causes two types of offences i.e. malicious wounding and the infliction of bodily harm. The defendant should be accused </w:t>
      </w:r>
      <w:r w:rsidR="00AD7BC0">
        <w:rPr>
          <w:rStyle w:val="Emphasis"/>
          <w:i w:val="0"/>
        </w:rPr>
        <w:t>of</w:t>
      </w:r>
      <w:r w:rsidR="00211378">
        <w:rPr>
          <w:rStyle w:val="Emphasis"/>
          <w:i w:val="0"/>
        </w:rPr>
        <w:t xml:space="preserve"> any type of bodily harm, intended to create bodily harm or act recklessly that cause</w:t>
      </w:r>
      <w:r w:rsidR="00AD7BC0">
        <w:rPr>
          <w:rStyle w:val="Emphasis"/>
          <w:i w:val="0"/>
        </w:rPr>
        <w:t>s</w:t>
      </w:r>
      <w:r w:rsidR="00211378">
        <w:rPr>
          <w:rStyle w:val="Emphasis"/>
          <w:i w:val="0"/>
        </w:rPr>
        <w:t xml:space="preserve"> bodily or psychiatric danger for the victim. </w:t>
      </w:r>
      <w:r w:rsidR="00B00ED8">
        <w:rPr>
          <w:rStyle w:val="Emphasis"/>
          <w:i w:val="0"/>
        </w:rPr>
        <w:t xml:space="preserve">While the defendant is accused </w:t>
      </w:r>
      <w:r w:rsidR="00AD7BC0">
        <w:rPr>
          <w:rStyle w:val="Emphasis"/>
          <w:i w:val="0"/>
        </w:rPr>
        <w:t>of</w:t>
      </w:r>
      <w:r w:rsidR="00B00ED8">
        <w:rPr>
          <w:rStyle w:val="Emphasis"/>
          <w:i w:val="0"/>
        </w:rPr>
        <w:t xml:space="preserve"> grievous bodily harm in an unlawful intention to cause such harm, it is the most severe</w:t>
      </w:r>
      <w:r w:rsidR="00DC14EE">
        <w:rPr>
          <w:rStyle w:val="Emphasis"/>
          <w:i w:val="0"/>
        </w:rPr>
        <w:t xml:space="preserve"> offence mentioned in section 18</w:t>
      </w:r>
      <w:r w:rsidR="00B00ED8">
        <w:rPr>
          <w:rStyle w:val="Emphasis"/>
          <w:i w:val="0"/>
        </w:rPr>
        <w:t xml:space="preserve"> of the Offence Against Person Act 1861</w:t>
      </w:r>
      <w:r w:rsidR="00D91A1E">
        <w:rPr>
          <w:rStyle w:val="Emphasis"/>
          <w:i w:val="0"/>
        </w:rPr>
        <w:t xml:space="preserve"> (Bean, 2014)</w:t>
      </w:r>
      <w:r w:rsidR="00D91A1E">
        <w:rPr>
          <w:rStyle w:val="FootnoteReference"/>
          <w:iCs/>
        </w:rPr>
        <w:footnoteReference w:id="8"/>
      </w:r>
      <w:r w:rsidR="00B00ED8">
        <w:rPr>
          <w:rStyle w:val="Emphasis"/>
          <w:i w:val="0"/>
        </w:rPr>
        <w:t xml:space="preserve">. </w:t>
      </w:r>
      <w:r w:rsidR="00DC14EE">
        <w:rPr>
          <w:rStyle w:val="Emphasis"/>
          <w:i w:val="0"/>
        </w:rPr>
        <w:t xml:space="preserve">According to this law, when the harm was caused by the unlawful intention or intention to cause harm, a maximum of life imprisonment might be sentenced to the offended. However, it is the most severe non-fatal offence against </w:t>
      </w:r>
      <w:r w:rsidR="00AD7BC0">
        <w:rPr>
          <w:rStyle w:val="Emphasis"/>
          <w:i w:val="0"/>
        </w:rPr>
        <w:t xml:space="preserve">the </w:t>
      </w:r>
      <w:r w:rsidR="00DC14EE">
        <w:rPr>
          <w:rStyle w:val="Emphasis"/>
          <w:i w:val="0"/>
        </w:rPr>
        <w:t xml:space="preserve">person. </w:t>
      </w:r>
    </w:p>
    <w:p w:rsidR="00DC14EE" w:rsidRPr="00F7193C" w:rsidRDefault="00DC14EE" w:rsidP="00F7193C">
      <w:pPr>
        <w:pStyle w:val="Heading1"/>
        <w:rPr>
          <w:rStyle w:val="Emphasis"/>
          <w:i w:val="0"/>
          <w:iCs w:val="0"/>
        </w:rPr>
      </w:pPr>
      <w:bookmarkStart w:id="2" w:name="_Toc66108391"/>
      <w:r w:rsidRPr="00F7193C">
        <w:rPr>
          <w:rStyle w:val="Emphasis"/>
          <w:i w:val="0"/>
          <w:iCs w:val="0"/>
        </w:rPr>
        <w:lastRenderedPageBreak/>
        <w:t xml:space="preserve">Evaluation of the law </w:t>
      </w:r>
      <w:r w:rsidR="00AD7BC0">
        <w:rPr>
          <w:rStyle w:val="Emphasis"/>
          <w:i w:val="0"/>
          <w:iCs w:val="0"/>
        </w:rPr>
        <w:t>about</w:t>
      </w:r>
      <w:r w:rsidR="00542224" w:rsidRPr="00F7193C">
        <w:rPr>
          <w:rStyle w:val="Emphasis"/>
          <w:i w:val="0"/>
          <w:iCs w:val="0"/>
        </w:rPr>
        <w:t xml:space="preserve"> non-fatal offence against </w:t>
      </w:r>
      <w:r w:rsidR="00AD7BC0">
        <w:rPr>
          <w:rStyle w:val="Emphasis"/>
          <w:i w:val="0"/>
          <w:iCs w:val="0"/>
        </w:rPr>
        <w:t xml:space="preserve">a </w:t>
      </w:r>
      <w:r w:rsidR="00542224" w:rsidRPr="00F7193C">
        <w:rPr>
          <w:rStyle w:val="Emphasis"/>
          <w:i w:val="0"/>
          <w:iCs w:val="0"/>
        </w:rPr>
        <w:t>person</w:t>
      </w:r>
      <w:bookmarkEnd w:id="2"/>
      <w:r w:rsidR="00542224" w:rsidRPr="00F7193C">
        <w:rPr>
          <w:rStyle w:val="Emphasis"/>
          <w:i w:val="0"/>
          <w:iCs w:val="0"/>
        </w:rPr>
        <w:t xml:space="preserve"> </w:t>
      </w:r>
    </w:p>
    <w:p w:rsidR="00542224" w:rsidRDefault="00D95102" w:rsidP="00B8590F">
      <w:pPr>
        <w:rPr>
          <w:rStyle w:val="Emphasis"/>
          <w:i w:val="0"/>
        </w:rPr>
      </w:pPr>
      <w:r>
        <w:rPr>
          <w:rStyle w:val="Emphasis"/>
          <w:i w:val="0"/>
        </w:rPr>
        <w:t xml:space="preserve">The law has long been criticized by legal scholars and </w:t>
      </w:r>
      <w:r w:rsidR="00AD7BC0">
        <w:rPr>
          <w:rStyle w:val="Emphasis"/>
          <w:i w:val="0"/>
        </w:rPr>
        <w:t xml:space="preserve">the </w:t>
      </w:r>
      <w:r>
        <w:rPr>
          <w:rStyle w:val="Emphasis"/>
          <w:i w:val="0"/>
        </w:rPr>
        <w:t xml:space="preserve">law commission has recommended reform in different provision of the law. The law commission report published in 2015 has mentioned that </w:t>
      </w:r>
      <w:r w:rsidR="00BF36AB">
        <w:rPr>
          <w:rStyle w:val="Emphasis"/>
          <w:i w:val="0"/>
        </w:rPr>
        <w:t>the languages used in the law are no longer applicable in modern days</w:t>
      </w:r>
      <w:r w:rsidR="00D91A1E">
        <w:rPr>
          <w:rStyle w:val="Emphasis"/>
          <w:i w:val="0"/>
        </w:rPr>
        <w:t xml:space="preserve"> (Data.gov.uk, 2021)</w:t>
      </w:r>
      <w:r w:rsidR="00D91A1E">
        <w:rPr>
          <w:rStyle w:val="FootnoteReference"/>
          <w:iCs/>
        </w:rPr>
        <w:footnoteReference w:id="9"/>
      </w:r>
      <w:r w:rsidR="00BF36AB">
        <w:rPr>
          <w:rStyle w:val="Emphasis"/>
          <w:i w:val="0"/>
        </w:rPr>
        <w:t>. The definition used in the legislation ha</w:t>
      </w:r>
      <w:r w:rsidR="00AD7BC0">
        <w:rPr>
          <w:rStyle w:val="Emphasis"/>
          <w:i w:val="0"/>
        </w:rPr>
        <w:t>s</w:t>
      </w:r>
      <w:r w:rsidR="00BF36AB">
        <w:rPr>
          <w:rStyle w:val="Emphasis"/>
          <w:i w:val="0"/>
        </w:rPr>
        <w:t xml:space="preserve"> become outdated or archaic. </w:t>
      </w:r>
      <w:r w:rsidR="0028545A">
        <w:rPr>
          <w:rStyle w:val="Emphasis"/>
          <w:i w:val="0"/>
        </w:rPr>
        <w:t xml:space="preserve">For example, the law commission report mentioned that the term “bodily” used in the legislation is </w:t>
      </w:r>
      <w:r w:rsidR="00AD7BC0">
        <w:rPr>
          <w:rStyle w:val="Emphasis"/>
          <w:i w:val="0"/>
        </w:rPr>
        <w:t xml:space="preserve">an </w:t>
      </w:r>
      <w:r w:rsidR="0028545A">
        <w:rPr>
          <w:rStyle w:val="Emphasis"/>
          <w:i w:val="0"/>
        </w:rPr>
        <w:t>outdated and old fashioned word. However, the word has been used in section 18, 20 and 47 and it ignores the psychiatric</w:t>
      </w:r>
      <w:r w:rsidR="00C25F01">
        <w:rPr>
          <w:rStyle w:val="Emphasis"/>
          <w:i w:val="0"/>
        </w:rPr>
        <w:t xml:space="preserve"> injury caused by fear as it is not bodily harm</w:t>
      </w:r>
      <w:r w:rsidR="00D91A1E">
        <w:rPr>
          <w:rStyle w:val="Emphasis"/>
          <w:i w:val="0"/>
        </w:rPr>
        <w:t xml:space="preserve"> (</w:t>
      </w:r>
      <w:r w:rsidR="00D91A1E" w:rsidRPr="00500EA3">
        <w:rPr>
          <w:rFonts w:eastAsia="Times New Roman" w:cs="Times New Roman"/>
          <w:szCs w:val="24"/>
        </w:rPr>
        <w:t>Chisholm</w:t>
      </w:r>
      <w:r w:rsidR="00D91A1E">
        <w:rPr>
          <w:rFonts w:eastAsia="Times New Roman" w:cs="Times New Roman"/>
          <w:szCs w:val="24"/>
        </w:rPr>
        <w:t>, 2021</w:t>
      </w:r>
      <w:r w:rsidR="00D91A1E">
        <w:rPr>
          <w:rStyle w:val="Emphasis"/>
          <w:i w:val="0"/>
        </w:rPr>
        <w:t>)</w:t>
      </w:r>
      <w:r w:rsidR="00D91A1E">
        <w:rPr>
          <w:rStyle w:val="FootnoteReference"/>
          <w:iCs/>
        </w:rPr>
        <w:footnoteReference w:id="10"/>
      </w:r>
      <w:r w:rsidR="00C25F01">
        <w:rPr>
          <w:rStyle w:val="Emphasis"/>
          <w:i w:val="0"/>
        </w:rPr>
        <w:t xml:space="preserve">. However, in the case of </w:t>
      </w:r>
      <w:r w:rsidR="00C25F01" w:rsidRPr="00C25F01">
        <w:rPr>
          <w:rStyle w:val="Emphasis"/>
          <w:b/>
        </w:rPr>
        <w:t>R v Ireland</w:t>
      </w:r>
      <w:r w:rsidR="00D91A1E">
        <w:rPr>
          <w:rStyle w:val="Emphasis"/>
          <w:b/>
        </w:rPr>
        <w:t xml:space="preserve"> [1998]</w:t>
      </w:r>
      <w:r w:rsidR="00AD7BC0">
        <w:rPr>
          <w:rStyle w:val="Emphasis"/>
          <w:b/>
        </w:rPr>
        <w:t>,</w:t>
      </w:r>
      <w:r w:rsidR="00D91A1E">
        <w:rPr>
          <w:rStyle w:val="FootnoteReference"/>
          <w:b/>
          <w:i/>
          <w:iCs/>
        </w:rPr>
        <w:footnoteReference w:id="11"/>
      </w:r>
      <w:r w:rsidR="00C25F01">
        <w:rPr>
          <w:rStyle w:val="Emphasis"/>
          <w:i w:val="0"/>
        </w:rPr>
        <w:t xml:space="preserve"> the learned judge mentioned that the issue of psychiatric health should also be kept in mind while judging the offence against </w:t>
      </w:r>
      <w:r w:rsidR="00AD7BC0">
        <w:rPr>
          <w:rStyle w:val="Emphasis"/>
          <w:i w:val="0"/>
        </w:rPr>
        <w:t xml:space="preserve">a </w:t>
      </w:r>
      <w:r w:rsidR="00C25F01">
        <w:rPr>
          <w:rStyle w:val="Emphasis"/>
          <w:i w:val="0"/>
        </w:rPr>
        <w:t xml:space="preserve">person which the legislators did not consider. </w:t>
      </w:r>
      <w:r w:rsidR="00140246">
        <w:rPr>
          <w:rStyle w:val="Emphasis"/>
          <w:i w:val="0"/>
        </w:rPr>
        <w:t>“The</w:t>
      </w:r>
      <w:r w:rsidR="00C25F01">
        <w:rPr>
          <w:rStyle w:val="Emphasis"/>
          <w:i w:val="0"/>
        </w:rPr>
        <w:t xml:space="preserve"> legislators had no mind in psychiatric ill</w:t>
      </w:r>
      <w:r w:rsidR="00140246">
        <w:rPr>
          <w:rStyle w:val="Emphasis"/>
          <w:i w:val="0"/>
        </w:rPr>
        <w:t>ness” Lord Steyn mentioned in a case in support of the argument</w:t>
      </w:r>
      <w:r w:rsidR="00D91A1E">
        <w:rPr>
          <w:rStyle w:val="Emphasis"/>
          <w:i w:val="0"/>
        </w:rPr>
        <w:t xml:space="preserve"> (</w:t>
      </w:r>
      <w:r w:rsidR="00D91A1E" w:rsidRPr="00500EA3">
        <w:rPr>
          <w:rFonts w:eastAsia="Times New Roman" w:cs="Times New Roman"/>
          <w:szCs w:val="24"/>
        </w:rPr>
        <w:t>Eugenicos</w:t>
      </w:r>
      <w:r w:rsidR="00D91A1E">
        <w:rPr>
          <w:rFonts w:eastAsia="Times New Roman" w:cs="Times New Roman"/>
          <w:szCs w:val="24"/>
        </w:rPr>
        <w:t>, 2017</w:t>
      </w:r>
      <w:r w:rsidR="00D91A1E">
        <w:rPr>
          <w:rStyle w:val="Emphasis"/>
          <w:i w:val="0"/>
        </w:rPr>
        <w:t>)</w:t>
      </w:r>
      <w:r w:rsidR="00D91A1E">
        <w:rPr>
          <w:rStyle w:val="FootnoteReference"/>
          <w:iCs/>
        </w:rPr>
        <w:footnoteReference w:id="12"/>
      </w:r>
      <w:r w:rsidR="00140246">
        <w:rPr>
          <w:rStyle w:val="Emphasis"/>
          <w:i w:val="0"/>
        </w:rPr>
        <w:t xml:space="preserve">. As a result, the common law has developed a range of case law to judge the cases related to offence against </w:t>
      </w:r>
      <w:r w:rsidR="00AD7BC0">
        <w:rPr>
          <w:rStyle w:val="Emphasis"/>
          <w:i w:val="0"/>
        </w:rPr>
        <w:t xml:space="preserve">a </w:t>
      </w:r>
      <w:r w:rsidR="00140246">
        <w:rPr>
          <w:rStyle w:val="Emphasis"/>
          <w:i w:val="0"/>
        </w:rPr>
        <w:t xml:space="preserve">person. </w:t>
      </w:r>
      <w:r w:rsidR="00921888">
        <w:rPr>
          <w:rStyle w:val="Emphasis"/>
          <w:i w:val="0"/>
        </w:rPr>
        <w:t xml:space="preserve">Similarly, the term “maliciously” used in the legislation has conflicting and </w:t>
      </w:r>
      <w:r w:rsidR="00FC5C66">
        <w:rPr>
          <w:rStyle w:val="Emphasis"/>
          <w:i w:val="0"/>
        </w:rPr>
        <w:t xml:space="preserve">confusing meaning in modern days. </w:t>
      </w:r>
      <w:r w:rsidR="00AD7BC0">
        <w:rPr>
          <w:rStyle w:val="Emphasis"/>
          <w:i w:val="0"/>
        </w:rPr>
        <w:t>Some terms</w:t>
      </w:r>
      <w:r w:rsidR="00FC5C66">
        <w:rPr>
          <w:rStyle w:val="Emphasis"/>
          <w:i w:val="0"/>
        </w:rPr>
        <w:t xml:space="preserve"> are used in the legislation are outdated and the meaning has changed in English i.e. the detainer is used for </w:t>
      </w:r>
      <w:r w:rsidR="00AD7BC0">
        <w:rPr>
          <w:rStyle w:val="Emphasis"/>
          <w:i w:val="0"/>
        </w:rPr>
        <w:t xml:space="preserve">a </w:t>
      </w:r>
      <w:r w:rsidR="00FC5C66">
        <w:rPr>
          <w:rStyle w:val="Emphasis"/>
          <w:i w:val="0"/>
        </w:rPr>
        <w:t xml:space="preserve">meaning sentence of hard </w:t>
      </w:r>
      <w:r w:rsidR="003C22D5">
        <w:rPr>
          <w:rStyle w:val="Emphasis"/>
          <w:i w:val="0"/>
        </w:rPr>
        <w:t>labo</w:t>
      </w:r>
      <w:r w:rsidR="00AD7BC0">
        <w:rPr>
          <w:rStyle w:val="Emphasis"/>
          <w:i w:val="0"/>
        </w:rPr>
        <w:t>u</w:t>
      </w:r>
      <w:r w:rsidR="003C22D5">
        <w:rPr>
          <w:rStyle w:val="Emphasis"/>
          <w:i w:val="0"/>
        </w:rPr>
        <w:t>r</w:t>
      </w:r>
      <w:r w:rsidR="00FC5C66">
        <w:rPr>
          <w:rStyle w:val="Emphasis"/>
          <w:i w:val="0"/>
        </w:rPr>
        <w:t xml:space="preserve"> but now it means imprisonment. That is why the outdated languages used in the legislation should be reformed for better use. </w:t>
      </w:r>
    </w:p>
    <w:p w:rsidR="00A27B28" w:rsidRPr="00A27B28" w:rsidRDefault="00FC5C66" w:rsidP="00A27B28">
      <w:pPr>
        <w:rPr>
          <w:sz w:val="28"/>
          <w:szCs w:val="28"/>
        </w:rPr>
      </w:pPr>
      <w:r>
        <w:rPr>
          <w:rStyle w:val="Emphasis"/>
          <w:i w:val="0"/>
        </w:rPr>
        <w:t xml:space="preserve">The legislation is still unstructured and the meaning </w:t>
      </w:r>
      <w:r w:rsidR="00AD7BC0">
        <w:rPr>
          <w:rStyle w:val="Emphasis"/>
          <w:i w:val="0"/>
        </w:rPr>
        <w:t xml:space="preserve">of </w:t>
      </w:r>
      <w:r>
        <w:rPr>
          <w:rStyle w:val="Emphasis"/>
          <w:i w:val="0"/>
        </w:rPr>
        <w:t xml:space="preserve">many of the terminologies used in the legislation are not statutorily defined. For example, the offences used in the legislation i.e. battery, assault, injury has not defined clearly and </w:t>
      </w:r>
      <w:r w:rsidR="00A27B28">
        <w:rPr>
          <w:rStyle w:val="Emphasis"/>
          <w:i w:val="0"/>
        </w:rPr>
        <w:t xml:space="preserve">with proper codification. That is why the judges or </w:t>
      </w:r>
      <w:r w:rsidR="00A27B28">
        <w:rPr>
          <w:rStyle w:val="Emphasis"/>
          <w:i w:val="0"/>
        </w:rPr>
        <w:lastRenderedPageBreak/>
        <w:t xml:space="preserve">professionals often face problems. In the case of </w:t>
      </w:r>
      <w:r w:rsidR="00A27B28" w:rsidRPr="00A27B28">
        <w:rPr>
          <w:b/>
          <w:i/>
          <w:szCs w:val="24"/>
        </w:rPr>
        <w:t>R v Miller [1954]</w:t>
      </w:r>
      <w:r w:rsidR="00AD7BC0">
        <w:rPr>
          <w:b/>
          <w:i/>
          <w:szCs w:val="24"/>
        </w:rPr>
        <w:t>,</w:t>
      </w:r>
      <w:r w:rsidR="00D91A1E">
        <w:rPr>
          <w:rStyle w:val="FootnoteReference"/>
          <w:b/>
          <w:i/>
          <w:szCs w:val="24"/>
        </w:rPr>
        <w:footnoteReference w:id="13"/>
      </w:r>
      <w:r w:rsidR="00A27B28">
        <w:rPr>
          <w:b/>
          <w:i/>
          <w:szCs w:val="24"/>
        </w:rPr>
        <w:t xml:space="preserve"> </w:t>
      </w:r>
      <w:r w:rsidR="00A27B28">
        <w:rPr>
          <w:szCs w:val="24"/>
        </w:rPr>
        <w:t xml:space="preserve">the learned judge mentioned that the existing approach of the legislation is no longer practical and an example of bad laws because it creates confusion in many of the codifications. </w:t>
      </w:r>
      <w:r w:rsidR="003C22D5">
        <w:rPr>
          <w:szCs w:val="24"/>
        </w:rPr>
        <w:t xml:space="preserve">Another problem </w:t>
      </w:r>
      <w:r w:rsidR="00AD7BC0">
        <w:rPr>
          <w:szCs w:val="24"/>
        </w:rPr>
        <w:t xml:space="preserve">that </w:t>
      </w:r>
      <w:r w:rsidR="003C22D5">
        <w:rPr>
          <w:szCs w:val="24"/>
        </w:rPr>
        <w:t xml:space="preserve">arises regarding the law is its unclear and in some cases absence of </w:t>
      </w:r>
      <w:r w:rsidR="00AD7BC0">
        <w:rPr>
          <w:szCs w:val="24"/>
        </w:rPr>
        <w:t xml:space="preserve">a </w:t>
      </w:r>
      <w:r w:rsidR="003C22D5">
        <w:rPr>
          <w:szCs w:val="24"/>
        </w:rPr>
        <w:t>hierarchy of offences and sentences. However, the offences and sentences are not logically ordered in the legislation</w:t>
      </w:r>
      <w:r w:rsidR="00D91A1E">
        <w:rPr>
          <w:szCs w:val="24"/>
        </w:rPr>
        <w:t xml:space="preserve"> (Atoki, 2017)</w:t>
      </w:r>
      <w:r w:rsidR="00D91A1E">
        <w:rPr>
          <w:rStyle w:val="FootnoteReference"/>
          <w:szCs w:val="24"/>
        </w:rPr>
        <w:footnoteReference w:id="14"/>
      </w:r>
      <w:r w:rsidR="003C22D5">
        <w:rPr>
          <w:szCs w:val="24"/>
        </w:rPr>
        <w:t xml:space="preserve">. The sentences are not provided based on the severity of </w:t>
      </w:r>
      <w:r w:rsidR="00AD7BC0">
        <w:rPr>
          <w:szCs w:val="24"/>
        </w:rPr>
        <w:t xml:space="preserve">the </w:t>
      </w:r>
      <w:r w:rsidR="003C22D5">
        <w:rPr>
          <w:szCs w:val="24"/>
        </w:rPr>
        <w:t xml:space="preserve">offence and intention of the offender. For example, offences like assault and battery are different in terms of severity and effect on the victim. But same sentence (6 months) is given in either of the cases which makes little sense. Therefore, confusion and ambiguity </w:t>
      </w:r>
      <w:r w:rsidR="00AD7BC0">
        <w:rPr>
          <w:szCs w:val="24"/>
        </w:rPr>
        <w:t>are</w:t>
      </w:r>
      <w:r w:rsidR="003C22D5">
        <w:rPr>
          <w:szCs w:val="24"/>
        </w:rPr>
        <w:t xml:space="preserve"> created due to the lack of </w:t>
      </w:r>
      <w:r w:rsidR="00AD7BC0">
        <w:rPr>
          <w:szCs w:val="24"/>
        </w:rPr>
        <w:t xml:space="preserve">a </w:t>
      </w:r>
      <w:r w:rsidR="004F0B24">
        <w:rPr>
          <w:szCs w:val="24"/>
        </w:rPr>
        <w:t xml:space="preserve">clear hierarchy. Due to </w:t>
      </w:r>
      <w:r w:rsidR="00AD7BC0">
        <w:rPr>
          <w:szCs w:val="24"/>
        </w:rPr>
        <w:t xml:space="preserve">the </w:t>
      </w:r>
      <w:r w:rsidR="004F0B24">
        <w:rPr>
          <w:szCs w:val="24"/>
        </w:rPr>
        <w:t xml:space="preserve">lack of </w:t>
      </w:r>
      <w:r w:rsidR="00AD7BC0">
        <w:rPr>
          <w:szCs w:val="24"/>
        </w:rPr>
        <w:t xml:space="preserve">a </w:t>
      </w:r>
      <w:r w:rsidR="004F0B24">
        <w:rPr>
          <w:szCs w:val="24"/>
        </w:rPr>
        <w:t xml:space="preserve">clear definition of the offences and severity, the professionals often mistakes while charging for the offence that is evident from the case of  </w:t>
      </w:r>
      <w:r w:rsidR="004F0B24" w:rsidRPr="004F0B24">
        <w:rPr>
          <w:b/>
          <w:i/>
          <w:szCs w:val="24"/>
        </w:rPr>
        <w:t>R v Thomas [1985]</w:t>
      </w:r>
      <w:r w:rsidR="00D91A1E">
        <w:rPr>
          <w:rStyle w:val="FootnoteReference"/>
          <w:b/>
          <w:i/>
          <w:szCs w:val="24"/>
        </w:rPr>
        <w:footnoteReference w:id="15"/>
      </w:r>
      <w:r w:rsidR="004F0B24" w:rsidRPr="004F0B24">
        <w:rPr>
          <w:b/>
          <w:i/>
          <w:szCs w:val="24"/>
        </w:rPr>
        <w:t>.</w:t>
      </w:r>
      <w:r w:rsidR="004F0B24">
        <w:rPr>
          <w:szCs w:val="24"/>
        </w:rPr>
        <w:t xml:space="preserve"> When a person faces physical injury due to </w:t>
      </w:r>
      <w:r w:rsidR="00AD7BC0">
        <w:rPr>
          <w:szCs w:val="24"/>
        </w:rPr>
        <w:t xml:space="preserve">a </w:t>
      </w:r>
      <w:r w:rsidR="004F0B24">
        <w:rPr>
          <w:szCs w:val="24"/>
        </w:rPr>
        <w:t xml:space="preserve">battery of physical assault, it may create confusion </w:t>
      </w:r>
      <w:r w:rsidR="00AD7BC0">
        <w:rPr>
          <w:szCs w:val="24"/>
        </w:rPr>
        <w:t xml:space="preserve">about </w:t>
      </w:r>
      <w:r w:rsidR="004F0B24">
        <w:rPr>
          <w:szCs w:val="24"/>
        </w:rPr>
        <w:t xml:space="preserve">which charges should be put on. The reason behind it is that the sentences for assault and bodily harm </w:t>
      </w:r>
      <w:r w:rsidR="00AD7BC0">
        <w:rPr>
          <w:szCs w:val="24"/>
        </w:rPr>
        <w:t>are</w:t>
      </w:r>
      <w:r w:rsidR="004F0B24">
        <w:rPr>
          <w:szCs w:val="24"/>
        </w:rPr>
        <w:t xml:space="preserve"> not </w:t>
      </w:r>
      <w:r w:rsidR="00AD7BC0">
        <w:rPr>
          <w:szCs w:val="24"/>
        </w:rPr>
        <w:t xml:space="preserve">the </w:t>
      </w:r>
      <w:r w:rsidR="004F0B24">
        <w:rPr>
          <w:szCs w:val="24"/>
        </w:rPr>
        <w:t xml:space="preserve">same. </w:t>
      </w:r>
    </w:p>
    <w:p w:rsidR="00FF687D" w:rsidRDefault="004F0B24" w:rsidP="00FF687D">
      <w:pPr>
        <w:rPr>
          <w:szCs w:val="24"/>
        </w:rPr>
      </w:pPr>
      <w:r>
        <w:rPr>
          <w:szCs w:val="24"/>
        </w:rPr>
        <w:t>The law has been proved complex in definin</w:t>
      </w:r>
      <w:r w:rsidR="001416BA">
        <w:rPr>
          <w:szCs w:val="24"/>
        </w:rPr>
        <w:t xml:space="preserve">g the offences and their charging. For example, the law has identified an offence called grievous bodily harm which then defined as physical wound and infliction. Along with that, the law has defined a single sentence for a range of offence. For example, section 29 indicated a single sentence for a line of offence i.e. causing </w:t>
      </w:r>
      <w:r w:rsidR="00AD7BC0">
        <w:rPr>
          <w:szCs w:val="24"/>
        </w:rPr>
        <w:t xml:space="preserve">an </w:t>
      </w:r>
      <w:r w:rsidR="001416BA">
        <w:rPr>
          <w:szCs w:val="24"/>
        </w:rPr>
        <w:t xml:space="preserve">explosion, sending explosives, placing explosives or throwing corrosive fluid has the same sentences although the severity of the offences </w:t>
      </w:r>
      <w:r w:rsidR="00AD7BC0">
        <w:rPr>
          <w:szCs w:val="24"/>
        </w:rPr>
        <w:t>is</w:t>
      </w:r>
      <w:r w:rsidR="001416BA">
        <w:rPr>
          <w:szCs w:val="24"/>
        </w:rPr>
        <w:t xml:space="preserve"> different to a great extent</w:t>
      </w:r>
      <w:r w:rsidR="00D91A1E">
        <w:rPr>
          <w:szCs w:val="24"/>
        </w:rPr>
        <w:t xml:space="preserve"> (Data.legislation.gov.uk, 2021)</w:t>
      </w:r>
      <w:r w:rsidR="00D91A1E">
        <w:rPr>
          <w:rStyle w:val="FootnoteReference"/>
          <w:szCs w:val="24"/>
        </w:rPr>
        <w:footnoteReference w:id="16"/>
      </w:r>
      <w:r w:rsidR="001416BA">
        <w:rPr>
          <w:szCs w:val="24"/>
        </w:rPr>
        <w:t xml:space="preserve">. </w:t>
      </w:r>
      <w:r w:rsidR="00FF687D">
        <w:rPr>
          <w:szCs w:val="24"/>
        </w:rPr>
        <w:t xml:space="preserve">In the case of </w:t>
      </w:r>
      <w:r w:rsidR="00FF687D" w:rsidRPr="00FF687D">
        <w:rPr>
          <w:b/>
          <w:i/>
          <w:szCs w:val="24"/>
        </w:rPr>
        <w:t>Ireland v Burstow [1997]</w:t>
      </w:r>
      <w:r w:rsidR="00AD7BC0">
        <w:rPr>
          <w:b/>
          <w:i/>
          <w:szCs w:val="24"/>
        </w:rPr>
        <w:t>,</w:t>
      </w:r>
      <w:r w:rsidR="00D91A1E">
        <w:rPr>
          <w:rStyle w:val="FootnoteReference"/>
          <w:b/>
          <w:i/>
          <w:szCs w:val="24"/>
        </w:rPr>
        <w:footnoteReference w:id="17"/>
      </w:r>
      <w:r w:rsidR="00FF687D">
        <w:rPr>
          <w:b/>
          <w:i/>
          <w:szCs w:val="24"/>
        </w:rPr>
        <w:t xml:space="preserve"> </w:t>
      </w:r>
      <w:r w:rsidR="00FF687D">
        <w:rPr>
          <w:szCs w:val="24"/>
        </w:rPr>
        <w:t xml:space="preserve">the learned judge has indicated the complexities that inherited in the law. Therefore, the law commission report has also mentioned the particular areas where the </w:t>
      </w:r>
      <w:r w:rsidR="00FF687D">
        <w:rPr>
          <w:szCs w:val="24"/>
        </w:rPr>
        <w:lastRenderedPageBreak/>
        <w:t xml:space="preserve">laws need reform to eliminate the complexities. However, the complexity of the legislation has been derived from the </w:t>
      </w:r>
      <w:r w:rsidR="008A380D">
        <w:rPr>
          <w:szCs w:val="24"/>
        </w:rPr>
        <w:t>drafting style and language used in the Victorian age</w:t>
      </w:r>
      <w:r w:rsidR="00D91A1E">
        <w:rPr>
          <w:szCs w:val="24"/>
        </w:rPr>
        <w:t xml:space="preserve"> (</w:t>
      </w:r>
      <w:r w:rsidR="00D91A1E" w:rsidRPr="00500EA3">
        <w:rPr>
          <w:rFonts w:eastAsia="Times New Roman" w:cs="Times New Roman"/>
          <w:szCs w:val="24"/>
        </w:rPr>
        <w:t>Fewtrell,</w:t>
      </w:r>
      <w:r w:rsidR="00D91A1E">
        <w:rPr>
          <w:rFonts w:eastAsia="Times New Roman" w:cs="Times New Roman"/>
          <w:szCs w:val="24"/>
        </w:rPr>
        <w:t xml:space="preserve"> 2010</w:t>
      </w:r>
      <w:r w:rsidR="00D91A1E">
        <w:rPr>
          <w:szCs w:val="24"/>
        </w:rPr>
        <w:t>)</w:t>
      </w:r>
      <w:r w:rsidR="00D91A1E">
        <w:rPr>
          <w:rStyle w:val="FootnoteReference"/>
          <w:szCs w:val="24"/>
        </w:rPr>
        <w:footnoteReference w:id="18"/>
      </w:r>
      <w:r w:rsidR="008A380D">
        <w:rPr>
          <w:szCs w:val="24"/>
        </w:rPr>
        <w:t xml:space="preserve">. Moreover, the legislation was enacted as a consolidation of offences and the legislators has focused little on the amendment of the </w:t>
      </w:r>
      <w:r w:rsidR="006A210E">
        <w:rPr>
          <w:szCs w:val="24"/>
        </w:rPr>
        <w:t xml:space="preserve">consolidation. Therefore the law commission, in its report, mentioned that “This is very different from the way we expect modern criminal statutes to define </w:t>
      </w:r>
      <w:r w:rsidR="00AD7BC0">
        <w:rPr>
          <w:szCs w:val="24"/>
        </w:rPr>
        <w:t xml:space="preserve">the </w:t>
      </w:r>
      <w:r w:rsidR="006A210E">
        <w:rPr>
          <w:szCs w:val="24"/>
        </w:rPr>
        <w:t>offence.”</w:t>
      </w:r>
    </w:p>
    <w:p w:rsidR="006A210E" w:rsidRPr="006A210E" w:rsidRDefault="006A210E" w:rsidP="006A210E">
      <w:pPr>
        <w:rPr>
          <w:szCs w:val="24"/>
        </w:rPr>
      </w:pPr>
      <w:r>
        <w:rPr>
          <w:szCs w:val="24"/>
        </w:rPr>
        <w:t xml:space="preserve">The law commission report of 2015 and the legal scholars’ critic the Offence against Person Act 1861 for </w:t>
      </w:r>
      <w:r w:rsidR="00AD7BC0">
        <w:rPr>
          <w:szCs w:val="24"/>
        </w:rPr>
        <w:t xml:space="preserve">the </w:t>
      </w:r>
      <w:r>
        <w:rPr>
          <w:szCs w:val="24"/>
        </w:rPr>
        <w:t xml:space="preserve">inclusion of so many unnecessary and redundant offences. In the case of </w:t>
      </w:r>
      <w:r w:rsidRPr="006A210E">
        <w:rPr>
          <w:b/>
          <w:i/>
          <w:szCs w:val="24"/>
        </w:rPr>
        <w:t>R v Chan-Fook [1994]</w:t>
      </w:r>
      <w:r w:rsidR="00D91A1E">
        <w:rPr>
          <w:rStyle w:val="FootnoteReference"/>
          <w:b/>
          <w:i/>
          <w:szCs w:val="24"/>
        </w:rPr>
        <w:footnoteReference w:id="19"/>
      </w:r>
      <w:r w:rsidRPr="006A210E">
        <w:rPr>
          <w:b/>
          <w:i/>
          <w:szCs w:val="24"/>
        </w:rPr>
        <w:t xml:space="preserve">, </w:t>
      </w:r>
      <w:r>
        <w:rPr>
          <w:szCs w:val="24"/>
        </w:rPr>
        <w:t>many offences included in the OAPA 1861 are redundant and o</w:t>
      </w:r>
      <w:r w:rsidR="00AD7BC0">
        <w:rPr>
          <w:szCs w:val="24"/>
        </w:rPr>
        <w:t>f</w:t>
      </w:r>
      <w:r>
        <w:rPr>
          <w:szCs w:val="24"/>
        </w:rPr>
        <w:t xml:space="preserve"> no use today. For example, </w:t>
      </w:r>
      <w:r w:rsidR="001C092D">
        <w:rPr>
          <w:szCs w:val="24"/>
        </w:rPr>
        <w:t xml:space="preserve">the offence of assaulting clergymen or a minister that is mentioned in section 36 </w:t>
      </w:r>
      <w:r w:rsidR="00AD7BC0">
        <w:rPr>
          <w:szCs w:val="24"/>
        </w:rPr>
        <w:t>needs</w:t>
      </w:r>
      <w:r w:rsidR="001C092D">
        <w:rPr>
          <w:szCs w:val="24"/>
        </w:rPr>
        <w:t xml:space="preserve"> no separate provision because they can be judged under </w:t>
      </w:r>
      <w:r w:rsidR="00AD7BC0">
        <w:rPr>
          <w:szCs w:val="24"/>
        </w:rPr>
        <w:t xml:space="preserve">the </w:t>
      </w:r>
      <w:r w:rsidR="001C092D">
        <w:rPr>
          <w:szCs w:val="24"/>
        </w:rPr>
        <w:t xml:space="preserve">general provision for assault. On the other hand, the offence mentioned in section 17 which is related to impeding a person who is impeding to escape himself from </w:t>
      </w:r>
      <w:r w:rsidR="00AD7BC0">
        <w:rPr>
          <w:szCs w:val="24"/>
        </w:rPr>
        <w:t xml:space="preserve">a </w:t>
      </w:r>
      <w:r w:rsidR="001C092D">
        <w:rPr>
          <w:szCs w:val="24"/>
        </w:rPr>
        <w:t>shipwreck, assaulting a magistrate on duty is no longer in use today</w:t>
      </w:r>
      <w:r w:rsidR="00D91A1E">
        <w:rPr>
          <w:szCs w:val="24"/>
        </w:rPr>
        <w:t xml:space="preserve"> (Data.gov.uk, 2021)</w:t>
      </w:r>
      <w:r w:rsidR="00D91A1E">
        <w:rPr>
          <w:rStyle w:val="FootnoteReference"/>
          <w:szCs w:val="24"/>
        </w:rPr>
        <w:footnoteReference w:id="20"/>
      </w:r>
      <w:r w:rsidR="001C092D">
        <w:rPr>
          <w:szCs w:val="24"/>
        </w:rPr>
        <w:t xml:space="preserve">. In </w:t>
      </w:r>
      <w:r w:rsidR="00AD7BC0">
        <w:rPr>
          <w:szCs w:val="24"/>
        </w:rPr>
        <w:t xml:space="preserve">the </w:t>
      </w:r>
      <w:r w:rsidR="001C092D">
        <w:rPr>
          <w:szCs w:val="24"/>
        </w:rPr>
        <w:t xml:space="preserve">case of </w:t>
      </w:r>
      <w:r w:rsidR="00AD7BC0">
        <w:rPr>
          <w:szCs w:val="24"/>
        </w:rPr>
        <w:t xml:space="preserve">the </w:t>
      </w:r>
      <w:r w:rsidR="001C092D">
        <w:rPr>
          <w:szCs w:val="24"/>
        </w:rPr>
        <w:t xml:space="preserve">first case, there may not have sufficient evidence to prove the offence. On the other hand, </w:t>
      </w:r>
      <w:r w:rsidR="00AD7BC0">
        <w:rPr>
          <w:szCs w:val="24"/>
        </w:rPr>
        <w:t xml:space="preserve">the </w:t>
      </w:r>
      <w:r w:rsidR="001C092D">
        <w:rPr>
          <w:szCs w:val="24"/>
        </w:rPr>
        <w:t xml:space="preserve">offence of attempt to murder can be brought against the offenders in </w:t>
      </w:r>
      <w:r w:rsidR="00AD7BC0">
        <w:rPr>
          <w:szCs w:val="24"/>
        </w:rPr>
        <w:t xml:space="preserve">the </w:t>
      </w:r>
      <w:r w:rsidR="001C092D">
        <w:rPr>
          <w:szCs w:val="24"/>
        </w:rPr>
        <w:t xml:space="preserve">first case. Moreover, the second offence can be handled by general provision for assault and battery and hence no separate provision is unnecessary and redundant. </w:t>
      </w:r>
    </w:p>
    <w:p w:rsidR="00406A87" w:rsidRDefault="00A52DBE" w:rsidP="00FF687D">
      <w:pPr>
        <w:rPr>
          <w:szCs w:val="24"/>
        </w:rPr>
      </w:pPr>
      <w:r>
        <w:rPr>
          <w:szCs w:val="24"/>
        </w:rPr>
        <w:t xml:space="preserve">The Chief justice of England and Wales also agreed on the reformation of the act and mentioned that the law has outdated and many of the provisions have become obsolete. Moreover, the law has not been able to capture newer ways of judging the offences. Learned Judge Andrew Goymer stated that the 154 years old law should be reformed because it often creates confusion for the </w:t>
      </w:r>
      <w:r>
        <w:rPr>
          <w:szCs w:val="24"/>
        </w:rPr>
        <w:lastRenderedPageBreak/>
        <w:t xml:space="preserve">professionals to </w:t>
      </w:r>
      <w:r w:rsidR="00334EBC">
        <w:rPr>
          <w:szCs w:val="24"/>
        </w:rPr>
        <w:t>practice law</w:t>
      </w:r>
      <w:r w:rsidR="00D91A1E">
        <w:rPr>
          <w:szCs w:val="24"/>
        </w:rPr>
        <w:t xml:space="preserve"> (</w:t>
      </w:r>
      <w:r w:rsidR="00D91A1E" w:rsidRPr="00500EA3">
        <w:rPr>
          <w:rFonts w:eastAsia="Times New Roman" w:cs="Times New Roman"/>
          <w:szCs w:val="24"/>
        </w:rPr>
        <w:t>Eugenicos</w:t>
      </w:r>
      <w:r w:rsidR="00D91A1E">
        <w:rPr>
          <w:rFonts w:eastAsia="Times New Roman" w:cs="Times New Roman"/>
          <w:szCs w:val="24"/>
        </w:rPr>
        <w:t>, 2017</w:t>
      </w:r>
      <w:r w:rsidR="00D91A1E">
        <w:rPr>
          <w:szCs w:val="24"/>
        </w:rPr>
        <w:t>)</w:t>
      </w:r>
      <w:r w:rsidR="00D91A1E">
        <w:rPr>
          <w:rStyle w:val="FootnoteReference"/>
          <w:szCs w:val="24"/>
        </w:rPr>
        <w:footnoteReference w:id="21"/>
      </w:r>
      <w:r w:rsidR="00334EBC">
        <w:rPr>
          <w:szCs w:val="24"/>
        </w:rPr>
        <w:t xml:space="preserve">. </w:t>
      </w:r>
      <w:r w:rsidR="000F3D32">
        <w:rPr>
          <w:szCs w:val="24"/>
        </w:rPr>
        <w:t>On the other</w:t>
      </w:r>
      <w:r w:rsidR="00094533">
        <w:rPr>
          <w:szCs w:val="24"/>
        </w:rPr>
        <w:t xml:space="preserve"> hand,</w:t>
      </w:r>
      <w:r>
        <w:rPr>
          <w:szCs w:val="24"/>
        </w:rPr>
        <w:t xml:space="preserve"> </w:t>
      </w:r>
      <w:r w:rsidR="000F3D32">
        <w:rPr>
          <w:szCs w:val="24"/>
        </w:rPr>
        <w:t xml:space="preserve">John Atherton </w:t>
      </w:r>
      <w:r w:rsidR="00094533">
        <w:rPr>
          <w:szCs w:val="24"/>
        </w:rPr>
        <w:t xml:space="preserve">in his speech stated that he was struck while going through the law because of its outdated words and phrase used in </w:t>
      </w:r>
      <w:r w:rsidR="00AD7BC0">
        <w:rPr>
          <w:szCs w:val="24"/>
        </w:rPr>
        <w:t xml:space="preserve">the </w:t>
      </w:r>
      <w:r w:rsidR="00094533">
        <w:rPr>
          <w:szCs w:val="24"/>
        </w:rPr>
        <w:t xml:space="preserve">different provision of law. Therefore, the law should be reformed in some particular areas. </w:t>
      </w:r>
    </w:p>
    <w:p w:rsidR="00406A87" w:rsidRPr="00406A87" w:rsidRDefault="00406A87" w:rsidP="00F7193C">
      <w:pPr>
        <w:pStyle w:val="Heading1"/>
      </w:pPr>
      <w:bookmarkStart w:id="3" w:name="_Toc66108392"/>
      <w:r w:rsidRPr="00406A87">
        <w:t>Recommendation</w:t>
      </w:r>
      <w:bookmarkEnd w:id="3"/>
      <w:r w:rsidRPr="00406A87">
        <w:t xml:space="preserve"> </w:t>
      </w:r>
    </w:p>
    <w:p w:rsidR="00D53A0F" w:rsidRDefault="00094533" w:rsidP="00FF687D">
      <w:pPr>
        <w:rPr>
          <w:szCs w:val="24"/>
        </w:rPr>
      </w:pPr>
      <w:r>
        <w:rPr>
          <w:szCs w:val="24"/>
        </w:rPr>
        <w:t>The legislators should consider replacing the outdated words and phrases used in the legislation so that they can be appli</w:t>
      </w:r>
      <w:r w:rsidR="00AD7BC0">
        <w:rPr>
          <w:szCs w:val="24"/>
        </w:rPr>
        <w:t>ed</w:t>
      </w:r>
      <w:r>
        <w:rPr>
          <w:szCs w:val="24"/>
        </w:rPr>
        <w:t xml:space="preserve"> </w:t>
      </w:r>
      <w:r w:rsidR="00AD7BC0">
        <w:rPr>
          <w:szCs w:val="24"/>
        </w:rPr>
        <w:t>to</w:t>
      </w:r>
      <w:r>
        <w:rPr>
          <w:szCs w:val="24"/>
        </w:rPr>
        <w:t xml:space="preserve"> modern</w:t>
      </w:r>
      <w:r w:rsidR="00AD7BC0">
        <w:rPr>
          <w:szCs w:val="24"/>
        </w:rPr>
        <w:t>-</w:t>
      </w:r>
      <w:r>
        <w:rPr>
          <w:szCs w:val="24"/>
        </w:rPr>
        <w:t>day perspective. Moreover, the hierarchy of offences and their sent</w:t>
      </w:r>
      <w:r w:rsidR="00406A87">
        <w:rPr>
          <w:szCs w:val="24"/>
        </w:rPr>
        <w:t>ences should also be structured appropriately. The reason behind it is that it will eliminate the overlapping of differen</w:t>
      </w:r>
      <w:r w:rsidR="00AD7BC0">
        <w:rPr>
          <w:szCs w:val="24"/>
        </w:rPr>
        <w:t>t</w:t>
      </w:r>
      <w:r w:rsidR="00406A87">
        <w:rPr>
          <w:szCs w:val="24"/>
        </w:rPr>
        <w:t xml:space="preserve"> offences. </w:t>
      </w:r>
      <w:r w:rsidR="00AD7BC0">
        <w:rPr>
          <w:szCs w:val="24"/>
        </w:rPr>
        <w:t>Also</w:t>
      </w:r>
      <w:r w:rsidR="00406A87">
        <w:rPr>
          <w:szCs w:val="24"/>
        </w:rPr>
        <w:t xml:space="preserve">, different terminology as well as offences used in the legislation should be codified and interpreted effectively for reducing ambiguity. Many of the offences included in the legislation has become outdated and many more has evolved over the years. </w:t>
      </w:r>
      <w:r w:rsidR="00D53A0F">
        <w:rPr>
          <w:szCs w:val="24"/>
        </w:rPr>
        <w:t>Therefore, the offences that are of no use should be eliminated and new offences should be included for practical use of the law. Finally, reformation should be brought in</w:t>
      </w:r>
      <w:r w:rsidR="00AD7BC0">
        <w:rPr>
          <w:szCs w:val="24"/>
        </w:rPr>
        <w:t>to</w:t>
      </w:r>
      <w:r w:rsidR="00D53A0F">
        <w:rPr>
          <w:szCs w:val="24"/>
        </w:rPr>
        <w:t xml:space="preserve"> the sentencing based on the severity of </w:t>
      </w:r>
      <w:r w:rsidR="00AD7BC0">
        <w:rPr>
          <w:szCs w:val="24"/>
        </w:rPr>
        <w:t xml:space="preserve">the </w:t>
      </w:r>
      <w:r w:rsidR="00D53A0F">
        <w:rPr>
          <w:szCs w:val="24"/>
        </w:rPr>
        <w:t xml:space="preserve">offence. </w:t>
      </w:r>
    </w:p>
    <w:p w:rsidR="00D53A0F" w:rsidRDefault="00D53A0F" w:rsidP="00FF687D">
      <w:pPr>
        <w:rPr>
          <w:b/>
          <w:szCs w:val="24"/>
        </w:rPr>
      </w:pPr>
      <w:r w:rsidRPr="00D53A0F">
        <w:rPr>
          <w:b/>
          <w:szCs w:val="24"/>
        </w:rPr>
        <w:t xml:space="preserve">Conclusion </w:t>
      </w:r>
    </w:p>
    <w:p w:rsidR="00D53A0F" w:rsidRPr="00B22799" w:rsidRDefault="00B22799" w:rsidP="00FF687D">
      <w:pPr>
        <w:rPr>
          <w:szCs w:val="24"/>
        </w:rPr>
      </w:pPr>
      <w:r>
        <w:rPr>
          <w:szCs w:val="24"/>
        </w:rPr>
        <w:t xml:space="preserve">In conclusion, the </w:t>
      </w:r>
      <w:r w:rsidR="002925F6">
        <w:rPr>
          <w:szCs w:val="24"/>
        </w:rPr>
        <w:t xml:space="preserve">Offence against Person Act 1861 has become difficult to practice because of the ambiguity of words and phrases used and overlapping of the offences. </w:t>
      </w:r>
      <w:r w:rsidR="003B3D30">
        <w:rPr>
          <w:szCs w:val="24"/>
        </w:rPr>
        <w:t xml:space="preserve">Therefore, the law commission report published in 2015 as well as other legal scholars have recommended the legislation to be reformed for better use. For this purpose, the law </w:t>
      </w:r>
      <w:r w:rsidR="00A778E8">
        <w:rPr>
          <w:szCs w:val="24"/>
        </w:rPr>
        <w:t>needs to replace the outdated phrases and words used. Moreover, the terminologies should be interpreted so that practitioners can implement the law effectively. Moreover, the complexities of the law should be eliminate</w:t>
      </w:r>
      <w:r w:rsidR="00300E3C">
        <w:rPr>
          <w:szCs w:val="24"/>
        </w:rPr>
        <w:t xml:space="preserve">d to apply the law in reducing abuses and control of offences against </w:t>
      </w:r>
      <w:r w:rsidR="00AD7BC0">
        <w:rPr>
          <w:szCs w:val="24"/>
        </w:rPr>
        <w:t xml:space="preserve">the </w:t>
      </w:r>
      <w:r w:rsidR="00300E3C">
        <w:rPr>
          <w:szCs w:val="24"/>
        </w:rPr>
        <w:t xml:space="preserve">person. </w:t>
      </w:r>
    </w:p>
    <w:p w:rsidR="00F7193C" w:rsidRDefault="00F7193C" w:rsidP="00FF687D">
      <w:pPr>
        <w:rPr>
          <w:szCs w:val="24"/>
        </w:rPr>
      </w:pPr>
      <w:r>
        <w:rPr>
          <w:szCs w:val="24"/>
        </w:rPr>
        <w:t xml:space="preserve"> </w:t>
      </w:r>
    </w:p>
    <w:p w:rsidR="00F7193C" w:rsidRDefault="00F7193C" w:rsidP="00FF687D">
      <w:pPr>
        <w:rPr>
          <w:szCs w:val="24"/>
        </w:rPr>
      </w:pPr>
    </w:p>
    <w:p w:rsidR="00F7193C" w:rsidRDefault="00F7193C" w:rsidP="00FF687D">
      <w:pPr>
        <w:rPr>
          <w:szCs w:val="24"/>
        </w:rPr>
      </w:pPr>
    </w:p>
    <w:p w:rsidR="006A210E" w:rsidRDefault="00F7193C" w:rsidP="00F7193C">
      <w:pPr>
        <w:pStyle w:val="Heading1"/>
      </w:pPr>
      <w:bookmarkStart w:id="4" w:name="_Toc66108393"/>
      <w:r>
        <w:lastRenderedPageBreak/>
        <w:t>References</w:t>
      </w:r>
      <w:bookmarkEnd w:id="4"/>
      <w:r>
        <w:t xml:space="preserve"> </w:t>
      </w:r>
    </w:p>
    <w:p w:rsidR="00F7193C" w:rsidRPr="00500EA3" w:rsidRDefault="00F7193C" w:rsidP="00F7193C">
      <w:pPr>
        <w:spacing w:before="100" w:beforeAutospacing="1" w:after="100" w:afterAutospacing="1" w:line="240" w:lineRule="auto"/>
        <w:rPr>
          <w:rFonts w:eastAsia="Times New Roman" w:cs="Times New Roman"/>
          <w:szCs w:val="24"/>
        </w:rPr>
      </w:pPr>
      <w:r w:rsidRPr="00500EA3">
        <w:rPr>
          <w:rFonts w:eastAsia="Times New Roman" w:cs="Times New Roman"/>
          <w:szCs w:val="24"/>
        </w:rPr>
        <w:t xml:space="preserve">Atoki, M., 2017. Assault and S 47 of the Offences against the Person Act 1861. </w:t>
      </w:r>
      <w:r w:rsidRPr="00500EA3">
        <w:rPr>
          <w:rFonts w:eastAsia="Times New Roman" w:cs="Times New Roman"/>
          <w:iCs/>
          <w:szCs w:val="24"/>
        </w:rPr>
        <w:t>The Journal of Criminal Law</w:t>
      </w:r>
      <w:r w:rsidRPr="00500EA3">
        <w:rPr>
          <w:rFonts w:eastAsia="Times New Roman" w:cs="Times New Roman"/>
          <w:szCs w:val="24"/>
        </w:rPr>
        <w:t>, 59(3), pp.299-304.</w:t>
      </w:r>
    </w:p>
    <w:p w:rsidR="00F7193C" w:rsidRPr="00500EA3" w:rsidRDefault="00F7193C" w:rsidP="00F7193C">
      <w:pPr>
        <w:spacing w:before="100" w:beforeAutospacing="1" w:after="100" w:afterAutospacing="1" w:line="240" w:lineRule="auto"/>
        <w:rPr>
          <w:rFonts w:eastAsia="Times New Roman" w:cs="Times New Roman"/>
          <w:szCs w:val="24"/>
        </w:rPr>
      </w:pPr>
      <w:r w:rsidRPr="00500EA3">
        <w:rPr>
          <w:rFonts w:eastAsia="Times New Roman" w:cs="Times New Roman"/>
          <w:szCs w:val="24"/>
        </w:rPr>
        <w:t xml:space="preserve">Bean, D., 2014. </w:t>
      </w:r>
      <w:r w:rsidRPr="00500EA3">
        <w:rPr>
          <w:rFonts w:eastAsia="Times New Roman" w:cs="Times New Roman"/>
          <w:iCs/>
          <w:szCs w:val="24"/>
        </w:rPr>
        <w:t>Reform of offences against the person</w:t>
      </w:r>
      <w:r w:rsidRPr="00500EA3">
        <w:rPr>
          <w:rFonts w:eastAsia="Times New Roman" w:cs="Times New Roman"/>
          <w:szCs w:val="24"/>
        </w:rPr>
        <w:t>. London: Stationery Office.</w:t>
      </w:r>
    </w:p>
    <w:p w:rsidR="00F7193C" w:rsidRPr="00500EA3" w:rsidRDefault="00F7193C" w:rsidP="00F7193C">
      <w:pPr>
        <w:spacing w:before="100" w:beforeAutospacing="1" w:after="100" w:afterAutospacing="1" w:line="240" w:lineRule="auto"/>
        <w:rPr>
          <w:rFonts w:eastAsia="Times New Roman" w:cs="Times New Roman"/>
          <w:szCs w:val="24"/>
        </w:rPr>
      </w:pPr>
      <w:r w:rsidRPr="00500EA3">
        <w:rPr>
          <w:rFonts w:eastAsia="Times New Roman" w:cs="Times New Roman"/>
          <w:szCs w:val="24"/>
        </w:rPr>
        <w:t xml:space="preserve">Chisholm, N., 2021. English Law of the Offences Against the Person Act 1861: Outline and Case Summaries. </w:t>
      </w:r>
      <w:r w:rsidRPr="00500EA3">
        <w:rPr>
          <w:rFonts w:eastAsia="Times New Roman" w:cs="Times New Roman"/>
          <w:iCs/>
          <w:szCs w:val="24"/>
        </w:rPr>
        <w:t>SSRN Electronic Journal</w:t>
      </w:r>
      <w:r w:rsidRPr="00500EA3">
        <w:rPr>
          <w:rFonts w:eastAsia="Times New Roman" w:cs="Times New Roman"/>
          <w:szCs w:val="24"/>
        </w:rPr>
        <w:t>.</w:t>
      </w:r>
    </w:p>
    <w:p w:rsidR="00F7193C" w:rsidRPr="00500EA3" w:rsidRDefault="00F7193C" w:rsidP="00F7193C">
      <w:pPr>
        <w:spacing w:before="100" w:beforeAutospacing="1" w:after="100" w:afterAutospacing="1" w:line="240" w:lineRule="auto"/>
        <w:rPr>
          <w:rFonts w:eastAsia="Times New Roman" w:cs="Times New Roman"/>
          <w:szCs w:val="24"/>
        </w:rPr>
      </w:pPr>
      <w:r w:rsidRPr="00500EA3">
        <w:rPr>
          <w:rFonts w:eastAsia="Times New Roman" w:cs="Times New Roman"/>
          <w:szCs w:val="24"/>
        </w:rPr>
        <w:t xml:space="preserve">Elliott, C. and Quinn, F., 2016. </w:t>
      </w:r>
      <w:r w:rsidRPr="00500EA3">
        <w:rPr>
          <w:rFonts w:eastAsia="Times New Roman" w:cs="Times New Roman"/>
          <w:iCs/>
          <w:szCs w:val="24"/>
        </w:rPr>
        <w:t>Criminal Law</w:t>
      </w:r>
      <w:r w:rsidRPr="00500EA3">
        <w:rPr>
          <w:rFonts w:eastAsia="Times New Roman" w:cs="Times New Roman"/>
          <w:szCs w:val="24"/>
        </w:rPr>
        <w:t>. Harlow, United Kingdom: Pearson Education Limited.</w:t>
      </w:r>
    </w:p>
    <w:p w:rsidR="00F7193C" w:rsidRPr="00500EA3" w:rsidRDefault="00F7193C" w:rsidP="00F7193C">
      <w:pPr>
        <w:spacing w:before="100" w:beforeAutospacing="1" w:after="100" w:afterAutospacing="1" w:line="240" w:lineRule="auto"/>
        <w:rPr>
          <w:rFonts w:eastAsia="Times New Roman" w:cs="Times New Roman"/>
          <w:szCs w:val="24"/>
        </w:rPr>
      </w:pPr>
      <w:r w:rsidRPr="00500EA3">
        <w:rPr>
          <w:rFonts w:eastAsia="Times New Roman" w:cs="Times New Roman"/>
          <w:szCs w:val="24"/>
        </w:rPr>
        <w:t xml:space="preserve">Eugenics, A., 2017. Should We Reform the Offences Against the Person Act 1861?. </w:t>
      </w:r>
      <w:r w:rsidRPr="00500EA3">
        <w:rPr>
          <w:rFonts w:eastAsia="Times New Roman" w:cs="Times New Roman"/>
          <w:iCs/>
          <w:szCs w:val="24"/>
        </w:rPr>
        <w:t>The Journal of Criminal Law</w:t>
      </w:r>
      <w:r w:rsidRPr="00500EA3">
        <w:rPr>
          <w:rFonts w:eastAsia="Times New Roman" w:cs="Times New Roman"/>
          <w:szCs w:val="24"/>
        </w:rPr>
        <w:t>, 81(1), pp.26-32.</w:t>
      </w:r>
    </w:p>
    <w:p w:rsidR="00F7193C" w:rsidRPr="00500EA3" w:rsidRDefault="00F7193C" w:rsidP="00F7193C">
      <w:pPr>
        <w:spacing w:before="100" w:beforeAutospacing="1" w:after="100" w:afterAutospacing="1" w:line="240" w:lineRule="auto"/>
        <w:rPr>
          <w:rFonts w:eastAsia="Times New Roman" w:cs="Times New Roman"/>
          <w:szCs w:val="24"/>
        </w:rPr>
      </w:pPr>
      <w:r w:rsidRPr="00500EA3">
        <w:rPr>
          <w:rFonts w:eastAsia="Times New Roman" w:cs="Times New Roman"/>
          <w:szCs w:val="24"/>
        </w:rPr>
        <w:t xml:space="preserve">Fewtrell, E., 2010. Offences against the Person Act, 1861, Sections 18 &amp; 20. </w:t>
      </w:r>
      <w:r w:rsidRPr="00500EA3">
        <w:rPr>
          <w:rFonts w:eastAsia="Times New Roman" w:cs="Times New Roman"/>
          <w:iCs/>
          <w:szCs w:val="24"/>
        </w:rPr>
        <w:t>The Police Journal: Theory, Practice and Principles</w:t>
      </w:r>
      <w:r w:rsidRPr="00500EA3">
        <w:rPr>
          <w:rFonts w:eastAsia="Times New Roman" w:cs="Times New Roman"/>
          <w:szCs w:val="24"/>
        </w:rPr>
        <w:t>, 21(2), pp.148-151.</w:t>
      </w:r>
    </w:p>
    <w:p w:rsidR="00F7193C" w:rsidRPr="00F8533E" w:rsidRDefault="00F7193C" w:rsidP="00F7193C">
      <w:pPr>
        <w:spacing w:before="100" w:beforeAutospacing="1" w:after="100" w:afterAutospacing="1" w:line="240" w:lineRule="auto"/>
        <w:rPr>
          <w:rFonts w:eastAsia="Times New Roman" w:cs="Times New Roman"/>
          <w:szCs w:val="24"/>
        </w:rPr>
      </w:pPr>
      <w:r w:rsidRPr="00500EA3">
        <w:rPr>
          <w:rFonts w:eastAsia="Times New Roman" w:cs="Times New Roman"/>
          <w:szCs w:val="24"/>
        </w:rPr>
        <w:t xml:space="preserve">GOV.UK. 2021. </w:t>
      </w:r>
      <w:r w:rsidRPr="00500EA3">
        <w:rPr>
          <w:rFonts w:eastAsia="Times New Roman" w:cs="Times New Roman"/>
          <w:iCs/>
          <w:szCs w:val="24"/>
        </w:rPr>
        <w:t>Law Commission Annual Report 2015 to 2016</w:t>
      </w:r>
      <w:r w:rsidRPr="00500EA3">
        <w:rPr>
          <w:rFonts w:eastAsia="Times New Roman" w:cs="Times New Roman"/>
          <w:szCs w:val="24"/>
        </w:rPr>
        <w:t>. [online] Available at: &lt;https://www.gov.uk/government/publications/law-commission-annual-report-2015-to-2016&gt; [Accessed 8 March 2021].</w:t>
      </w:r>
    </w:p>
    <w:p w:rsidR="00F7193C" w:rsidRPr="00500EA3" w:rsidRDefault="00F7193C" w:rsidP="00F7193C">
      <w:pPr>
        <w:spacing w:before="100" w:beforeAutospacing="1" w:after="100" w:afterAutospacing="1" w:line="240" w:lineRule="auto"/>
        <w:rPr>
          <w:rFonts w:eastAsia="Times New Roman" w:cs="Times New Roman"/>
          <w:szCs w:val="24"/>
        </w:rPr>
      </w:pPr>
      <w:r w:rsidRPr="00F8533E">
        <w:rPr>
          <w:rStyle w:val="acopre"/>
          <w:rFonts w:cs="Times New Roman"/>
          <w:szCs w:val="24"/>
        </w:rPr>
        <w:t xml:space="preserve">R </w:t>
      </w:r>
      <w:r w:rsidRPr="00F8533E">
        <w:rPr>
          <w:rStyle w:val="Emphasis"/>
          <w:rFonts w:cs="Times New Roman"/>
          <w:i w:val="0"/>
          <w:szCs w:val="24"/>
        </w:rPr>
        <w:t>v Ireland</w:t>
      </w:r>
      <w:r w:rsidRPr="00F8533E">
        <w:rPr>
          <w:rStyle w:val="acopre"/>
          <w:rFonts w:cs="Times New Roman"/>
          <w:szCs w:val="24"/>
        </w:rPr>
        <w:t xml:space="preserve"> and </w:t>
      </w:r>
      <w:r w:rsidRPr="00F8533E">
        <w:rPr>
          <w:rStyle w:val="Emphasis"/>
          <w:rFonts w:cs="Times New Roman"/>
          <w:i w:val="0"/>
          <w:szCs w:val="24"/>
        </w:rPr>
        <w:t>Burstow</w:t>
      </w:r>
      <w:r w:rsidRPr="00F8533E">
        <w:rPr>
          <w:rStyle w:val="acopre"/>
          <w:rFonts w:cs="Times New Roman"/>
          <w:szCs w:val="24"/>
        </w:rPr>
        <w:t xml:space="preserve"> [</w:t>
      </w:r>
      <w:r w:rsidRPr="00F8533E">
        <w:rPr>
          <w:rStyle w:val="Emphasis"/>
          <w:rFonts w:cs="Times New Roman"/>
          <w:i w:val="0"/>
          <w:szCs w:val="24"/>
        </w:rPr>
        <w:t>1997</w:t>
      </w:r>
      <w:r w:rsidRPr="00F8533E">
        <w:rPr>
          <w:rStyle w:val="acopre"/>
          <w:rFonts w:cs="Times New Roman"/>
          <w:szCs w:val="24"/>
        </w:rPr>
        <w:t>] UKHL 34.</w:t>
      </w:r>
    </w:p>
    <w:p w:rsidR="00F7193C" w:rsidRPr="00500EA3" w:rsidRDefault="00F7193C" w:rsidP="00F7193C">
      <w:pPr>
        <w:spacing w:before="100" w:beforeAutospacing="1" w:after="100" w:afterAutospacing="1" w:line="240" w:lineRule="auto"/>
        <w:rPr>
          <w:rFonts w:eastAsia="Times New Roman" w:cs="Times New Roman"/>
          <w:szCs w:val="24"/>
        </w:rPr>
      </w:pPr>
      <w:r w:rsidRPr="00500EA3">
        <w:rPr>
          <w:rFonts w:eastAsia="Times New Roman" w:cs="Times New Roman"/>
          <w:szCs w:val="24"/>
        </w:rPr>
        <w:t xml:space="preserve">Legislation.gov.uk. 2021. </w:t>
      </w:r>
      <w:r w:rsidRPr="00500EA3">
        <w:rPr>
          <w:rFonts w:eastAsia="Times New Roman" w:cs="Times New Roman"/>
          <w:iCs/>
          <w:szCs w:val="24"/>
        </w:rPr>
        <w:t>Offences against the Person Act 1861</w:t>
      </w:r>
      <w:r w:rsidRPr="00500EA3">
        <w:rPr>
          <w:rFonts w:eastAsia="Times New Roman" w:cs="Times New Roman"/>
          <w:szCs w:val="24"/>
        </w:rPr>
        <w:t>. [online] Available at: &lt;https://www.legislation.gov.uk/ukpga/Vict/24-25/100/contents&gt; [Accessed 8 March 2021].</w:t>
      </w:r>
    </w:p>
    <w:p w:rsidR="00F7193C" w:rsidRPr="00F8533E" w:rsidRDefault="00F7193C" w:rsidP="00F7193C">
      <w:pPr>
        <w:rPr>
          <w:rStyle w:val="Emphasis"/>
          <w:rFonts w:cs="Times New Roman"/>
          <w:i w:val="0"/>
          <w:szCs w:val="24"/>
        </w:rPr>
      </w:pPr>
      <w:r w:rsidRPr="00F8533E">
        <w:rPr>
          <w:rStyle w:val="Emphasis"/>
          <w:rFonts w:cs="Times New Roman"/>
          <w:i w:val="0"/>
          <w:szCs w:val="24"/>
        </w:rPr>
        <w:t>R v Chan Fook</w:t>
      </w:r>
      <w:r w:rsidRPr="00F8533E">
        <w:rPr>
          <w:rStyle w:val="acopre"/>
          <w:rFonts w:cs="Times New Roman"/>
          <w:szCs w:val="24"/>
        </w:rPr>
        <w:t xml:space="preserve"> [</w:t>
      </w:r>
      <w:r w:rsidRPr="00F8533E">
        <w:rPr>
          <w:rStyle w:val="Emphasis"/>
          <w:rFonts w:cs="Times New Roman"/>
          <w:i w:val="0"/>
          <w:szCs w:val="24"/>
        </w:rPr>
        <w:t>1994</w:t>
      </w:r>
      <w:r w:rsidRPr="00F8533E">
        <w:rPr>
          <w:rStyle w:val="acopre"/>
          <w:rFonts w:cs="Times New Roman"/>
          <w:szCs w:val="24"/>
        </w:rPr>
        <w:t>] 1 WLR 689</w:t>
      </w:r>
    </w:p>
    <w:p w:rsidR="00F7193C" w:rsidRPr="00F8533E" w:rsidRDefault="00F7193C" w:rsidP="00F7193C">
      <w:pPr>
        <w:rPr>
          <w:rStyle w:val="acopre"/>
          <w:rFonts w:cs="Times New Roman"/>
          <w:szCs w:val="24"/>
        </w:rPr>
      </w:pPr>
      <w:r w:rsidRPr="00F8533E">
        <w:rPr>
          <w:rStyle w:val="Emphasis"/>
          <w:rFonts w:cs="Times New Roman"/>
          <w:i w:val="0"/>
          <w:szCs w:val="24"/>
        </w:rPr>
        <w:t>Logdon v DPP</w:t>
      </w:r>
      <w:r w:rsidRPr="00F8533E">
        <w:rPr>
          <w:rStyle w:val="acopre"/>
          <w:rFonts w:cs="Times New Roman"/>
          <w:szCs w:val="24"/>
        </w:rPr>
        <w:t xml:space="preserve"> [1976] Crim LR 121</w:t>
      </w:r>
    </w:p>
    <w:p w:rsidR="00F7193C" w:rsidRPr="00F8533E" w:rsidRDefault="00F7193C" w:rsidP="00F7193C">
      <w:pPr>
        <w:rPr>
          <w:rStyle w:val="acopre"/>
          <w:rFonts w:cs="Times New Roman"/>
          <w:szCs w:val="24"/>
        </w:rPr>
      </w:pPr>
      <w:r w:rsidRPr="00F8533E">
        <w:rPr>
          <w:rStyle w:val="Emphasis"/>
          <w:rFonts w:cs="Times New Roman"/>
          <w:i w:val="0"/>
          <w:szCs w:val="24"/>
        </w:rPr>
        <w:t>R v Miller</w:t>
      </w:r>
      <w:r w:rsidRPr="00F8533E">
        <w:rPr>
          <w:rStyle w:val="acopre"/>
          <w:rFonts w:cs="Times New Roman"/>
          <w:szCs w:val="24"/>
        </w:rPr>
        <w:t xml:space="preserve"> [</w:t>
      </w:r>
      <w:r w:rsidRPr="00F8533E">
        <w:rPr>
          <w:rStyle w:val="Emphasis"/>
          <w:rFonts w:cs="Times New Roman"/>
          <w:i w:val="0"/>
          <w:szCs w:val="24"/>
        </w:rPr>
        <w:t>1954</w:t>
      </w:r>
      <w:r w:rsidRPr="00F8533E">
        <w:rPr>
          <w:rStyle w:val="acopre"/>
          <w:rFonts w:cs="Times New Roman"/>
          <w:szCs w:val="24"/>
        </w:rPr>
        <w:t>] 2 Q.B. 282</w:t>
      </w:r>
    </w:p>
    <w:p w:rsidR="00F7193C" w:rsidRPr="00F8533E" w:rsidRDefault="00F7193C" w:rsidP="00F7193C">
      <w:pPr>
        <w:rPr>
          <w:rStyle w:val="acopre"/>
          <w:rFonts w:cs="Times New Roman"/>
          <w:szCs w:val="24"/>
        </w:rPr>
      </w:pPr>
      <w:r w:rsidRPr="00F8533E">
        <w:rPr>
          <w:rStyle w:val="Emphasis"/>
          <w:rFonts w:cs="Times New Roman"/>
          <w:i w:val="0"/>
          <w:szCs w:val="24"/>
        </w:rPr>
        <w:t>R</w:t>
      </w:r>
      <w:r w:rsidRPr="00F8533E">
        <w:rPr>
          <w:rStyle w:val="acopre"/>
          <w:rFonts w:cs="Times New Roman"/>
          <w:szCs w:val="24"/>
        </w:rPr>
        <w:t xml:space="preserve">. </w:t>
      </w:r>
      <w:r w:rsidRPr="00F8533E">
        <w:rPr>
          <w:rStyle w:val="Emphasis"/>
          <w:rFonts w:cs="Times New Roman"/>
          <w:i w:val="0"/>
          <w:szCs w:val="24"/>
        </w:rPr>
        <w:t>v</w:t>
      </w:r>
      <w:r w:rsidRPr="00F8533E">
        <w:rPr>
          <w:rStyle w:val="acopre"/>
          <w:rFonts w:cs="Times New Roman"/>
          <w:szCs w:val="24"/>
        </w:rPr>
        <w:t xml:space="preserve">. </w:t>
      </w:r>
      <w:r w:rsidRPr="00F8533E">
        <w:rPr>
          <w:rStyle w:val="Emphasis"/>
          <w:rFonts w:cs="Times New Roman"/>
          <w:i w:val="0"/>
          <w:szCs w:val="24"/>
        </w:rPr>
        <w:t>Saunders</w:t>
      </w:r>
      <w:r w:rsidRPr="00F8533E">
        <w:rPr>
          <w:rStyle w:val="acopre"/>
          <w:rFonts w:cs="Times New Roman"/>
          <w:szCs w:val="24"/>
        </w:rPr>
        <w:t>, [2004] 3 S.C.R. 505, 2004 SCC 70</w:t>
      </w:r>
    </w:p>
    <w:p w:rsidR="00F7193C" w:rsidRPr="00F8533E" w:rsidRDefault="00F7193C" w:rsidP="00F7193C">
      <w:pPr>
        <w:rPr>
          <w:rStyle w:val="acopre"/>
          <w:rFonts w:cs="Times New Roman"/>
          <w:szCs w:val="24"/>
        </w:rPr>
      </w:pPr>
      <w:r w:rsidRPr="00F8533E">
        <w:rPr>
          <w:rStyle w:val="Emphasis"/>
          <w:rFonts w:cs="Times New Roman"/>
          <w:i w:val="0"/>
          <w:szCs w:val="24"/>
        </w:rPr>
        <w:t>R v Thomas</w:t>
      </w:r>
      <w:r w:rsidRPr="00F8533E">
        <w:rPr>
          <w:rStyle w:val="acopre"/>
          <w:rFonts w:cs="Times New Roman"/>
          <w:szCs w:val="24"/>
        </w:rPr>
        <w:t xml:space="preserve"> [</w:t>
      </w:r>
      <w:r w:rsidRPr="00F8533E">
        <w:rPr>
          <w:rStyle w:val="Emphasis"/>
          <w:rFonts w:cs="Times New Roman"/>
          <w:i w:val="0"/>
          <w:szCs w:val="24"/>
        </w:rPr>
        <w:t>1985</w:t>
      </w:r>
      <w:r w:rsidRPr="00F8533E">
        <w:rPr>
          <w:rStyle w:val="acopre"/>
          <w:rFonts w:cs="Times New Roman"/>
          <w:szCs w:val="24"/>
        </w:rPr>
        <w:t>] Crim LR 677</w:t>
      </w:r>
    </w:p>
    <w:p w:rsidR="00F7193C" w:rsidRPr="00F8533E" w:rsidRDefault="00F7193C" w:rsidP="00F7193C">
      <w:pPr>
        <w:rPr>
          <w:rFonts w:cs="Times New Roman"/>
          <w:szCs w:val="24"/>
        </w:rPr>
      </w:pPr>
      <w:r w:rsidRPr="00F8533E">
        <w:rPr>
          <w:rStyle w:val="Emphasis"/>
          <w:rFonts w:cs="Times New Roman"/>
          <w:i w:val="0"/>
          <w:szCs w:val="24"/>
        </w:rPr>
        <w:t>R v Ireland</w:t>
      </w:r>
      <w:r w:rsidRPr="00F8533E">
        <w:rPr>
          <w:rStyle w:val="acopre"/>
          <w:rFonts w:cs="Times New Roman"/>
          <w:szCs w:val="24"/>
        </w:rPr>
        <w:t xml:space="preserve"> [1998] AC 147</w:t>
      </w:r>
    </w:p>
    <w:p w:rsidR="00F7193C" w:rsidRPr="00FF687D" w:rsidRDefault="00F7193C" w:rsidP="00FF687D">
      <w:pPr>
        <w:rPr>
          <w:szCs w:val="24"/>
        </w:rPr>
      </w:pPr>
    </w:p>
    <w:p w:rsidR="00FC5C66" w:rsidRPr="00D95102" w:rsidRDefault="00FC5C66" w:rsidP="00B8590F">
      <w:pPr>
        <w:rPr>
          <w:szCs w:val="24"/>
        </w:rPr>
      </w:pPr>
    </w:p>
    <w:sectPr w:rsidR="00FC5C66" w:rsidRPr="00D95102" w:rsidSect="00365689">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A655D" w:rsidRDefault="00AA655D" w:rsidP="00D91A1E">
      <w:pPr>
        <w:spacing w:after="0" w:line="240" w:lineRule="auto"/>
      </w:pPr>
      <w:r>
        <w:separator/>
      </w:r>
    </w:p>
  </w:endnote>
  <w:endnote w:type="continuationSeparator" w:id="0">
    <w:p w:rsidR="00AA655D" w:rsidRDefault="00AA655D" w:rsidP="00D91A1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77840514"/>
      <w:docPartObj>
        <w:docPartGallery w:val="Page Numbers (Bottom of Page)"/>
        <w:docPartUnique/>
      </w:docPartObj>
    </w:sdtPr>
    <w:sdtEndPr>
      <w:rPr>
        <w:color w:val="7F7F7F" w:themeColor="background1" w:themeShade="7F"/>
        <w:spacing w:val="60"/>
      </w:rPr>
    </w:sdtEndPr>
    <w:sdtContent>
      <w:p w:rsidR="007F7B98" w:rsidRDefault="007F7B98">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486F1B" w:rsidRPr="00486F1B">
          <w:rPr>
            <w:b/>
            <w:bCs/>
            <w:noProof/>
          </w:rPr>
          <w:t>i</w:t>
        </w:r>
        <w:r>
          <w:rPr>
            <w:b/>
            <w:bCs/>
            <w:noProof/>
          </w:rPr>
          <w:fldChar w:fldCharType="end"/>
        </w:r>
        <w:r>
          <w:rPr>
            <w:b/>
            <w:bCs/>
          </w:rPr>
          <w:t xml:space="preserve"> | </w:t>
        </w:r>
        <w:r>
          <w:rPr>
            <w:color w:val="7F7F7F" w:themeColor="background1" w:themeShade="7F"/>
            <w:spacing w:val="60"/>
          </w:rPr>
          <w:t>Page</w:t>
        </w:r>
      </w:p>
    </w:sdtContent>
  </w:sdt>
  <w:p w:rsidR="007F7B98" w:rsidRDefault="007F7B9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A655D" w:rsidRDefault="00AA655D" w:rsidP="00D91A1E">
      <w:pPr>
        <w:spacing w:after="0" w:line="240" w:lineRule="auto"/>
      </w:pPr>
      <w:r>
        <w:separator/>
      </w:r>
    </w:p>
  </w:footnote>
  <w:footnote w:type="continuationSeparator" w:id="0">
    <w:p w:rsidR="00AA655D" w:rsidRDefault="00AA655D" w:rsidP="00D91A1E">
      <w:pPr>
        <w:spacing w:after="0" w:line="240" w:lineRule="auto"/>
      </w:pPr>
      <w:r>
        <w:continuationSeparator/>
      </w:r>
    </w:p>
  </w:footnote>
  <w:footnote w:id="1">
    <w:p w:rsidR="00D91A1E" w:rsidRPr="00F7193C" w:rsidRDefault="00D91A1E" w:rsidP="00F7193C">
      <w:pPr>
        <w:spacing w:before="100" w:beforeAutospacing="1" w:after="100" w:afterAutospacing="1" w:line="240" w:lineRule="auto"/>
        <w:rPr>
          <w:rFonts w:eastAsia="Times New Roman" w:cs="Times New Roman"/>
          <w:sz w:val="20"/>
          <w:szCs w:val="20"/>
        </w:rPr>
      </w:pPr>
      <w:r>
        <w:rPr>
          <w:rStyle w:val="FootnoteReference"/>
        </w:rPr>
        <w:footnoteRef/>
      </w:r>
      <w:r>
        <w:t xml:space="preserve"> </w:t>
      </w:r>
      <w:r w:rsidR="00F7193C" w:rsidRPr="00500EA3">
        <w:rPr>
          <w:rFonts w:eastAsia="Times New Roman" w:cs="Times New Roman"/>
          <w:sz w:val="20"/>
          <w:szCs w:val="20"/>
        </w:rPr>
        <w:t xml:space="preserve">Atoki, M., 2017. Assault and S 47 of the Offences against the Person Act 1861. </w:t>
      </w:r>
      <w:r w:rsidR="00F7193C" w:rsidRPr="00500EA3">
        <w:rPr>
          <w:rFonts w:eastAsia="Times New Roman" w:cs="Times New Roman"/>
          <w:iCs/>
          <w:sz w:val="20"/>
          <w:szCs w:val="20"/>
        </w:rPr>
        <w:t>The Journal of Criminal Law</w:t>
      </w:r>
      <w:r w:rsidR="00F7193C" w:rsidRPr="00500EA3">
        <w:rPr>
          <w:rFonts w:eastAsia="Times New Roman" w:cs="Times New Roman"/>
          <w:sz w:val="20"/>
          <w:szCs w:val="20"/>
        </w:rPr>
        <w:t>, 59(3), pp.299-304.</w:t>
      </w:r>
    </w:p>
  </w:footnote>
  <w:footnote w:id="2">
    <w:p w:rsidR="00D91A1E" w:rsidRPr="00F7193C" w:rsidRDefault="00D91A1E" w:rsidP="00F7193C">
      <w:pPr>
        <w:rPr>
          <w:rFonts w:cs="Times New Roman"/>
          <w:sz w:val="20"/>
          <w:szCs w:val="20"/>
        </w:rPr>
      </w:pPr>
      <w:r>
        <w:rPr>
          <w:rStyle w:val="FootnoteReference"/>
        </w:rPr>
        <w:footnoteRef/>
      </w:r>
      <w:r>
        <w:t xml:space="preserve"> </w:t>
      </w:r>
      <w:r w:rsidR="00F7193C" w:rsidRPr="00F8533E">
        <w:rPr>
          <w:rStyle w:val="Emphasis"/>
          <w:rFonts w:cs="Times New Roman"/>
          <w:i w:val="0"/>
          <w:sz w:val="20"/>
          <w:szCs w:val="20"/>
        </w:rPr>
        <w:t>Logdon v DPP</w:t>
      </w:r>
      <w:r w:rsidR="00F7193C" w:rsidRPr="00F8533E">
        <w:rPr>
          <w:rStyle w:val="acopre"/>
          <w:rFonts w:cs="Times New Roman"/>
          <w:sz w:val="20"/>
          <w:szCs w:val="20"/>
        </w:rPr>
        <w:t xml:space="preserve"> [1976] Crim LR 121</w:t>
      </w:r>
    </w:p>
  </w:footnote>
  <w:footnote w:id="3">
    <w:p w:rsidR="00D91A1E" w:rsidRPr="00F7193C" w:rsidRDefault="00D91A1E" w:rsidP="00F7193C">
      <w:pPr>
        <w:spacing w:before="100" w:beforeAutospacing="1" w:after="100" w:afterAutospacing="1" w:line="240" w:lineRule="auto"/>
        <w:rPr>
          <w:rFonts w:eastAsia="Times New Roman" w:cs="Times New Roman"/>
          <w:sz w:val="20"/>
          <w:szCs w:val="20"/>
        </w:rPr>
      </w:pPr>
      <w:r>
        <w:rPr>
          <w:rStyle w:val="FootnoteReference"/>
        </w:rPr>
        <w:footnoteRef/>
      </w:r>
      <w:r>
        <w:t xml:space="preserve"> </w:t>
      </w:r>
      <w:r w:rsidR="00F7193C" w:rsidRPr="00500EA3">
        <w:rPr>
          <w:rFonts w:eastAsia="Times New Roman" w:cs="Times New Roman"/>
          <w:sz w:val="20"/>
          <w:szCs w:val="20"/>
        </w:rPr>
        <w:t xml:space="preserve">Elliott, C. and Quinn, F., 2016. </w:t>
      </w:r>
      <w:r w:rsidR="00F7193C" w:rsidRPr="00500EA3">
        <w:rPr>
          <w:rFonts w:eastAsia="Times New Roman" w:cs="Times New Roman"/>
          <w:iCs/>
          <w:sz w:val="20"/>
          <w:szCs w:val="20"/>
        </w:rPr>
        <w:t>Criminal Law</w:t>
      </w:r>
      <w:r w:rsidR="00F7193C" w:rsidRPr="00500EA3">
        <w:rPr>
          <w:rFonts w:eastAsia="Times New Roman" w:cs="Times New Roman"/>
          <w:sz w:val="20"/>
          <w:szCs w:val="20"/>
        </w:rPr>
        <w:t>. Harlow, United Kingdom: Pearson Education Limited.</w:t>
      </w:r>
    </w:p>
  </w:footnote>
  <w:footnote w:id="4">
    <w:p w:rsidR="00D91A1E" w:rsidRPr="00F7193C" w:rsidRDefault="00D91A1E" w:rsidP="00F7193C">
      <w:pPr>
        <w:spacing w:before="100" w:beforeAutospacing="1" w:after="100" w:afterAutospacing="1" w:line="240" w:lineRule="auto"/>
        <w:rPr>
          <w:rFonts w:eastAsia="Times New Roman" w:cs="Times New Roman"/>
          <w:sz w:val="20"/>
          <w:szCs w:val="20"/>
        </w:rPr>
      </w:pPr>
      <w:r>
        <w:rPr>
          <w:rStyle w:val="FootnoteReference"/>
        </w:rPr>
        <w:footnoteRef/>
      </w:r>
      <w:r>
        <w:t xml:space="preserve"> </w:t>
      </w:r>
      <w:r w:rsidR="00F7193C" w:rsidRPr="00500EA3">
        <w:rPr>
          <w:rFonts w:eastAsia="Times New Roman" w:cs="Times New Roman"/>
          <w:sz w:val="20"/>
          <w:szCs w:val="20"/>
        </w:rPr>
        <w:t xml:space="preserve">Legislation.gov.uk. 2021. </w:t>
      </w:r>
      <w:r w:rsidR="00F7193C" w:rsidRPr="00500EA3">
        <w:rPr>
          <w:rFonts w:eastAsia="Times New Roman" w:cs="Times New Roman"/>
          <w:iCs/>
          <w:sz w:val="20"/>
          <w:szCs w:val="20"/>
        </w:rPr>
        <w:t>Offences against the Person Act 1861</w:t>
      </w:r>
      <w:r w:rsidR="00F7193C" w:rsidRPr="00500EA3">
        <w:rPr>
          <w:rFonts w:eastAsia="Times New Roman" w:cs="Times New Roman"/>
          <w:sz w:val="20"/>
          <w:szCs w:val="20"/>
        </w:rPr>
        <w:t>. [online] Available at: &lt;https://www.legislation.gov.uk/ukpga/Vict/24-25/100/contents&gt; [Accessed 8 March 2021].</w:t>
      </w:r>
    </w:p>
  </w:footnote>
  <w:footnote w:id="5">
    <w:p w:rsidR="00D91A1E" w:rsidRPr="00D91A1E" w:rsidRDefault="00D91A1E" w:rsidP="00D91A1E">
      <w:pPr>
        <w:spacing w:before="100" w:beforeAutospacing="1" w:after="100" w:afterAutospacing="1" w:line="240" w:lineRule="auto"/>
        <w:rPr>
          <w:rFonts w:eastAsia="Times New Roman" w:cs="Times New Roman"/>
          <w:sz w:val="20"/>
          <w:szCs w:val="20"/>
        </w:rPr>
      </w:pPr>
      <w:r>
        <w:rPr>
          <w:rStyle w:val="FootnoteReference"/>
        </w:rPr>
        <w:footnoteRef/>
      </w:r>
      <w:r>
        <w:t xml:space="preserve"> </w:t>
      </w:r>
      <w:r w:rsidRPr="00500EA3">
        <w:rPr>
          <w:rFonts w:eastAsia="Times New Roman" w:cs="Times New Roman"/>
          <w:sz w:val="20"/>
          <w:szCs w:val="20"/>
        </w:rPr>
        <w:t xml:space="preserve">Atoki, M., 2017. Assault and S 47 of the Offences against the Person Act 1861. </w:t>
      </w:r>
      <w:r w:rsidRPr="00500EA3">
        <w:rPr>
          <w:rFonts w:eastAsia="Times New Roman" w:cs="Times New Roman"/>
          <w:iCs/>
          <w:sz w:val="20"/>
          <w:szCs w:val="20"/>
        </w:rPr>
        <w:t>The Journal of Criminal Law</w:t>
      </w:r>
      <w:r w:rsidRPr="00500EA3">
        <w:rPr>
          <w:rFonts w:eastAsia="Times New Roman" w:cs="Times New Roman"/>
          <w:sz w:val="20"/>
          <w:szCs w:val="20"/>
        </w:rPr>
        <w:t>, 59(3), pp.299-304.</w:t>
      </w:r>
    </w:p>
  </w:footnote>
  <w:footnote w:id="6">
    <w:p w:rsidR="00D91A1E" w:rsidRPr="00F7193C" w:rsidRDefault="00D91A1E" w:rsidP="00F7193C">
      <w:pPr>
        <w:spacing w:before="100" w:beforeAutospacing="1" w:after="100" w:afterAutospacing="1" w:line="240" w:lineRule="auto"/>
        <w:rPr>
          <w:rFonts w:eastAsia="Times New Roman" w:cs="Times New Roman"/>
          <w:sz w:val="20"/>
          <w:szCs w:val="20"/>
        </w:rPr>
      </w:pPr>
      <w:r>
        <w:rPr>
          <w:rStyle w:val="FootnoteReference"/>
        </w:rPr>
        <w:footnoteRef/>
      </w:r>
      <w:r>
        <w:t xml:space="preserve"> </w:t>
      </w:r>
      <w:r w:rsidR="00F7193C" w:rsidRPr="00500EA3">
        <w:rPr>
          <w:rFonts w:eastAsia="Times New Roman" w:cs="Times New Roman"/>
          <w:sz w:val="20"/>
          <w:szCs w:val="20"/>
        </w:rPr>
        <w:t xml:space="preserve">Fewtrell, E., 2010. Offences against the Person Act, 1861, Sections 18 &amp; 20. </w:t>
      </w:r>
      <w:r w:rsidR="00F7193C" w:rsidRPr="00500EA3">
        <w:rPr>
          <w:rFonts w:eastAsia="Times New Roman" w:cs="Times New Roman"/>
          <w:iCs/>
          <w:sz w:val="20"/>
          <w:szCs w:val="20"/>
        </w:rPr>
        <w:t>The Police Journal: Theory, Practice and Principles</w:t>
      </w:r>
      <w:r w:rsidR="00F7193C" w:rsidRPr="00500EA3">
        <w:rPr>
          <w:rFonts w:eastAsia="Times New Roman" w:cs="Times New Roman"/>
          <w:sz w:val="20"/>
          <w:szCs w:val="20"/>
        </w:rPr>
        <w:t>, 21(2), pp.148-151.</w:t>
      </w:r>
    </w:p>
  </w:footnote>
  <w:footnote w:id="7">
    <w:p w:rsidR="00D91A1E" w:rsidRPr="00F7193C" w:rsidRDefault="00D91A1E" w:rsidP="00F7193C">
      <w:pPr>
        <w:rPr>
          <w:rFonts w:cs="Times New Roman"/>
          <w:sz w:val="20"/>
          <w:szCs w:val="20"/>
        </w:rPr>
      </w:pPr>
      <w:r>
        <w:rPr>
          <w:rStyle w:val="FootnoteReference"/>
        </w:rPr>
        <w:footnoteRef/>
      </w:r>
      <w:r>
        <w:t xml:space="preserve"> </w:t>
      </w:r>
      <w:r w:rsidR="00F7193C" w:rsidRPr="00F8533E">
        <w:rPr>
          <w:rStyle w:val="Emphasis"/>
          <w:rFonts w:cs="Times New Roman"/>
          <w:i w:val="0"/>
          <w:sz w:val="20"/>
          <w:szCs w:val="20"/>
        </w:rPr>
        <w:t>R</w:t>
      </w:r>
      <w:r w:rsidR="00F7193C" w:rsidRPr="00F8533E">
        <w:rPr>
          <w:rStyle w:val="acopre"/>
          <w:rFonts w:cs="Times New Roman"/>
          <w:sz w:val="20"/>
          <w:szCs w:val="20"/>
        </w:rPr>
        <w:t xml:space="preserve">. </w:t>
      </w:r>
      <w:r w:rsidR="00F7193C" w:rsidRPr="00F8533E">
        <w:rPr>
          <w:rStyle w:val="Emphasis"/>
          <w:rFonts w:cs="Times New Roman"/>
          <w:i w:val="0"/>
          <w:sz w:val="20"/>
          <w:szCs w:val="20"/>
        </w:rPr>
        <w:t>v</w:t>
      </w:r>
      <w:r w:rsidR="00F7193C" w:rsidRPr="00F8533E">
        <w:rPr>
          <w:rStyle w:val="acopre"/>
          <w:rFonts w:cs="Times New Roman"/>
          <w:sz w:val="20"/>
          <w:szCs w:val="20"/>
        </w:rPr>
        <w:t xml:space="preserve">. </w:t>
      </w:r>
      <w:r w:rsidR="00F7193C" w:rsidRPr="00F8533E">
        <w:rPr>
          <w:rStyle w:val="Emphasis"/>
          <w:rFonts w:cs="Times New Roman"/>
          <w:i w:val="0"/>
          <w:sz w:val="20"/>
          <w:szCs w:val="20"/>
        </w:rPr>
        <w:t>Saunders</w:t>
      </w:r>
      <w:r w:rsidR="00F7193C" w:rsidRPr="00F8533E">
        <w:rPr>
          <w:rStyle w:val="acopre"/>
          <w:rFonts w:cs="Times New Roman"/>
          <w:sz w:val="20"/>
          <w:szCs w:val="20"/>
        </w:rPr>
        <w:t>, [2004] 3 S.C.R. 505, 2004 SCC 70</w:t>
      </w:r>
    </w:p>
  </w:footnote>
  <w:footnote w:id="8">
    <w:p w:rsidR="00D91A1E" w:rsidRPr="00F7193C" w:rsidRDefault="00D91A1E" w:rsidP="00F7193C">
      <w:pPr>
        <w:spacing w:before="100" w:beforeAutospacing="1" w:after="100" w:afterAutospacing="1" w:line="240" w:lineRule="auto"/>
        <w:rPr>
          <w:rFonts w:eastAsia="Times New Roman" w:cs="Times New Roman"/>
          <w:sz w:val="20"/>
          <w:szCs w:val="20"/>
        </w:rPr>
      </w:pPr>
      <w:r>
        <w:rPr>
          <w:rStyle w:val="FootnoteReference"/>
        </w:rPr>
        <w:footnoteRef/>
      </w:r>
      <w:r>
        <w:t xml:space="preserve"> </w:t>
      </w:r>
      <w:r w:rsidR="00F7193C" w:rsidRPr="00500EA3">
        <w:rPr>
          <w:rFonts w:eastAsia="Times New Roman" w:cs="Times New Roman"/>
          <w:sz w:val="20"/>
          <w:szCs w:val="20"/>
        </w:rPr>
        <w:t xml:space="preserve">Bean, D., 2014. </w:t>
      </w:r>
      <w:r w:rsidR="00F7193C" w:rsidRPr="00500EA3">
        <w:rPr>
          <w:rFonts w:eastAsia="Times New Roman" w:cs="Times New Roman"/>
          <w:iCs/>
          <w:sz w:val="20"/>
          <w:szCs w:val="20"/>
        </w:rPr>
        <w:t>Reform of offences against the person</w:t>
      </w:r>
      <w:r w:rsidR="00F7193C" w:rsidRPr="00500EA3">
        <w:rPr>
          <w:rFonts w:eastAsia="Times New Roman" w:cs="Times New Roman"/>
          <w:sz w:val="20"/>
          <w:szCs w:val="20"/>
        </w:rPr>
        <w:t>. London: Stationery Office.</w:t>
      </w:r>
    </w:p>
  </w:footnote>
  <w:footnote w:id="9">
    <w:p w:rsidR="00D91A1E" w:rsidRPr="00F7193C" w:rsidRDefault="00D91A1E" w:rsidP="00F7193C">
      <w:pPr>
        <w:spacing w:before="100" w:beforeAutospacing="1" w:after="100" w:afterAutospacing="1" w:line="240" w:lineRule="auto"/>
        <w:rPr>
          <w:rFonts w:eastAsia="Times New Roman" w:cs="Times New Roman"/>
          <w:sz w:val="20"/>
          <w:szCs w:val="20"/>
        </w:rPr>
      </w:pPr>
      <w:r>
        <w:rPr>
          <w:rStyle w:val="FootnoteReference"/>
        </w:rPr>
        <w:footnoteRef/>
      </w:r>
      <w:r>
        <w:t xml:space="preserve"> </w:t>
      </w:r>
      <w:r w:rsidR="00F7193C" w:rsidRPr="00500EA3">
        <w:rPr>
          <w:rFonts w:eastAsia="Times New Roman" w:cs="Times New Roman"/>
          <w:sz w:val="20"/>
          <w:szCs w:val="20"/>
        </w:rPr>
        <w:t xml:space="preserve">GOV.UK. 2021. </w:t>
      </w:r>
      <w:r w:rsidR="00F7193C" w:rsidRPr="00500EA3">
        <w:rPr>
          <w:rFonts w:eastAsia="Times New Roman" w:cs="Times New Roman"/>
          <w:iCs/>
          <w:sz w:val="20"/>
          <w:szCs w:val="20"/>
        </w:rPr>
        <w:t>Law Commission Annual Report 2015 to 2016</w:t>
      </w:r>
      <w:r w:rsidR="00F7193C" w:rsidRPr="00500EA3">
        <w:rPr>
          <w:rFonts w:eastAsia="Times New Roman" w:cs="Times New Roman"/>
          <w:sz w:val="20"/>
          <w:szCs w:val="20"/>
        </w:rPr>
        <w:t>. [online] Available at: &lt;https://www.gov.uk/government/publications/law-commission-annual-report-2015-to-2016&gt; [Accessed 8 March 2021].</w:t>
      </w:r>
    </w:p>
  </w:footnote>
  <w:footnote w:id="10">
    <w:p w:rsidR="00D91A1E" w:rsidRPr="00F7193C" w:rsidRDefault="00D91A1E" w:rsidP="00F7193C">
      <w:pPr>
        <w:spacing w:before="100" w:beforeAutospacing="1" w:after="100" w:afterAutospacing="1" w:line="240" w:lineRule="auto"/>
        <w:rPr>
          <w:rFonts w:eastAsia="Times New Roman" w:cs="Times New Roman"/>
          <w:sz w:val="20"/>
          <w:szCs w:val="20"/>
        </w:rPr>
      </w:pPr>
      <w:r>
        <w:rPr>
          <w:rStyle w:val="FootnoteReference"/>
        </w:rPr>
        <w:footnoteRef/>
      </w:r>
      <w:r>
        <w:t xml:space="preserve"> </w:t>
      </w:r>
      <w:r w:rsidR="00F7193C" w:rsidRPr="00500EA3">
        <w:rPr>
          <w:rFonts w:eastAsia="Times New Roman" w:cs="Times New Roman"/>
          <w:sz w:val="20"/>
          <w:szCs w:val="20"/>
        </w:rPr>
        <w:t xml:space="preserve">Chisholm, N., 2021. English Law of the Offences Against the Person Act 1861: Outline and Case Summaries. </w:t>
      </w:r>
      <w:r w:rsidR="00F7193C" w:rsidRPr="00500EA3">
        <w:rPr>
          <w:rFonts w:eastAsia="Times New Roman" w:cs="Times New Roman"/>
          <w:iCs/>
          <w:sz w:val="20"/>
          <w:szCs w:val="20"/>
        </w:rPr>
        <w:t>SSRN Electronic Journal</w:t>
      </w:r>
      <w:r w:rsidR="00F7193C" w:rsidRPr="00500EA3">
        <w:rPr>
          <w:rFonts w:eastAsia="Times New Roman" w:cs="Times New Roman"/>
          <w:sz w:val="20"/>
          <w:szCs w:val="20"/>
        </w:rPr>
        <w:t>,.</w:t>
      </w:r>
    </w:p>
  </w:footnote>
  <w:footnote w:id="11">
    <w:p w:rsidR="00D91A1E" w:rsidRPr="00D91A1E" w:rsidRDefault="00D91A1E" w:rsidP="00D91A1E">
      <w:pPr>
        <w:rPr>
          <w:rFonts w:cs="Times New Roman"/>
          <w:sz w:val="20"/>
          <w:szCs w:val="20"/>
        </w:rPr>
      </w:pPr>
      <w:r>
        <w:rPr>
          <w:rStyle w:val="FootnoteReference"/>
        </w:rPr>
        <w:footnoteRef/>
      </w:r>
      <w:r>
        <w:t xml:space="preserve"> </w:t>
      </w:r>
      <w:r w:rsidRPr="00F8533E">
        <w:rPr>
          <w:rStyle w:val="Emphasis"/>
          <w:rFonts w:cs="Times New Roman"/>
          <w:i w:val="0"/>
          <w:sz w:val="20"/>
          <w:szCs w:val="20"/>
        </w:rPr>
        <w:t>R v Ireland</w:t>
      </w:r>
      <w:r w:rsidRPr="00F8533E">
        <w:rPr>
          <w:rStyle w:val="acopre"/>
          <w:rFonts w:cs="Times New Roman"/>
          <w:sz w:val="20"/>
          <w:szCs w:val="20"/>
        </w:rPr>
        <w:t xml:space="preserve"> [1998] AC 147</w:t>
      </w:r>
    </w:p>
  </w:footnote>
  <w:footnote w:id="12">
    <w:p w:rsidR="00D91A1E" w:rsidRPr="00D91A1E" w:rsidRDefault="00D91A1E" w:rsidP="00D91A1E">
      <w:pPr>
        <w:spacing w:before="100" w:beforeAutospacing="1" w:after="100" w:afterAutospacing="1" w:line="240" w:lineRule="auto"/>
        <w:rPr>
          <w:rFonts w:eastAsia="Times New Roman" w:cs="Times New Roman"/>
          <w:sz w:val="20"/>
          <w:szCs w:val="20"/>
        </w:rPr>
      </w:pPr>
      <w:r>
        <w:rPr>
          <w:rStyle w:val="FootnoteReference"/>
        </w:rPr>
        <w:footnoteRef/>
      </w:r>
      <w:r>
        <w:t xml:space="preserve"> </w:t>
      </w:r>
      <w:r w:rsidRPr="00500EA3">
        <w:rPr>
          <w:rFonts w:eastAsia="Times New Roman" w:cs="Times New Roman"/>
          <w:sz w:val="20"/>
          <w:szCs w:val="20"/>
        </w:rPr>
        <w:t xml:space="preserve">Eugenicos, A., 2017. Should We Reform the Offences Against the Person Act 1861?. </w:t>
      </w:r>
      <w:r w:rsidRPr="00500EA3">
        <w:rPr>
          <w:rFonts w:eastAsia="Times New Roman" w:cs="Times New Roman"/>
          <w:iCs/>
          <w:sz w:val="20"/>
          <w:szCs w:val="20"/>
        </w:rPr>
        <w:t>The Journal of Criminal Law</w:t>
      </w:r>
      <w:r w:rsidRPr="00500EA3">
        <w:rPr>
          <w:rFonts w:eastAsia="Times New Roman" w:cs="Times New Roman"/>
          <w:sz w:val="20"/>
          <w:szCs w:val="20"/>
        </w:rPr>
        <w:t>, 81(1), pp.26-32.</w:t>
      </w:r>
    </w:p>
  </w:footnote>
  <w:footnote w:id="13">
    <w:p w:rsidR="00D91A1E" w:rsidRPr="00D91A1E" w:rsidRDefault="00D91A1E" w:rsidP="00D91A1E">
      <w:pPr>
        <w:rPr>
          <w:rFonts w:cs="Times New Roman"/>
          <w:sz w:val="20"/>
          <w:szCs w:val="20"/>
        </w:rPr>
      </w:pPr>
      <w:r>
        <w:rPr>
          <w:rStyle w:val="FootnoteReference"/>
        </w:rPr>
        <w:footnoteRef/>
      </w:r>
      <w:r>
        <w:t xml:space="preserve"> </w:t>
      </w:r>
      <w:r w:rsidRPr="00F8533E">
        <w:rPr>
          <w:rStyle w:val="Emphasis"/>
          <w:rFonts w:cs="Times New Roman"/>
          <w:i w:val="0"/>
          <w:sz w:val="20"/>
          <w:szCs w:val="20"/>
        </w:rPr>
        <w:t>R v Miller</w:t>
      </w:r>
      <w:r w:rsidRPr="00F8533E">
        <w:rPr>
          <w:rStyle w:val="acopre"/>
          <w:rFonts w:cs="Times New Roman"/>
          <w:sz w:val="20"/>
          <w:szCs w:val="20"/>
        </w:rPr>
        <w:t xml:space="preserve"> [</w:t>
      </w:r>
      <w:r w:rsidRPr="00F8533E">
        <w:rPr>
          <w:rStyle w:val="Emphasis"/>
          <w:rFonts w:cs="Times New Roman"/>
          <w:i w:val="0"/>
          <w:sz w:val="20"/>
          <w:szCs w:val="20"/>
        </w:rPr>
        <w:t>1954</w:t>
      </w:r>
      <w:r w:rsidRPr="00F8533E">
        <w:rPr>
          <w:rStyle w:val="acopre"/>
          <w:rFonts w:cs="Times New Roman"/>
          <w:sz w:val="20"/>
          <w:szCs w:val="20"/>
        </w:rPr>
        <w:t>] 2 Q.B. 282</w:t>
      </w:r>
    </w:p>
  </w:footnote>
  <w:footnote w:id="14">
    <w:p w:rsidR="00D91A1E" w:rsidRPr="00D91A1E" w:rsidRDefault="00D91A1E" w:rsidP="00D91A1E">
      <w:pPr>
        <w:spacing w:before="100" w:beforeAutospacing="1" w:after="100" w:afterAutospacing="1" w:line="240" w:lineRule="auto"/>
        <w:rPr>
          <w:rFonts w:eastAsia="Times New Roman" w:cs="Times New Roman"/>
          <w:sz w:val="20"/>
          <w:szCs w:val="20"/>
        </w:rPr>
      </w:pPr>
      <w:r>
        <w:rPr>
          <w:rStyle w:val="FootnoteReference"/>
        </w:rPr>
        <w:footnoteRef/>
      </w:r>
      <w:r>
        <w:t xml:space="preserve"> </w:t>
      </w:r>
      <w:r w:rsidRPr="00500EA3">
        <w:rPr>
          <w:rFonts w:eastAsia="Times New Roman" w:cs="Times New Roman"/>
          <w:sz w:val="20"/>
          <w:szCs w:val="20"/>
        </w:rPr>
        <w:t xml:space="preserve">Atoki, M., 2017. Assault and S 47 of the Offences against the Person Act 1861. </w:t>
      </w:r>
      <w:r w:rsidRPr="00500EA3">
        <w:rPr>
          <w:rFonts w:eastAsia="Times New Roman" w:cs="Times New Roman"/>
          <w:iCs/>
          <w:sz w:val="20"/>
          <w:szCs w:val="20"/>
        </w:rPr>
        <w:t>The Journal of Criminal Law</w:t>
      </w:r>
      <w:r w:rsidRPr="00500EA3">
        <w:rPr>
          <w:rFonts w:eastAsia="Times New Roman" w:cs="Times New Roman"/>
          <w:sz w:val="20"/>
          <w:szCs w:val="20"/>
        </w:rPr>
        <w:t>, 59(3), pp.299-304.</w:t>
      </w:r>
    </w:p>
  </w:footnote>
  <w:footnote w:id="15">
    <w:p w:rsidR="00D91A1E" w:rsidRPr="00D91A1E" w:rsidRDefault="00D91A1E" w:rsidP="00D91A1E">
      <w:pPr>
        <w:rPr>
          <w:rFonts w:cs="Times New Roman"/>
          <w:sz w:val="20"/>
          <w:szCs w:val="20"/>
        </w:rPr>
      </w:pPr>
      <w:r>
        <w:rPr>
          <w:rStyle w:val="FootnoteReference"/>
        </w:rPr>
        <w:footnoteRef/>
      </w:r>
      <w:r>
        <w:t xml:space="preserve"> </w:t>
      </w:r>
      <w:r w:rsidRPr="00F8533E">
        <w:rPr>
          <w:rStyle w:val="Emphasis"/>
          <w:rFonts w:cs="Times New Roman"/>
          <w:i w:val="0"/>
          <w:sz w:val="20"/>
          <w:szCs w:val="20"/>
        </w:rPr>
        <w:t>R v Thomas</w:t>
      </w:r>
      <w:r w:rsidRPr="00F8533E">
        <w:rPr>
          <w:rStyle w:val="acopre"/>
          <w:rFonts w:cs="Times New Roman"/>
          <w:sz w:val="20"/>
          <w:szCs w:val="20"/>
        </w:rPr>
        <w:t xml:space="preserve"> [</w:t>
      </w:r>
      <w:r w:rsidRPr="00F8533E">
        <w:rPr>
          <w:rStyle w:val="Emphasis"/>
          <w:rFonts w:cs="Times New Roman"/>
          <w:i w:val="0"/>
          <w:sz w:val="20"/>
          <w:szCs w:val="20"/>
        </w:rPr>
        <w:t>1985</w:t>
      </w:r>
      <w:r w:rsidRPr="00F8533E">
        <w:rPr>
          <w:rStyle w:val="acopre"/>
          <w:rFonts w:cs="Times New Roman"/>
          <w:sz w:val="20"/>
          <w:szCs w:val="20"/>
        </w:rPr>
        <w:t>] Crim LR 677</w:t>
      </w:r>
    </w:p>
  </w:footnote>
  <w:footnote w:id="16">
    <w:p w:rsidR="00D91A1E" w:rsidRPr="00D91A1E" w:rsidRDefault="00D91A1E" w:rsidP="00D91A1E">
      <w:pPr>
        <w:spacing w:before="100" w:beforeAutospacing="1" w:after="100" w:afterAutospacing="1" w:line="240" w:lineRule="auto"/>
        <w:rPr>
          <w:rFonts w:eastAsia="Times New Roman" w:cs="Times New Roman"/>
          <w:sz w:val="20"/>
          <w:szCs w:val="20"/>
        </w:rPr>
      </w:pPr>
      <w:r>
        <w:rPr>
          <w:rStyle w:val="FootnoteReference"/>
        </w:rPr>
        <w:footnoteRef/>
      </w:r>
      <w:r>
        <w:t xml:space="preserve"> </w:t>
      </w:r>
      <w:r w:rsidRPr="00500EA3">
        <w:rPr>
          <w:rFonts w:eastAsia="Times New Roman" w:cs="Times New Roman"/>
          <w:sz w:val="20"/>
          <w:szCs w:val="20"/>
        </w:rPr>
        <w:t xml:space="preserve">Legislation.gov.uk. 2021. </w:t>
      </w:r>
      <w:r w:rsidRPr="00500EA3">
        <w:rPr>
          <w:rFonts w:eastAsia="Times New Roman" w:cs="Times New Roman"/>
          <w:iCs/>
          <w:sz w:val="20"/>
          <w:szCs w:val="20"/>
        </w:rPr>
        <w:t>Offences against the Person Act 1861</w:t>
      </w:r>
      <w:r w:rsidRPr="00500EA3">
        <w:rPr>
          <w:rFonts w:eastAsia="Times New Roman" w:cs="Times New Roman"/>
          <w:sz w:val="20"/>
          <w:szCs w:val="20"/>
        </w:rPr>
        <w:t>. [online] Available at: &lt;https://www.legislation.gov.uk/ukpga/Vict/24-25/100/contents&gt; [Accessed 8 March 2021].</w:t>
      </w:r>
    </w:p>
  </w:footnote>
  <w:footnote w:id="17">
    <w:p w:rsidR="00D91A1E" w:rsidRPr="00D91A1E" w:rsidRDefault="00D91A1E" w:rsidP="00D91A1E">
      <w:pPr>
        <w:rPr>
          <w:rFonts w:cs="Times New Roman"/>
          <w:sz w:val="20"/>
          <w:szCs w:val="20"/>
        </w:rPr>
      </w:pPr>
      <w:r>
        <w:rPr>
          <w:rStyle w:val="FootnoteReference"/>
        </w:rPr>
        <w:footnoteRef/>
      </w:r>
      <w:r>
        <w:t xml:space="preserve"> </w:t>
      </w:r>
      <w:r w:rsidRPr="00F8533E">
        <w:rPr>
          <w:rStyle w:val="Emphasis"/>
          <w:rFonts w:cs="Times New Roman"/>
          <w:i w:val="0"/>
          <w:sz w:val="20"/>
          <w:szCs w:val="20"/>
        </w:rPr>
        <w:t>R v Ireland</w:t>
      </w:r>
      <w:r w:rsidRPr="00F8533E">
        <w:rPr>
          <w:rStyle w:val="acopre"/>
          <w:rFonts w:cs="Times New Roman"/>
          <w:sz w:val="20"/>
          <w:szCs w:val="20"/>
        </w:rPr>
        <w:t xml:space="preserve"> [1998] AC 147</w:t>
      </w:r>
    </w:p>
  </w:footnote>
  <w:footnote w:id="18">
    <w:p w:rsidR="00D91A1E" w:rsidRPr="00D91A1E" w:rsidRDefault="00D91A1E" w:rsidP="00D91A1E">
      <w:pPr>
        <w:spacing w:before="100" w:beforeAutospacing="1" w:after="100" w:afterAutospacing="1" w:line="240" w:lineRule="auto"/>
        <w:rPr>
          <w:rFonts w:eastAsia="Times New Roman" w:cs="Times New Roman"/>
          <w:sz w:val="20"/>
          <w:szCs w:val="20"/>
        </w:rPr>
      </w:pPr>
      <w:r>
        <w:rPr>
          <w:rStyle w:val="FootnoteReference"/>
        </w:rPr>
        <w:footnoteRef/>
      </w:r>
      <w:r>
        <w:t xml:space="preserve"> </w:t>
      </w:r>
      <w:r w:rsidRPr="00500EA3">
        <w:rPr>
          <w:rFonts w:eastAsia="Times New Roman" w:cs="Times New Roman"/>
          <w:sz w:val="20"/>
          <w:szCs w:val="20"/>
        </w:rPr>
        <w:t xml:space="preserve">Fewtrell, E., 2010. Offences against the Person Act, 1861, Sections 18 &amp; 20. </w:t>
      </w:r>
      <w:r w:rsidRPr="00500EA3">
        <w:rPr>
          <w:rFonts w:eastAsia="Times New Roman" w:cs="Times New Roman"/>
          <w:iCs/>
          <w:sz w:val="20"/>
          <w:szCs w:val="20"/>
        </w:rPr>
        <w:t>The Police Journal: Theory, Practice and Principles</w:t>
      </w:r>
      <w:r w:rsidRPr="00500EA3">
        <w:rPr>
          <w:rFonts w:eastAsia="Times New Roman" w:cs="Times New Roman"/>
          <w:sz w:val="20"/>
          <w:szCs w:val="20"/>
        </w:rPr>
        <w:t>, 21(2), pp.148-151.</w:t>
      </w:r>
    </w:p>
  </w:footnote>
  <w:footnote w:id="19">
    <w:p w:rsidR="00D91A1E" w:rsidRPr="00D91A1E" w:rsidRDefault="00D91A1E" w:rsidP="00D91A1E">
      <w:pPr>
        <w:rPr>
          <w:rFonts w:cs="Times New Roman"/>
          <w:iCs/>
          <w:sz w:val="20"/>
          <w:szCs w:val="20"/>
        </w:rPr>
      </w:pPr>
      <w:r>
        <w:rPr>
          <w:rStyle w:val="FootnoteReference"/>
        </w:rPr>
        <w:footnoteRef/>
      </w:r>
      <w:r>
        <w:t xml:space="preserve"> </w:t>
      </w:r>
      <w:r w:rsidRPr="00F8533E">
        <w:rPr>
          <w:rStyle w:val="Emphasis"/>
          <w:rFonts w:cs="Times New Roman"/>
          <w:i w:val="0"/>
          <w:sz w:val="20"/>
          <w:szCs w:val="20"/>
        </w:rPr>
        <w:t>R v Chan Fook</w:t>
      </w:r>
      <w:r w:rsidRPr="00F8533E">
        <w:rPr>
          <w:rStyle w:val="acopre"/>
          <w:rFonts w:cs="Times New Roman"/>
          <w:sz w:val="20"/>
          <w:szCs w:val="20"/>
        </w:rPr>
        <w:t xml:space="preserve"> [</w:t>
      </w:r>
      <w:r w:rsidRPr="00F8533E">
        <w:rPr>
          <w:rStyle w:val="Emphasis"/>
          <w:rFonts w:cs="Times New Roman"/>
          <w:i w:val="0"/>
          <w:sz w:val="20"/>
          <w:szCs w:val="20"/>
        </w:rPr>
        <w:t>1994</w:t>
      </w:r>
      <w:r w:rsidRPr="00F8533E">
        <w:rPr>
          <w:rStyle w:val="acopre"/>
          <w:rFonts w:cs="Times New Roman"/>
          <w:sz w:val="20"/>
          <w:szCs w:val="20"/>
        </w:rPr>
        <w:t>] 1 WLR 689</w:t>
      </w:r>
    </w:p>
  </w:footnote>
  <w:footnote w:id="20">
    <w:p w:rsidR="00D91A1E" w:rsidRPr="00D91A1E" w:rsidRDefault="00D91A1E" w:rsidP="00D91A1E">
      <w:pPr>
        <w:spacing w:before="100" w:beforeAutospacing="1" w:after="100" w:afterAutospacing="1" w:line="240" w:lineRule="auto"/>
        <w:rPr>
          <w:rFonts w:eastAsia="Times New Roman" w:cs="Times New Roman"/>
          <w:sz w:val="20"/>
          <w:szCs w:val="20"/>
        </w:rPr>
      </w:pPr>
      <w:r>
        <w:rPr>
          <w:rStyle w:val="FootnoteReference"/>
        </w:rPr>
        <w:footnoteRef/>
      </w:r>
      <w:r>
        <w:t xml:space="preserve"> </w:t>
      </w:r>
      <w:r w:rsidRPr="00500EA3">
        <w:rPr>
          <w:rFonts w:eastAsia="Times New Roman" w:cs="Times New Roman"/>
          <w:sz w:val="20"/>
          <w:szCs w:val="20"/>
        </w:rPr>
        <w:t xml:space="preserve">GOV.UK. 2021. </w:t>
      </w:r>
      <w:r w:rsidRPr="00500EA3">
        <w:rPr>
          <w:rFonts w:eastAsia="Times New Roman" w:cs="Times New Roman"/>
          <w:iCs/>
          <w:sz w:val="20"/>
          <w:szCs w:val="20"/>
        </w:rPr>
        <w:t>Law Commission Annual Report 2015 to 2016</w:t>
      </w:r>
      <w:r w:rsidRPr="00500EA3">
        <w:rPr>
          <w:rFonts w:eastAsia="Times New Roman" w:cs="Times New Roman"/>
          <w:sz w:val="20"/>
          <w:szCs w:val="20"/>
        </w:rPr>
        <w:t>. [online] Available at: &lt;https://www.gov.uk/government/publications/law-commission-annual-report-2015-to-2016&gt; [Accessed 8 March 2021].</w:t>
      </w:r>
    </w:p>
  </w:footnote>
  <w:footnote w:id="21">
    <w:p w:rsidR="00D91A1E" w:rsidRPr="00D91A1E" w:rsidRDefault="00D91A1E" w:rsidP="00D91A1E">
      <w:pPr>
        <w:spacing w:before="100" w:beforeAutospacing="1" w:after="100" w:afterAutospacing="1" w:line="240" w:lineRule="auto"/>
        <w:rPr>
          <w:rFonts w:eastAsia="Times New Roman" w:cs="Times New Roman"/>
          <w:sz w:val="20"/>
          <w:szCs w:val="20"/>
        </w:rPr>
      </w:pPr>
      <w:r>
        <w:rPr>
          <w:rStyle w:val="FootnoteReference"/>
        </w:rPr>
        <w:footnoteRef/>
      </w:r>
      <w:r>
        <w:t xml:space="preserve"> </w:t>
      </w:r>
      <w:r w:rsidRPr="00500EA3">
        <w:rPr>
          <w:rFonts w:eastAsia="Times New Roman" w:cs="Times New Roman"/>
          <w:sz w:val="20"/>
          <w:szCs w:val="20"/>
        </w:rPr>
        <w:t xml:space="preserve">Eugenicos, A., 2017. Should We Reform the Offences Against the Person Act 1861?. </w:t>
      </w:r>
      <w:r w:rsidRPr="00500EA3">
        <w:rPr>
          <w:rFonts w:eastAsia="Times New Roman" w:cs="Times New Roman"/>
          <w:iCs/>
          <w:sz w:val="20"/>
          <w:szCs w:val="20"/>
        </w:rPr>
        <w:t>The Journal of Criminal Law</w:t>
      </w:r>
      <w:r w:rsidRPr="00500EA3">
        <w:rPr>
          <w:rFonts w:eastAsia="Times New Roman" w:cs="Times New Roman"/>
          <w:sz w:val="20"/>
          <w:szCs w:val="20"/>
        </w:rPr>
        <w:t>, 81(1), pp.26-32.</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tTQ1MzS3MLMwNjUyMjdQ0lEKTi0uzszPAykwqgUAQNsaISwAAAA="/>
  </w:docVars>
  <w:rsids>
    <w:rsidRoot w:val="00275C80"/>
    <w:rsid w:val="00066347"/>
    <w:rsid w:val="00094533"/>
    <w:rsid w:val="000F3D32"/>
    <w:rsid w:val="00140246"/>
    <w:rsid w:val="001416BA"/>
    <w:rsid w:val="0016769B"/>
    <w:rsid w:val="001C092D"/>
    <w:rsid w:val="00211378"/>
    <w:rsid w:val="00214241"/>
    <w:rsid w:val="00275C80"/>
    <w:rsid w:val="0028545A"/>
    <w:rsid w:val="002925F6"/>
    <w:rsid w:val="00300E3C"/>
    <w:rsid w:val="00334EBC"/>
    <w:rsid w:val="00365689"/>
    <w:rsid w:val="003B3D30"/>
    <w:rsid w:val="003C22D5"/>
    <w:rsid w:val="00406A87"/>
    <w:rsid w:val="00486F1B"/>
    <w:rsid w:val="004F0B24"/>
    <w:rsid w:val="00542224"/>
    <w:rsid w:val="00694244"/>
    <w:rsid w:val="006A210E"/>
    <w:rsid w:val="007013DF"/>
    <w:rsid w:val="00736C29"/>
    <w:rsid w:val="007F7B98"/>
    <w:rsid w:val="008A380D"/>
    <w:rsid w:val="00921888"/>
    <w:rsid w:val="00A27B28"/>
    <w:rsid w:val="00A52DBE"/>
    <w:rsid w:val="00A778E8"/>
    <w:rsid w:val="00AA655D"/>
    <w:rsid w:val="00AD7BC0"/>
    <w:rsid w:val="00B00ED8"/>
    <w:rsid w:val="00B15442"/>
    <w:rsid w:val="00B22799"/>
    <w:rsid w:val="00B34F55"/>
    <w:rsid w:val="00B8590F"/>
    <w:rsid w:val="00BF36AB"/>
    <w:rsid w:val="00C23D64"/>
    <w:rsid w:val="00C25F01"/>
    <w:rsid w:val="00D43D27"/>
    <w:rsid w:val="00D53A0F"/>
    <w:rsid w:val="00D91A1E"/>
    <w:rsid w:val="00D95102"/>
    <w:rsid w:val="00DB6BB2"/>
    <w:rsid w:val="00DC14EE"/>
    <w:rsid w:val="00F7193C"/>
    <w:rsid w:val="00FC5C66"/>
    <w:rsid w:val="00FF687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A0E2CD6-FE8D-45F2-A1E5-FD85B59A8D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15442"/>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F7193C"/>
    <w:pPr>
      <w:keepNext/>
      <w:keepLines/>
      <w:spacing w:before="240" w:after="0"/>
      <w:outlineLvl w:val="0"/>
    </w:pPr>
    <w:rPr>
      <w:rFonts w:eastAsiaTheme="majorEastAsia" w:cstheme="majorBidi"/>
      <w:b/>
      <w:sz w:val="28"/>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066347"/>
    <w:rPr>
      <w:i/>
      <w:iCs/>
    </w:rPr>
  </w:style>
  <w:style w:type="character" w:styleId="Hyperlink">
    <w:name w:val="Hyperlink"/>
    <w:basedOn w:val="DefaultParagraphFont"/>
    <w:uiPriority w:val="99"/>
    <w:unhideWhenUsed/>
    <w:rsid w:val="00211378"/>
    <w:rPr>
      <w:color w:val="0000FF"/>
      <w:u w:val="single"/>
    </w:rPr>
  </w:style>
  <w:style w:type="paragraph" w:styleId="FootnoteText">
    <w:name w:val="footnote text"/>
    <w:basedOn w:val="Normal"/>
    <w:link w:val="FootnoteTextChar"/>
    <w:uiPriority w:val="99"/>
    <w:semiHidden/>
    <w:unhideWhenUsed/>
    <w:rsid w:val="00D91A1E"/>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D91A1E"/>
    <w:rPr>
      <w:rFonts w:ascii="Times New Roman" w:hAnsi="Times New Roman"/>
      <w:sz w:val="20"/>
      <w:szCs w:val="20"/>
    </w:rPr>
  </w:style>
  <w:style w:type="character" w:styleId="FootnoteReference">
    <w:name w:val="footnote reference"/>
    <w:basedOn w:val="DefaultParagraphFont"/>
    <w:uiPriority w:val="99"/>
    <w:semiHidden/>
    <w:unhideWhenUsed/>
    <w:rsid w:val="00D91A1E"/>
    <w:rPr>
      <w:vertAlign w:val="superscript"/>
    </w:rPr>
  </w:style>
  <w:style w:type="character" w:customStyle="1" w:styleId="acopre">
    <w:name w:val="acopre"/>
    <w:basedOn w:val="DefaultParagraphFont"/>
    <w:rsid w:val="00D91A1E"/>
  </w:style>
  <w:style w:type="character" w:customStyle="1" w:styleId="Heading1Char">
    <w:name w:val="Heading 1 Char"/>
    <w:basedOn w:val="DefaultParagraphFont"/>
    <w:link w:val="Heading1"/>
    <w:uiPriority w:val="9"/>
    <w:rsid w:val="00F7193C"/>
    <w:rPr>
      <w:rFonts w:ascii="Times New Roman" w:eastAsiaTheme="majorEastAsia" w:hAnsi="Times New Roman" w:cstheme="majorBidi"/>
      <w:b/>
      <w:sz w:val="28"/>
      <w:szCs w:val="32"/>
    </w:rPr>
  </w:style>
  <w:style w:type="paragraph" w:styleId="Header">
    <w:name w:val="header"/>
    <w:basedOn w:val="Normal"/>
    <w:link w:val="HeaderChar"/>
    <w:uiPriority w:val="99"/>
    <w:unhideWhenUsed/>
    <w:rsid w:val="007F7B98"/>
    <w:pPr>
      <w:tabs>
        <w:tab w:val="center" w:pos="4680"/>
        <w:tab w:val="right" w:pos="9360"/>
      </w:tabs>
      <w:spacing w:after="0" w:line="240" w:lineRule="auto"/>
    </w:pPr>
  </w:style>
  <w:style w:type="character" w:customStyle="1" w:styleId="HeaderChar">
    <w:name w:val="Header Char"/>
    <w:basedOn w:val="DefaultParagraphFont"/>
    <w:link w:val="Header"/>
    <w:uiPriority w:val="99"/>
    <w:rsid w:val="007F7B98"/>
    <w:rPr>
      <w:rFonts w:ascii="Times New Roman" w:hAnsi="Times New Roman"/>
      <w:sz w:val="24"/>
    </w:rPr>
  </w:style>
  <w:style w:type="paragraph" w:styleId="Footer">
    <w:name w:val="footer"/>
    <w:basedOn w:val="Normal"/>
    <w:link w:val="FooterChar"/>
    <w:uiPriority w:val="99"/>
    <w:unhideWhenUsed/>
    <w:rsid w:val="007F7B98"/>
    <w:pPr>
      <w:tabs>
        <w:tab w:val="center" w:pos="4680"/>
        <w:tab w:val="right" w:pos="9360"/>
      </w:tabs>
      <w:spacing w:after="0" w:line="240" w:lineRule="auto"/>
    </w:pPr>
  </w:style>
  <w:style w:type="character" w:customStyle="1" w:styleId="FooterChar">
    <w:name w:val="Footer Char"/>
    <w:basedOn w:val="DefaultParagraphFont"/>
    <w:link w:val="Footer"/>
    <w:uiPriority w:val="99"/>
    <w:rsid w:val="007F7B98"/>
    <w:rPr>
      <w:rFonts w:ascii="Times New Roman" w:hAnsi="Times New Roman"/>
      <w:sz w:val="24"/>
    </w:rPr>
  </w:style>
  <w:style w:type="paragraph" w:styleId="TOCHeading">
    <w:name w:val="TOC Heading"/>
    <w:basedOn w:val="Heading1"/>
    <w:next w:val="Normal"/>
    <w:uiPriority w:val="39"/>
    <w:unhideWhenUsed/>
    <w:qFormat/>
    <w:rsid w:val="00365689"/>
    <w:pPr>
      <w:spacing w:line="259" w:lineRule="auto"/>
      <w:jc w:val="left"/>
      <w:outlineLvl w:val="9"/>
    </w:pPr>
    <w:rPr>
      <w:rFonts w:asciiTheme="majorHAnsi" w:hAnsiTheme="majorHAnsi"/>
      <w:b w:val="0"/>
      <w:color w:val="2E74B5" w:themeColor="accent1" w:themeShade="BF"/>
      <w:sz w:val="32"/>
    </w:rPr>
  </w:style>
  <w:style w:type="paragraph" w:styleId="TOC1">
    <w:name w:val="toc 1"/>
    <w:basedOn w:val="Normal"/>
    <w:next w:val="Normal"/>
    <w:autoRedefine/>
    <w:uiPriority w:val="39"/>
    <w:unhideWhenUsed/>
    <w:rsid w:val="00365689"/>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awteacher.net/cases/r-v-savage.php" TargetMode="Externa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lawteacher.net/cases/r-v-savage.ph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87826CF-4A85-4958-9B09-11363C6636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286</TotalTime>
  <Pages>9</Pages>
  <Words>1972</Words>
  <Characters>11241</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User</cp:lastModifiedBy>
  <cp:revision>33</cp:revision>
  <dcterms:created xsi:type="dcterms:W3CDTF">2021-03-07T03:36:00Z</dcterms:created>
  <dcterms:modified xsi:type="dcterms:W3CDTF">2021-03-08T17:54:00Z</dcterms:modified>
</cp:coreProperties>
</file>