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45F90" w:rsidRDefault="00FB6F97" w:rsidP="00B45F90">
      <w:pPr>
        <w:pStyle w:val="Heading1"/>
      </w:pPr>
      <w:bookmarkStart w:id="0" w:name="_Toc22310685"/>
      <w:r>
        <w:t>Table of Contents</w:t>
      </w:r>
      <w:bookmarkEnd w:id="0"/>
    </w:p>
    <w:p w:rsidR="002F27F6" w:rsidRDefault="00B45F9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10685" w:history="1">
        <w:r w:rsidR="002F27F6" w:rsidRPr="00494D93">
          <w:rPr>
            <w:rStyle w:val="Hyperlink"/>
            <w:noProof/>
          </w:rPr>
          <w:t>Table of Contents</w:t>
        </w:r>
        <w:r w:rsidR="002F27F6">
          <w:rPr>
            <w:noProof/>
            <w:webHidden/>
          </w:rPr>
          <w:tab/>
        </w:r>
        <w:r w:rsidR="002F27F6">
          <w:rPr>
            <w:noProof/>
            <w:webHidden/>
          </w:rPr>
          <w:fldChar w:fldCharType="begin"/>
        </w:r>
        <w:r w:rsidR="002F27F6">
          <w:rPr>
            <w:noProof/>
            <w:webHidden/>
          </w:rPr>
          <w:instrText xml:space="preserve"> PAGEREF _Toc22310685 \h </w:instrText>
        </w:r>
        <w:r w:rsidR="002F27F6">
          <w:rPr>
            <w:noProof/>
            <w:webHidden/>
          </w:rPr>
        </w:r>
        <w:r w:rsidR="002F27F6">
          <w:rPr>
            <w:noProof/>
            <w:webHidden/>
          </w:rPr>
          <w:fldChar w:fldCharType="separate"/>
        </w:r>
        <w:r w:rsidR="002F27F6">
          <w:rPr>
            <w:noProof/>
            <w:webHidden/>
          </w:rPr>
          <w:t>1</w:t>
        </w:r>
        <w:r w:rsidR="002F27F6">
          <w:rPr>
            <w:noProof/>
            <w:webHidden/>
          </w:rPr>
          <w:fldChar w:fldCharType="end"/>
        </w:r>
      </w:hyperlink>
    </w:p>
    <w:p w:rsidR="002F27F6" w:rsidRDefault="002F27F6">
      <w:pPr>
        <w:pStyle w:val="TOC1"/>
        <w:tabs>
          <w:tab w:val="right" w:leader="dot" w:pos="9016"/>
        </w:tabs>
        <w:rPr>
          <w:rFonts w:eastAsiaTheme="minorEastAsia"/>
          <w:noProof/>
          <w:lang w:eastAsia="en-GB"/>
        </w:rPr>
      </w:pPr>
      <w:hyperlink w:anchor="_Toc22310686" w:history="1">
        <w:r w:rsidRPr="00494D93">
          <w:rPr>
            <w:rStyle w:val="Hyperlink"/>
            <w:noProof/>
          </w:rPr>
          <w:t>Teaching Intervention Cycle (report): Adaptation of The Modern World module</w:t>
        </w:r>
        <w:r>
          <w:rPr>
            <w:noProof/>
            <w:webHidden/>
          </w:rPr>
          <w:tab/>
        </w:r>
        <w:r>
          <w:rPr>
            <w:noProof/>
            <w:webHidden/>
          </w:rPr>
          <w:fldChar w:fldCharType="begin"/>
        </w:r>
        <w:r>
          <w:rPr>
            <w:noProof/>
            <w:webHidden/>
          </w:rPr>
          <w:instrText xml:space="preserve"> PAGEREF _Toc22310686 \h </w:instrText>
        </w:r>
        <w:r>
          <w:rPr>
            <w:noProof/>
            <w:webHidden/>
          </w:rPr>
        </w:r>
        <w:r>
          <w:rPr>
            <w:noProof/>
            <w:webHidden/>
          </w:rPr>
          <w:fldChar w:fldCharType="separate"/>
        </w:r>
        <w:r>
          <w:rPr>
            <w:noProof/>
            <w:webHidden/>
          </w:rPr>
          <w:t>2</w:t>
        </w:r>
        <w:r>
          <w:rPr>
            <w:noProof/>
            <w:webHidden/>
          </w:rPr>
          <w:fldChar w:fldCharType="end"/>
        </w:r>
      </w:hyperlink>
    </w:p>
    <w:p w:rsidR="002F27F6" w:rsidRDefault="002F27F6">
      <w:pPr>
        <w:pStyle w:val="TOC2"/>
        <w:tabs>
          <w:tab w:val="right" w:leader="dot" w:pos="9016"/>
        </w:tabs>
        <w:rPr>
          <w:rFonts w:eastAsiaTheme="minorEastAsia"/>
          <w:noProof/>
          <w:lang w:eastAsia="en-GB"/>
        </w:rPr>
      </w:pPr>
      <w:hyperlink w:anchor="_Toc22310687" w:history="1">
        <w:r w:rsidRPr="00494D93">
          <w:rPr>
            <w:rStyle w:val="Hyperlink"/>
            <w:noProof/>
          </w:rPr>
          <w:t>Abstract</w:t>
        </w:r>
        <w:r>
          <w:rPr>
            <w:noProof/>
            <w:webHidden/>
          </w:rPr>
          <w:tab/>
        </w:r>
        <w:r>
          <w:rPr>
            <w:noProof/>
            <w:webHidden/>
          </w:rPr>
          <w:fldChar w:fldCharType="begin"/>
        </w:r>
        <w:r>
          <w:rPr>
            <w:noProof/>
            <w:webHidden/>
          </w:rPr>
          <w:instrText xml:space="preserve"> PAGEREF _Toc22310687 \h </w:instrText>
        </w:r>
        <w:r>
          <w:rPr>
            <w:noProof/>
            <w:webHidden/>
          </w:rPr>
        </w:r>
        <w:r>
          <w:rPr>
            <w:noProof/>
            <w:webHidden/>
          </w:rPr>
          <w:fldChar w:fldCharType="separate"/>
        </w:r>
        <w:r>
          <w:rPr>
            <w:noProof/>
            <w:webHidden/>
          </w:rPr>
          <w:t>2</w:t>
        </w:r>
        <w:r>
          <w:rPr>
            <w:noProof/>
            <w:webHidden/>
          </w:rPr>
          <w:fldChar w:fldCharType="end"/>
        </w:r>
      </w:hyperlink>
    </w:p>
    <w:p w:rsidR="002F27F6" w:rsidRDefault="002F27F6">
      <w:pPr>
        <w:pStyle w:val="TOC2"/>
        <w:tabs>
          <w:tab w:val="right" w:leader="dot" w:pos="9016"/>
        </w:tabs>
        <w:rPr>
          <w:rFonts w:eastAsiaTheme="minorEastAsia"/>
          <w:noProof/>
          <w:lang w:eastAsia="en-GB"/>
        </w:rPr>
      </w:pPr>
      <w:hyperlink w:anchor="_Toc22310688" w:history="1">
        <w:r w:rsidRPr="00494D93">
          <w:rPr>
            <w:rStyle w:val="Hyperlink"/>
            <w:noProof/>
          </w:rPr>
          <w:t>Introduction</w:t>
        </w:r>
        <w:r>
          <w:rPr>
            <w:noProof/>
            <w:webHidden/>
          </w:rPr>
          <w:tab/>
        </w:r>
        <w:r>
          <w:rPr>
            <w:noProof/>
            <w:webHidden/>
          </w:rPr>
          <w:fldChar w:fldCharType="begin"/>
        </w:r>
        <w:r>
          <w:rPr>
            <w:noProof/>
            <w:webHidden/>
          </w:rPr>
          <w:instrText xml:space="preserve"> PAGEREF _Toc22310688 \h </w:instrText>
        </w:r>
        <w:r>
          <w:rPr>
            <w:noProof/>
            <w:webHidden/>
          </w:rPr>
        </w:r>
        <w:r>
          <w:rPr>
            <w:noProof/>
            <w:webHidden/>
          </w:rPr>
          <w:fldChar w:fldCharType="separate"/>
        </w:r>
        <w:r>
          <w:rPr>
            <w:noProof/>
            <w:webHidden/>
          </w:rPr>
          <w:t>2</w:t>
        </w:r>
        <w:r>
          <w:rPr>
            <w:noProof/>
            <w:webHidden/>
          </w:rPr>
          <w:fldChar w:fldCharType="end"/>
        </w:r>
      </w:hyperlink>
    </w:p>
    <w:p w:rsidR="002F27F6" w:rsidRDefault="002F27F6">
      <w:pPr>
        <w:pStyle w:val="TOC2"/>
        <w:tabs>
          <w:tab w:val="right" w:leader="dot" w:pos="9016"/>
        </w:tabs>
        <w:rPr>
          <w:rFonts w:eastAsiaTheme="minorEastAsia"/>
          <w:noProof/>
          <w:lang w:eastAsia="en-GB"/>
        </w:rPr>
      </w:pPr>
      <w:hyperlink w:anchor="_Toc22310689" w:history="1">
        <w:r w:rsidRPr="00494D93">
          <w:rPr>
            <w:rStyle w:val="Hyperlink"/>
            <w:noProof/>
          </w:rPr>
          <w:t>Background to the teaching intervention cycle</w:t>
        </w:r>
        <w:r>
          <w:rPr>
            <w:noProof/>
            <w:webHidden/>
          </w:rPr>
          <w:tab/>
        </w:r>
        <w:r>
          <w:rPr>
            <w:noProof/>
            <w:webHidden/>
          </w:rPr>
          <w:fldChar w:fldCharType="begin"/>
        </w:r>
        <w:r>
          <w:rPr>
            <w:noProof/>
            <w:webHidden/>
          </w:rPr>
          <w:instrText xml:space="preserve"> PAGEREF _Toc22310689 \h </w:instrText>
        </w:r>
        <w:r>
          <w:rPr>
            <w:noProof/>
            <w:webHidden/>
          </w:rPr>
        </w:r>
        <w:r>
          <w:rPr>
            <w:noProof/>
            <w:webHidden/>
          </w:rPr>
          <w:fldChar w:fldCharType="separate"/>
        </w:r>
        <w:r>
          <w:rPr>
            <w:noProof/>
            <w:webHidden/>
          </w:rPr>
          <w:t>2</w:t>
        </w:r>
        <w:r>
          <w:rPr>
            <w:noProof/>
            <w:webHidden/>
          </w:rPr>
          <w:fldChar w:fldCharType="end"/>
        </w:r>
      </w:hyperlink>
    </w:p>
    <w:p w:rsidR="002F27F6" w:rsidRDefault="002F27F6">
      <w:pPr>
        <w:pStyle w:val="TOC2"/>
        <w:tabs>
          <w:tab w:val="right" w:leader="dot" w:pos="9016"/>
        </w:tabs>
        <w:rPr>
          <w:rFonts w:eastAsiaTheme="minorEastAsia"/>
          <w:noProof/>
          <w:lang w:eastAsia="en-GB"/>
        </w:rPr>
      </w:pPr>
      <w:hyperlink w:anchor="_Toc22310690" w:history="1">
        <w:r w:rsidRPr="00494D93">
          <w:rPr>
            <w:rStyle w:val="Hyperlink"/>
            <w:noProof/>
          </w:rPr>
          <w:t>Literature review</w:t>
        </w:r>
        <w:r>
          <w:rPr>
            <w:noProof/>
            <w:webHidden/>
          </w:rPr>
          <w:tab/>
        </w:r>
        <w:r>
          <w:rPr>
            <w:noProof/>
            <w:webHidden/>
          </w:rPr>
          <w:fldChar w:fldCharType="begin"/>
        </w:r>
        <w:r>
          <w:rPr>
            <w:noProof/>
            <w:webHidden/>
          </w:rPr>
          <w:instrText xml:space="preserve"> PAGEREF _Toc22310690 \h </w:instrText>
        </w:r>
        <w:r>
          <w:rPr>
            <w:noProof/>
            <w:webHidden/>
          </w:rPr>
        </w:r>
        <w:r>
          <w:rPr>
            <w:noProof/>
            <w:webHidden/>
          </w:rPr>
          <w:fldChar w:fldCharType="separate"/>
        </w:r>
        <w:r>
          <w:rPr>
            <w:noProof/>
            <w:webHidden/>
          </w:rPr>
          <w:t>2</w:t>
        </w:r>
        <w:r>
          <w:rPr>
            <w:noProof/>
            <w:webHidden/>
          </w:rPr>
          <w:fldChar w:fldCharType="end"/>
        </w:r>
      </w:hyperlink>
    </w:p>
    <w:p w:rsidR="002F27F6" w:rsidRDefault="002F27F6">
      <w:pPr>
        <w:pStyle w:val="TOC2"/>
        <w:tabs>
          <w:tab w:val="right" w:leader="dot" w:pos="9016"/>
        </w:tabs>
        <w:rPr>
          <w:rFonts w:eastAsiaTheme="minorEastAsia"/>
          <w:noProof/>
          <w:lang w:eastAsia="en-GB"/>
        </w:rPr>
      </w:pPr>
      <w:hyperlink w:anchor="_Toc22310691" w:history="1">
        <w:r w:rsidRPr="00494D93">
          <w:rPr>
            <w:rStyle w:val="Hyperlink"/>
            <w:noProof/>
          </w:rPr>
          <w:t>Method</w:t>
        </w:r>
        <w:r>
          <w:rPr>
            <w:noProof/>
            <w:webHidden/>
          </w:rPr>
          <w:tab/>
        </w:r>
        <w:r>
          <w:rPr>
            <w:noProof/>
            <w:webHidden/>
          </w:rPr>
          <w:fldChar w:fldCharType="begin"/>
        </w:r>
        <w:r>
          <w:rPr>
            <w:noProof/>
            <w:webHidden/>
          </w:rPr>
          <w:instrText xml:space="preserve"> PAGEREF _Toc22310691 \h </w:instrText>
        </w:r>
        <w:r>
          <w:rPr>
            <w:noProof/>
            <w:webHidden/>
          </w:rPr>
        </w:r>
        <w:r>
          <w:rPr>
            <w:noProof/>
            <w:webHidden/>
          </w:rPr>
          <w:fldChar w:fldCharType="separate"/>
        </w:r>
        <w:r>
          <w:rPr>
            <w:noProof/>
            <w:webHidden/>
          </w:rPr>
          <w:t>4</w:t>
        </w:r>
        <w:r>
          <w:rPr>
            <w:noProof/>
            <w:webHidden/>
          </w:rPr>
          <w:fldChar w:fldCharType="end"/>
        </w:r>
      </w:hyperlink>
    </w:p>
    <w:p w:rsidR="002F27F6" w:rsidRDefault="002F27F6">
      <w:pPr>
        <w:pStyle w:val="TOC2"/>
        <w:tabs>
          <w:tab w:val="right" w:leader="dot" w:pos="9016"/>
        </w:tabs>
        <w:rPr>
          <w:rFonts w:eastAsiaTheme="minorEastAsia"/>
          <w:noProof/>
          <w:lang w:eastAsia="en-GB"/>
        </w:rPr>
      </w:pPr>
      <w:hyperlink w:anchor="_Toc22310692" w:history="1">
        <w:r w:rsidRPr="00494D93">
          <w:rPr>
            <w:rStyle w:val="Hyperlink"/>
            <w:noProof/>
          </w:rPr>
          <w:t>Discussion</w:t>
        </w:r>
        <w:r>
          <w:rPr>
            <w:noProof/>
            <w:webHidden/>
          </w:rPr>
          <w:tab/>
        </w:r>
        <w:r>
          <w:rPr>
            <w:noProof/>
            <w:webHidden/>
          </w:rPr>
          <w:fldChar w:fldCharType="begin"/>
        </w:r>
        <w:r>
          <w:rPr>
            <w:noProof/>
            <w:webHidden/>
          </w:rPr>
          <w:instrText xml:space="preserve"> PAGEREF _Toc22310692 \h </w:instrText>
        </w:r>
        <w:r>
          <w:rPr>
            <w:noProof/>
            <w:webHidden/>
          </w:rPr>
        </w:r>
        <w:r>
          <w:rPr>
            <w:noProof/>
            <w:webHidden/>
          </w:rPr>
          <w:fldChar w:fldCharType="separate"/>
        </w:r>
        <w:r>
          <w:rPr>
            <w:noProof/>
            <w:webHidden/>
          </w:rPr>
          <w:t>5</w:t>
        </w:r>
        <w:r>
          <w:rPr>
            <w:noProof/>
            <w:webHidden/>
          </w:rPr>
          <w:fldChar w:fldCharType="end"/>
        </w:r>
      </w:hyperlink>
    </w:p>
    <w:p w:rsidR="002F27F6" w:rsidRDefault="002F27F6">
      <w:pPr>
        <w:pStyle w:val="TOC2"/>
        <w:tabs>
          <w:tab w:val="right" w:leader="dot" w:pos="9016"/>
        </w:tabs>
        <w:rPr>
          <w:rFonts w:eastAsiaTheme="minorEastAsia"/>
          <w:noProof/>
          <w:lang w:eastAsia="en-GB"/>
        </w:rPr>
      </w:pPr>
      <w:hyperlink w:anchor="_Toc22310693" w:history="1">
        <w:r w:rsidRPr="00494D93">
          <w:rPr>
            <w:rStyle w:val="Hyperlink"/>
            <w:noProof/>
          </w:rPr>
          <w:t>Conclusion</w:t>
        </w:r>
        <w:r>
          <w:rPr>
            <w:noProof/>
            <w:webHidden/>
          </w:rPr>
          <w:tab/>
        </w:r>
        <w:r>
          <w:rPr>
            <w:noProof/>
            <w:webHidden/>
          </w:rPr>
          <w:fldChar w:fldCharType="begin"/>
        </w:r>
        <w:r>
          <w:rPr>
            <w:noProof/>
            <w:webHidden/>
          </w:rPr>
          <w:instrText xml:space="preserve"> PAGEREF _Toc22310693 \h </w:instrText>
        </w:r>
        <w:r>
          <w:rPr>
            <w:noProof/>
            <w:webHidden/>
          </w:rPr>
        </w:r>
        <w:r>
          <w:rPr>
            <w:noProof/>
            <w:webHidden/>
          </w:rPr>
          <w:fldChar w:fldCharType="separate"/>
        </w:r>
        <w:r>
          <w:rPr>
            <w:noProof/>
            <w:webHidden/>
          </w:rPr>
          <w:t>7</w:t>
        </w:r>
        <w:r>
          <w:rPr>
            <w:noProof/>
            <w:webHidden/>
          </w:rPr>
          <w:fldChar w:fldCharType="end"/>
        </w:r>
      </w:hyperlink>
    </w:p>
    <w:p w:rsidR="002F27F6" w:rsidRDefault="002F27F6">
      <w:pPr>
        <w:pStyle w:val="TOC1"/>
        <w:tabs>
          <w:tab w:val="right" w:leader="dot" w:pos="9016"/>
        </w:tabs>
        <w:rPr>
          <w:rFonts w:eastAsiaTheme="minorEastAsia"/>
          <w:noProof/>
          <w:lang w:eastAsia="en-GB"/>
        </w:rPr>
      </w:pPr>
      <w:hyperlink w:anchor="_Toc22310694" w:history="1">
        <w:r w:rsidRPr="00494D93">
          <w:rPr>
            <w:rStyle w:val="Hyperlink"/>
            <w:noProof/>
          </w:rPr>
          <w:t>References</w:t>
        </w:r>
        <w:r>
          <w:rPr>
            <w:noProof/>
            <w:webHidden/>
          </w:rPr>
          <w:tab/>
        </w:r>
        <w:r>
          <w:rPr>
            <w:noProof/>
            <w:webHidden/>
          </w:rPr>
          <w:fldChar w:fldCharType="begin"/>
        </w:r>
        <w:r>
          <w:rPr>
            <w:noProof/>
            <w:webHidden/>
          </w:rPr>
          <w:instrText xml:space="preserve"> PAGEREF _Toc22310694 \h </w:instrText>
        </w:r>
        <w:r>
          <w:rPr>
            <w:noProof/>
            <w:webHidden/>
          </w:rPr>
        </w:r>
        <w:r>
          <w:rPr>
            <w:noProof/>
            <w:webHidden/>
          </w:rPr>
          <w:fldChar w:fldCharType="separate"/>
        </w:r>
        <w:r>
          <w:rPr>
            <w:noProof/>
            <w:webHidden/>
          </w:rPr>
          <w:t>8</w:t>
        </w:r>
        <w:r>
          <w:rPr>
            <w:noProof/>
            <w:webHidden/>
          </w:rPr>
          <w:fldChar w:fldCharType="end"/>
        </w:r>
      </w:hyperlink>
    </w:p>
    <w:p w:rsidR="002F27F6" w:rsidRDefault="002F27F6">
      <w:pPr>
        <w:pStyle w:val="TOC1"/>
        <w:tabs>
          <w:tab w:val="right" w:leader="dot" w:pos="9016"/>
        </w:tabs>
        <w:rPr>
          <w:rFonts w:eastAsiaTheme="minorEastAsia"/>
          <w:noProof/>
          <w:lang w:eastAsia="en-GB"/>
        </w:rPr>
      </w:pPr>
      <w:hyperlink w:anchor="_Toc22310695" w:history="1">
        <w:r w:rsidRPr="00494D93">
          <w:rPr>
            <w:rStyle w:val="Hyperlink"/>
            <w:noProof/>
          </w:rPr>
          <w:t>Teaching intervention cycle poster</w:t>
        </w:r>
        <w:r>
          <w:rPr>
            <w:noProof/>
            <w:webHidden/>
          </w:rPr>
          <w:tab/>
        </w:r>
        <w:r>
          <w:rPr>
            <w:noProof/>
            <w:webHidden/>
          </w:rPr>
          <w:fldChar w:fldCharType="begin"/>
        </w:r>
        <w:r>
          <w:rPr>
            <w:noProof/>
            <w:webHidden/>
          </w:rPr>
          <w:instrText xml:space="preserve"> PAGEREF _Toc22310695 \h </w:instrText>
        </w:r>
        <w:r>
          <w:rPr>
            <w:noProof/>
            <w:webHidden/>
          </w:rPr>
        </w:r>
        <w:r>
          <w:rPr>
            <w:noProof/>
            <w:webHidden/>
          </w:rPr>
          <w:fldChar w:fldCharType="separate"/>
        </w:r>
        <w:r>
          <w:rPr>
            <w:noProof/>
            <w:webHidden/>
          </w:rPr>
          <w:t>10</w:t>
        </w:r>
        <w:r>
          <w:rPr>
            <w:noProof/>
            <w:webHidden/>
          </w:rPr>
          <w:fldChar w:fldCharType="end"/>
        </w:r>
      </w:hyperlink>
    </w:p>
    <w:p w:rsidR="002F27F6" w:rsidRDefault="002F27F6">
      <w:pPr>
        <w:pStyle w:val="TOC1"/>
        <w:tabs>
          <w:tab w:val="right" w:leader="dot" w:pos="9016"/>
        </w:tabs>
        <w:rPr>
          <w:rFonts w:eastAsiaTheme="minorEastAsia"/>
          <w:noProof/>
          <w:lang w:eastAsia="en-GB"/>
        </w:rPr>
      </w:pPr>
      <w:hyperlink w:anchor="_Toc22310696" w:history="1">
        <w:r w:rsidRPr="00494D93">
          <w:rPr>
            <w:rStyle w:val="Hyperlink"/>
            <w:noProof/>
          </w:rPr>
          <w:t>Teaching Observation number 1</w:t>
        </w:r>
        <w:r>
          <w:rPr>
            <w:noProof/>
            <w:webHidden/>
          </w:rPr>
          <w:tab/>
        </w:r>
        <w:r>
          <w:rPr>
            <w:noProof/>
            <w:webHidden/>
          </w:rPr>
          <w:fldChar w:fldCharType="begin"/>
        </w:r>
        <w:r>
          <w:rPr>
            <w:noProof/>
            <w:webHidden/>
          </w:rPr>
          <w:instrText xml:space="preserve"> PAGEREF _Toc22310696 \h </w:instrText>
        </w:r>
        <w:r>
          <w:rPr>
            <w:noProof/>
            <w:webHidden/>
          </w:rPr>
        </w:r>
        <w:r>
          <w:rPr>
            <w:noProof/>
            <w:webHidden/>
          </w:rPr>
          <w:fldChar w:fldCharType="separate"/>
        </w:r>
        <w:r>
          <w:rPr>
            <w:noProof/>
            <w:webHidden/>
          </w:rPr>
          <w:t>11</w:t>
        </w:r>
        <w:r>
          <w:rPr>
            <w:noProof/>
            <w:webHidden/>
          </w:rPr>
          <w:fldChar w:fldCharType="end"/>
        </w:r>
      </w:hyperlink>
    </w:p>
    <w:p w:rsidR="002F27F6" w:rsidRDefault="002F27F6">
      <w:pPr>
        <w:pStyle w:val="TOC1"/>
        <w:tabs>
          <w:tab w:val="right" w:leader="dot" w:pos="9016"/>
        </w:tabs>
        <w:rPr>
          <w:rFonts w:eastAsiaTheme="minorEastAsia"/>
          <w:noProof/>
          <w:lang w:eastAsia="en-GB"/>
        </w:rPr>
      </w:pPr>
      <w:hyperlink w:anchor="_Toc22310697" w:history="1">
        <w:r w:rsidRPr="00494D93">
          <w:rPr>
            <w:rStyle w:val="Hyperlink"/>
            <w:noProof/>
          </w:rPr>
          <w:t>Teaching observation number 2</w:t>
        </w:r>
        <w:r>
          <w:rPr>
            <w:noProof/>
            <w:webHidden/>
          </w:rPr>
          <w:tab/>
        </w:r>
        <w:r>
          <w:rPr>
            <w:noProof/>
            <w:webHidden/>
          </w:rPr>
          <w:fldChar w:fldCharType="begin"/>
        </w:r>
        <w:r>
          <w:rPr>
            <w:noProof/>
            <w:webHidden/>
          </w:rPr>
          <w:instrText xml:space="preserve"> PAGEREF _Toc22310697 \h </w:instrText>
        </w:r>
        <w:r>
          <w:rPr>
            <w:noProof/>
            <w:webHidden/>
          </w:rPr>
        </w:r>
        <w:r>
          <w:rPr>
            <w:noProof/>
            <w:webHidden/>
          </w:rPr>
          <w:fldChar w:fldCharType="separate"/>
        </w:r>
        <w:r>
          <w:rPr>
            <w:noProof/>
            <w:webHidden/>
          </w:rPr>
          <w:t>14</w:t>
        </w:r>
        <w:r>
          <w:rPr>
            <w:noProof/>
            <w:webHidden/>
          </w:rPr>
          <w:fldChar w:fldCharType="end"/>
        </w:r>
      </w:hyperlink>
    </w:p>
    <w:p w:rsidR="002F27F6" w:rsidRDefault="002F27F6">
      <w:pPr>
        <w:pStyle w:val="TOC1"/>
        <w:tabs>
          <w:tab w:val="right" w:leader="dot" w:pos="9016"/>
        </w:tabs>
        <w:rPr>
          <w:rFonts w:eastAsiaTheme="minorEastAsia"/>
          <w:noProof/>
          <w:lang w:eastAsia="en-GB"/>
        </w:rPr>
      </w:pPr>
      <w:hyperlink w:anchor="_Toc22310698" w:history="1">
        <w:r w:rsidRPr="00494D93">
          <w:rPr>
            <w:rStyle w:val="Hyperlink"/>
            <w:noProof/>
          </w:rPr>
          <w:t>Teaching observation number 3</w:t>
        </w:r>
        <w:r>
          <w:rPr>
            <w:noProof/>
            <w:webHidden/>
          </w:rPr>
          <w:tab/>
        </w:r>
        <w:r>
          <w:rPr>
            <w:noProof/>
            <w:webHidden/>
          </w:rPr>
          <w:fldChar w:fldCharType="begin"/>
        </w:r>
        <w:r>
          <w:rPr>
            <w:noProof/>
            <w:webHidden/>
          </w:rPr>
          <w:instrText xml:space="preserve"> PAGEREF _Toc22310698 \h </w:instrText>
        </w:r>
        <w:r>
          <w:rPr>
            <w:noProof/>
            <w:webHidden/>
          </w:rPr>
        </w:r>
        <w:r>
          <w:rPr>
            <w:noProof/>
            <w:webHidden/>
          </w:rPr>
          <w:fldChar w:fldCharType="separate"/>
        </w:r>
        <w:r>
          <w:rPr>
            <w:noProof/>
            <w:webHidden/>
          </w:rPr>
          <w:t>17</w:t>
        </w:r>
        <w:r>
          <w:rPr>
            <w:noProof/>
            <w:webHidden/>
          </w:rPr>
          <w:fldChar w:fldCharType="end"/>
        </w:r>
      </w:hyperlink>
    </w:p>
    <w:p w:rsidR="002F27F6" w:rsidRDefault="002F27F6">
      <w:pPr>
        <w:pStyle w:val="TOC1"/>
        <w:tabs>
          <w:tab w:val="right" w:leader="dot" w:pos="9016"/>
        </w:tabs>
        <w:rPr>
          <w:rFonts w:eastAsiaTheme="minorEastAsia"/>
          <w:noProof/>
          <w:lang w:eastAsia="en-GB"/>
        </w:rPr>
      </w:pPr>
      <w:hyperlink w:anchor="_Toc22310699" w:history="1">
        <w:r w:rsidRPr="00494D93">
          <w:rPr>
            <w:rStyle w:val="Hyperlink"/>
            <w:noProof/>
          </w:rPr>
          <w:t>Reflective evaluation of three events – event number 1</w:t>
        </w:r>
        <w:r>
          <w:rPr>
            <w:noProof/>
            <w:webHidden/>
          </w:rPr>
          <w:tab/>
        </w:r>
        <w:r>
          <w:rPr>
            <w:noProof/>
            <w:webHidden/>
          </w:rPr>
          <w:fldChar w:fldCharType="begin"/>
        </w:r>
        <w:r>
          <w:rPr>
            <w:noProof/>
            <w:webHidden/>
          </w:rPr>
          <w:instrText xml:space="preserve"> PAGEREF _Toc22310699 \h </w:instrText>
        </w:r>
        <w:r>
          <w:rPr>
            <w:noProof/>
            <w:webHidden/>
          </w:rPr>
        </w:r>
        <w:r>
          <w:rPr>
            <w:noProof/>
            <w:webHidden/>
          </w:rPr>
          <w:fldChar w:fldCharType="separate"/>
        </w:r>
        <w:r>
          <w:rPr>
            <w:noProof/>
            <w:webHidden/>
          </w:rPr>
          <w:t>19</w:t>
        </w:r>
        <w:r>
          <w:rPr>
            <w:noProof/>
            <w:webHidden/>
          </w:rPr>
          <w:fldChar w:fldCharType="end"/>
        </w:r>
      </w:hyperlink>
    </w:p>
    <w:p w:rsidR="002F27F6" w:rsidRDefault="002F27F6">
      <w:pPr>
        <w:pStyle w:val="TOC1"/>
        <w:tabs>
          <w:tab w:val="right" w:leader="dot" w:pos="9016"/>
        </w:tabs>
        <w:rPr>
          <w:rFonts w:eastAsiaTheme="minorEastAsia"/>
          <w:noProof/>
          <w:lang w:eastAsia="en-GB"/>
        </w:rPr>
      </w:pPr>
      <w:hyperlink w:anchor="_Toc22310700" w:history="1">
        <w:r w:rsidRPr="00494D93">
          <w:rPr>
            <w:rStyle w:val="Hyperlink"/>
            <w:noProof/>
          </w:rPr>
          <w:t>Reflective evaluation of three events – event number 2</w:t>
        </w:r>
        <w:r>
          <w:rPr>
            <w:noProof/>
            <w:webHidden/>
          </w:rPr>
          <w:tab/>
        </w:r>
        <w:r>
          <w:rPr>
            <w:noProof/>
            <w:webHidden/>
          </w:rPr>
          <w:fldChar w:fldCharType="begin"/>
        </w:r>
        <w:r>
          <w:rPr>
            <w:noProof/>
            <w:webHidden/>
          </w:rPr>
          <w:instrText xml:space="preserve"> PAGEREF _Toc22310700 \h </w:instrText>
        </w:r>
        <w:r>
          <w:rPr>
            <w:noProof/>
            <w:webHidden/>
          </w:rPr>
        </w:r>
        <w:r>
          <w:rPr>
            <w:noProof/>
            <w:webHidden/>
          </w:rPr>
          <w:fldChar w:fldCharType="separate"/>
        </w:r>
        <w:r>
          <w:rPr>
            <w:noProof/>
            <w:webHidden/>
          </w:rPr>
          <w:t>20</w:t>
        </w:r>
        <w:r>
          <w:rPr>
            <w:noProof/>
            <w:webHidden/>
          </w:rPr>
          <w:fldChar w:fldCharType="end"/>
        </w:r>
      </w:hyperlink>
    </w:p>
    <w:p w:rsidR="002F27F6" w:rsidRDefault="002F27F6">
      <w:pPr>
        <w:pStyle w:val="TOC1"/>
        <w:tabs>
          <w:tab w:val="right" w:leader="dot" w:pos="9016"/>
        </w:tabs>
        <w:rPr>
          <w:rFonts w:eastAsiaTheme="minorEastAsia"/>
          <w:noProof/>
          <w:lang w:eastAsia="en-GB"/>
        </w:rPr>
      </w:pPr>
      <w:hyperlink w:anchor="_Toc22310701" w:history="1">
        <w:r w:rsidRPr="00494D93">
          <w:rPr>
            <w:rStyle w:val="Hyperlink"/>
            <w:noProof/>
          </w:rPr>
          <w:t>Reflective evaluation of three events – event number 3</w:t>
        </w:r>
        <w:r>
          <w:rPr>
            <w:noProof/>
            <w:webHidden/>
          </w:rPr>
          <w:tab/>
        </w:r>
        <w:r>
          <w:rPr>
            <w:noProof/>
            <w:webHidden/>
          </w:rPr>
          <w:fldChar w:fldCharType="begin"/>
        </w:r>
        <w:r>
          <w:rPr>
            <w:noProof/>
            <w:webHidden/>
          </w:rPr>
          <w:instrText xml:space="preserve"> PAGEREF _Toc22310701 \h </w:instrText>
        </w:r>
        <w:r>
          <w:rPr>
            <w:noProof/>
            <w:webHidden/>
          </w:rPr>
        </w:r>
        <w:r>
          <w:rPr>
            <w:noProof/>
            <w:webHidden/>
          </w:rPr>
          <w:fldChar w:fldCharType="separate"/>
        </w:r>
        <w:r>
          <w:rPr>
            <w:noProof/>
            <w:webHidden/>
          </w:rPr>
          <w:t>21</w:t>
        </w:r>
        <w:r>
          <w:rPr>
            <w:noProof/>
            <w:webHidden/>
          </w:rPr>
          <w:fldChar w:fldCharType="end"/>
        </w:r>
      </w:hyperlink>
    </w:p>
    <w:p w:rsidR="002F27F6" w:rsidRDefault="002F27F6">
      <w:pPr>
        <w:pStyle w:val="TOC1"/>
        <w:tabs>
          <w:tab w:val="right" w:leader="dot" w:pos="9016"/>
        </w:tabs>
        <w:rPr>
          <w:rFonts w:eastAsiaTheme="minorEastAsia"/>
          <w:noProof/>
          <w:lang w:eastAsia="en-GB"/>
        </w:rPr>
      </w:pPr>
      <w:hyperlink w:anchor="_Toc22310702" w:history="1">
        <w:r w:rsidRPr="00494D93">
          <w:rPr>
            <w:rStyle w:val="Hyperlink"/>
            <w:noProof/>
          </w:rPr>
          <w:t>Assessment of my development as a reflective practitioner</w:t>
        </w:r>
        <w:r>
          <w:rPr>
            <w:noProof/>
            <w:webHidden/>
          </w:rPr>
          <w:tab/>
        </w:r>
        <w:r>
          <w:rPr>
            <w:noProof/>
            <w:webHidden/>
          </w:rPr>
          <w:fldChar w:fldCharType="begin"/>
        </w:r>
        <w:r>
          <w:rPr>
            <w:noProof/>
            <w:webHidden/>
          </w:rPr>
          <w:instrText xml:space="preserve"> PAGEREF _Toc22310702 \h </w:instrText>
        </w:r>
        <w:r>
          <w:rPr>
            <w:noProof/>
            <w:webHidden/>
          </w:rPr>
        </w:r>
        <w:r>
          <w:rPr>
            <w:noProof/>
            <w:webHidden/>
          </w:rPr>
          <w:fldChar w:fldCharType="separate"/>
        </w:r>
        <w:r>
          <w:rPr>
            <w:noProof/>
            <w:webHidden/>
          </w:rPr>
          <w:t>22</w:t>
        </w:r>
        <w:r>
          <w:rPr>
            <w:noProof/>
            <w:webHidden/>
          </w:rPr>
          <w:fldChar w:fldCharType="end"/>
        </w:r>
      </w:hyperlink>
    </w:p>
    <w:p w:rsidR="00FB6F97" w:rsidRDefault="00B45F90">
      <w:pPr>
        <w:rPr>
          <w:rFonts w:asciiTheme="majorHAnsi" w:eastAsiaTheme="majorEastAsia" w:hAnsiTheme="majorHAnsi" w:cstheme="majorBidi"/>
          <w:color w:val="2E74B5" w:themeColor="accent1" w:themeShade="BF"/>
          <w:sz w:val="32"/>
          <w:szCs w:val="32"/>
          <w:lang w:val="en-US"/>
        </w:rPr>
      </w:pPr>
      <w:r>
        <w:fldChar w:fldCharType="end"/>
      </w:r>
      <w:r w:rsidR="00FB6F97">
        <w:br w:type="page"/>
      </w:r>
      <w:bookmarkStart w:id="1" w:name="_GoBack"/>
      <w:bookmarkEnd w:id="1"/>
    </w:p>
    <w:p w:rsidR="00EA5466" w:rsidRDefault="00F933D6" w:rsidP="000E3843">
      <w:pPr>
        <w:pStyle w:val="Heading1"/>
        <w:jc w:val="both"/>
      </w:pPr>
      <w:bookmarkStart w:id="2" w:name="_Toc22310686"/>
      <w:r>
        <w:lastRenderedPageBreak/>
        <w:t>Teaching Intervention Cycle (report): Adaptation of The Modern World module</w:t>
      </w:r>
      <w:bookmarkEnd w:id="2"/>
      <w:r>
        <w:t xml:space="preserve"> </w:t>
      </w:r>
    </w:p>
    <w:p w:rsidR="00F933D6" w:rsidRDefault="00F933D6" w:rsidP="00B45F90">
      <w:pPr>
        <w:pStyle w:val="Heading2"/>
      </w:pPr>
      <w:bookmarkStart w:id="3" w:name="_Toc22310687"/>
      <w:r>
        <w:t>Abstract</w:t>
      </w:r>
      <w:bookmarkEnd w:id="3"/>
    </w:p>
    <w:p w:rsidR="009D2C4F" w:rsidRDefault="007D32EC" w:rsidP="00B715BC">
      <w:pPr>
        <w:jc w:val="both"/>
      </w:pPr>
      <w:r>
        <w:t>This reflective report presents the findings of a teaching</w:t>
      </w:r>
      <w:r w:rsidR="00F900AA">
        <w:t xml:space="preserve"> intervention study based on the Modern World module.  </w:t>
      </w:r>
      <w:r w:rsidR="007B4F50">
        <w:t>From its initial inception, the module was delivered in a block approach, which was disjointed, failed to maintain engagement with the students or cover the full syllabus.  Rationalisation of delivery occurred, taking the module to a standard week-by-week approach and introducing aspects of academic practice (previously omitted), as well as developing pedagogical approach with an Education for Sustainability lens applied.  Results show that the module is better considered, it has far better engagement at student level and has assisted with the integration of Education for Sustainability across an architectural course.</w:t>
      </w:r>
    </w:p>
    <w:p w:rsidR="00F933D6" w:rsidRDefault="00F933D6" w:rsidP="00B45F90">
      <w:pPr>
        <w:pStyle w:val="Heading2"/>
      </w:pPr>
      <w:bookmarkStart w:id="4" w:name="_Toc22310688"/>
      <w:r>
        <w:t>Introduction</w:t>
      </w:r>
      <w:bookmarkEnd w:id="4"/>
    </w:p>
    <w:p w:rsidR="00F933D6" w:rsidRDefault="00F933D6" w:rsidP="00F933D6">
      <w:pPr>
        <w:jc w:val="both"/>
      </w:pPr>
      <w:r>
        <w:t xml:space="preserve">This report describes a teaching intervention cycle, delivered at UWTSD Swansea campus across the academic year of 2018/19.  </w:t>
      </w:r>
      <w:r w:rsidR="00E06DFC">
        <w:t>This is in fulfilment of module UNHE 7002.  This is the first year that I have been involved in the delivery of the module on which this is based (The Modern World).  From a teaching intervention basis, this allows me to draw on subject specialism to provide a wider basis of learning for the students of the module.  It also allows the module to be developed in line with appropriate pedagogical methods for the study of a science-based module</w:t>
      </w:r>
      <w:r w:rsidR="005C28DA">
        <w:t>, with an Education for Sustainability lens applied throughout</w:t>
      </w:r>
      <w:r w:rsidR="00E06DFC">
        <w:t>.</w:t>
      </w:r>
    </w:p>
    <w:p w:rsidR="00E06DFC" w:rsidRDefault="00E06DFC" w:rsidP="00B45F90">
      <w:pPr>
        <w:pStyle w:val="Heading2"/>
      </w:pPr>
      <w:bookmarkStart w:id="5" w:name="_Toc22310689"/>
      <w:r>
        <w:t>Background to the teaching intervention cycle</w:t>
      </w:r>
      <w:bookmarkEnd w:id="5"/>
    </w:p>
    <w:p w:rsidR="00E06DFC" w:rsidRDefault="00DC3D72" w:rsidP="00F933D6">
      <w:pPr>
        <w:jc w:val="both"/>
      </w:pPr>
      <w:r>
        <w:t>The Modern World is a first year BSc Architecture module</w:t>
      </w:r>
      <w:r w:rsidR="00BE40A9">
        <w:t>, on an ARB accredited course (currently recommended for accreditation)</w:t>
      </w:r>
      <w:r>
        <w:t xml:space="preserve">.  The key emphasis on this module is to provide understanding on key issues relating to the ‘modern world’ but that assist in decision making processes in regards to the inception, design and construction of the built environment.  In the main, topics include sustainability, resources, philosophy, etc.  As a second strand to this module, there is also the inclusion of academic practice, including issues relating to what is good academic practice, referencing and plagiarism.  </w:t>
      </w:r>
      <w:r w:rsidR="00B5614E">
        <w:t xml:space="preserve">In the initial development and delivery of this module (first run during 2016/17 academic year), this was delivered as a block week.  Four key topics were covered, each of which for the duration of one week and spread throughout the academic year.  Within this delivery method, there was no inclusion of academic practice or rigour.  </w:t>
      </w:r>
      <w:r w:rsidR="00215640">
        <w:t>According to the BSc Architecture Definitive Programme Document (DPD), block delivery is designed to be delivered in distinct two week blocks</w:t>
      </w:r>
      <w:sdt>
        <w:sdtPr>
          <w:id w:val="153732137"/>
          <w:citation/>
        </w:sdtPr>
        <w:sdtContent>
          <w:r w:rsidR="00215640">
            <w:fldChar w:fldCharType="begin"/>
          </w:r>
          <w:r w:rsidR="00215640">
            <w:instrText xml:space="preserve"> CITATION UWT15 \l 2057 </w:instrText>
          </w:r>
          <w:r w:rsidR="00215640">
            <w:fldChar w:fldCharType="separate"/>
          </w:r>
          <w:r w:rsidR="00B45F90">
            <w:rPr>
              <w:noProof/>
            </w:rPr>
            <w:t xml:space="preserve"> </w:t>
          </w:r>
          <w:r w:rsidR="00B45F90" w:rsidRPr="00B45F90">
            <w:rPr>
              <w:noProof/>
            </w:rPr>
            <w:t>(UWTSD, 2015)</w:t>
          </w:r>
          <w:r w:rsidR="00215640">
            <w:fldChar w:fldCharType="end"/>
          </w:r>
        </w:sdtContent>
      </w:sdt>
      <w:r w:rsidR="00215640">
        <w:t xml:space="preserve">.  </w:t>
      </w:r>
      <w:r w:rsidR="00711E69">
        <w:t>However, in reality, delivery occurred across a single week per topic as mentioned above</w:t>
      </w:r>
      <w:r w:rsidR="005C28DA">
        <w:t>, by removing first years from studio teaching for the 4 distinct weeks</w:t>
      </w:r>
      <w:r w:rsidR="00711E69">
        <w:t>.</w:t>
      </w:r>
      <w:r w:rsidR="005C28DA">
        <w:t xml:space="preserve">  </w:t>
      </w:r>
      <w:r w:rsidR="007B4F50">
        <w:t>The sessions were delivered across terms 1 and 2; t</w:t>
      </w:r>
      <w:r w:rsidR="005C28DA">
        <w:t xml:space="preserve">utorial time was also included in the week after the main delivery weeks, as well as guidance prior to the final topic week session.  </w:t>
      </w:r>
    </w:p>
    <w:p w:rsidR="002D5AD4" w:rsidRDefault="002D5AD4" w:rsidP="00B45F90">
      <w:pPr>
        <w:pStyle w:val="Heading2"/>
      </w:pPr>
      <w:bookmarkStart w:id="6" w:name="_Toc22310690"/>
      <w:r>
        <w:t>Literature review</w:t>
      </w:r>
      <w:bookmarkEnd w:id="6"/>
      <w:r>
        <w:t xml:space="preserve"> </w:t>
      </w:r>
    </w:p>
    <w:p w:rsidR="009F3F97" w:rsidRDefault="009F3F97" w:rsidP="00F933D6">
      <w:pPr>
        <w:jc w:val="both"/>
      </w:pPr>
      <w:r>
        <w:t>Architecture, as a field of education, is highly interdisciplinary</w:t>
      </w:r>
      <w:r w:rsidR="0026441F">
        <w:t>, requiring coverage of a range of topics covering social and physical sciences, creative arts and technology</w:t>
      </w:r>
      <w:sdt>
        <w:sdtPr>
          <w:id w:val="-796532977"/>
          <w:citation/>
        </w:sdtPr>
        <w:sdtContent>
          <w:r>
            <w:fldChar w:fldCharType="begin"/>
          </w:r>
          <w:r>
            <w:instrText xml:space="preserve"> CITATION Naz15 \l 2057 </w:instrText>
          </w:r>
          <w:r>
            <w:fldChar w:fldCharType="separate"/>
          </w:r>
          <w:r w:rsidR="00B45F90">
            <w:rPr>
              <w:noProof/>
            </w:rPr>
            <w:t xml:space="preserve"> </w:t>
          </w:r>
          <w:r w:rsidR="00B45F90" w:rsidRPr="00B45F90">
            <w:rPr>
              <w:noProof/>
            </w:rPr>
            <w:t>(Nazidizaji, et al., 2015)</w:t>
          </w:r>
          <w:r>
            <w:fldChar w:fldCharType="end"/>
          </w:r>
        </w:sdtContent>
      </w:sdt>
      <w:r w:rsidR="0026441F">
        <w:t xml:space="preserve">.  </w:t>
      </w:r>
      <w:r w:rsidR="00537442">
        <w:t xml:space="preserve">Whilst the key building blocks of its education must be design related, there is also the need to incorporate issues relating to the modern world.  </w:t>
      </w:r>
      <w:r w:rsidR="00882964">
        <w:t xml:space="preserve">The need for ‘sustainability’ in the built environment is essential, not only in environmental terms (e.g. effective resource use), but also in economic and social terms (in particular, ensuring those whom are vulnerable have safe spaces to call home, along with having the appropriate infrastructure to help lead more sustainable lives) </w:t>
      </w:r>
      <w:sdt>
        <w:sdtPr>
          <w:id w:val="1089280199"/>
          <w:citation/>
        </w:sdtPr>
        <w:sdtContent>
          <w:r w:rsidR="00882964">
            <w:fldChar w:fldCharType="begin"/>
          </w:r>
          <w:r w:rsidR="00882964">
            <w:instrText xml:space="preserve"> CITATION Int18 \l 2057 </w:instrText>
          </w:r>
          <w:r w:rsidR="00882964">
            <w:fldChar w:fldCharType="separate"/>
          </w:r>
          <w:r w:rsidR="00B45F90" w:rsidRPr="00B45F90">
            <w:rPr>
              <w:noProof/>
            </w:rPr>
            <w:t>(International Union of Architects, 2018)</w:t>
          </w:r>
          <w:r w:rsidR="00882964">
            <w:fldChar w:fldCharType="end"/>
          </w:r>
        </w:sdtContent>
      </w:sdt>
      <w:r w:rsidR="00882964">
        <w:t xml:space="preserve">.   </w:t>
      </w:r>
      <w:r w:rsidR="00537442">
        <w:t>The teaching of sustainability therefore is critical</w:t>
      </w:r>
      <w:r w:rsidR="007A767C">
        <w:t xml:space="preserve">; especially given the RIBA’s recent decision </w:t>
      </w:r>
      <w:r w:rsidR="007A767C">
        <w:lastRenderedPageBreak/>
        <w:t xml:space="preserve">to declare a climate emergency </w:t>
      </w:r>
      <w:sdt>
        <w:sdtPr>
          <w:id w:val="938955798"/>
          <w:citation/>
        </w:sdtPr>
        <w:sdtContent>
          <w:r w:rsidR="007A767C">
            <w:fldChar w:fldCharType="begin"/>
          </w:r>
          <w:r w:rsidR="007A767C">
            <w:instrText xml:space="preserve"> CITATION Wil19 \l 2057 </w:instrText>
          </w:r>
          <w:r w:rsidR="007A767C">
            <w:fldChar w:fldCharType="separate"/>
          </w:r>
          <w:r w:rsidR="00B45F90" w:rsidRPr="00B45F90">
            <w:rPr>
              <w:noProof/>
            </w:rPr>
            <w:t>(Hurst, 2019)</w:t>
          </w:r>
          <w:r w:rsidR="007A767C">
            <w:fldChar w:fldCharType="end"/>
          </w:r>
        </w:sdtContent>
      </w:sdt>
      <w:r w:rsidR="007A767C">
        <w:t xml:space="preserve">.  </w:t>
      </w:r>
      <w:r w:rsidR="00882964">
        <w:t xml:space="preserve">In this context, teaching on such issues should include energy in buildings (including energy consumption and efficiency, the concept of Zero Energy Buildings and so on), but also wider sustainability contexts to enable students to think more critically about the world around them.  What should also be understood are some of the inherent challenges of inclusion of such topics in an already varied educational framework, including such subjects as being ‘peripheral’ to the main context of the teaching, a lack of support or specialist tutors to appropriately teach such subject matter </w:t>
      </w:r>
      <w:sdt>
        <w:sdtPr>
          <w:id w:val="-1525702645"/>
          <w:citation/>
        </w:sdtPr>
        <w:sdtContent>
          <w:r w:rsidR="00882964">
            <w:fldChar w:fldCharType="begin"/>
          </w:r>
          <w:r w:rsidR="00882964">
            <w:instrText xml:space="preserve"> CITATION Tal11 \l 2057 </w:instrText>
          </w:r>
          <w:r w:rsidR="00882964">
            <w:fldChar w:fldCharType="separate"/>
          </w:r>
          <w:r w:rsidR="00B45F90" w:rsidRPr="00B45F90">
            <w:rPr>
              <w:noProof/>
            </w:rPr>
            <w:t>(Taleghani, et al., 2011)</w:t>
          </w:r>
          <w:r w:rsidR="00882964">
            <w:fldChar w:fldCharType="end"/>
          </w:r>
        </w:sdtContent>
      </w:sdt>
      <w:r w:rsidR="002840EE">
        <w:t xml:space="preserve">.  </w:t>
      </w:r>
      <w:r w:rsidR="007775DB">
        <w:t>It is also worth noting that in a survey carried out by the Royal Institute of British Architects</w:t>
      </w:r>
      <w:r w:rsidR="005102A9">
        <w:t xml:space="preserve"> (2012) that employer’s expectations of sustainability knowledge are higher than those of students studying on a Part 1 course </w:t>
      </w:r>
      <w:sdt>
        <w:sdtPr>
          <w:id w:val="1996682574"/>
          <w:citation/>
        </w:sdtPr>
        <w:sdtContent>
          <w:r w:rsidR="005102A9">
            <w:fldChar w:fldCharType="begin"/>
          </w:r>
          <w:r w:rsidR="005102A9">
            <w:instrText xml:space="preserve"> CITATION RIB14 \l 2057 </w:instrText>
          </w:r>
          <w:r w:rsidR="005102A9">
            <w:fldChar w:fldCharType="separate"/>
          </w:r>
          <w:r w:rsidR="00B45F90" w:rsidRPr="00B45F90">
            <w:rPr>
              <w:noProof/>
            </w:rPr>
            <w:t>(RIBA, 2014)</w:t>
          </w:r>
          <w:r w:rsidR="005102A9">
            <w:fldChar w:fldCharType="end"/>
          </w:r>
        </w:sdtContent>
      </w:sdt>
      <w:r w:rsidR="005102A9">
        <w:t>.</w:t>
      </w:r>
    </w:p>
    <w:p w:rsidR="003E1E03" w:rsidRDefault="004D450C" w:rsidP="00F933D6">
      <w:pPr>
        <w:jc w:val="both"/>
      </w:pPr>
      <w:r>
        <w:t>The level of integration of sustainability / environmental issues into architectural education varies.  Whilst it is fair to say that the Architects Registration Board strive to ensure that architecture assists in bettering the environment, any environmental knowledge is still considered as a ‘peripheral’</w:t>
      </w:r>
      <w:sdt>
        <w:sdtPr>
          <w:id w:val="1677460038"/>
          <w:citation/>
        </w:sdtPr>
        <w:sdtContent>
          <w:r>
            <w:fldChar w:fldCharType="begin"/>
          </w:r>
          <w:r>
            <w:instrText xml:space="preserve"> CITATION Alt09 \l 2057 </w:instrText>
          </w:r>
          <w:r>
            <w:fldChar w:fldCharType="separate"/>
          </w:r>
          <w:r w:rsidR="00B45F90">
            <w:rPr>
              <w:noProof/>
            </w:rPr>
            <w:t xml:space="preserve"> </w:t>
          </w:r>
          <w:r w:rsidR="00B45F90" w:rsidRPr="00B45F90">
            <w:rPr>
              <w:noProof/>
            </w:rPr>
            <w:t>(Altomonte, 2009)</w:t>
          </w:r>
          <w:r>
            <w:fldChar w:fldCharType="end"/>
          </w:r>
        </w:sdtContent>
      </w:sdt>
      <w:r>
        <w:t xml:space="preserve">.   </w:t>
      </w:r>
      <w:r w:rsidR="004121EB">
        <w:t>Contemporary</w:t>
      </w:r>
      <w:r>
        <w:t xml:space="preserve"> architectural education has changed little over </w:t>
      </w:r>
      <w:r w:rsidR="004121EB">
        <w:t>the decades, being focused on studio with additional lectures and coursework to integrate the varying topics, although with limited success in fully integrating sustainability based issues into the design aspect</w:t>
      </w:r>
      <w:r w:rsidR="003E1E03">
        <w:t xml:space="preserve">, and based on a ‘traditional’ approach </w:t>
      </w:r>
      <w:sdt>
        <w:sdtPr>
          <w:id w:val="-325512940"/>
          <w:citation/>
        </w:sdtPr>
        <w:sdtContent>
          <w:r w:rsidR="003E1E03">
            <w:fldChar w:fldCharType="begin"/>
          </w:r>
          <w:r w:rsidR="003E1E03">
            <w:instrText xml:space="preserve"> CITATION Rut06 \l 2057 </w:instrText>
          </w:r>
          <w:r w:rsidR="003E1E03">
            <w:fldChar w:fldCharType="separate"/>
          </w:r>
          <w:r w:rsidR="00B45F90" w:rsidRPr="00B45F90">
            <w:rPr>
              <w:noProof/>
            </w:rPr>
            <w:t>(Rutherford &amp; Wilson, 2006)</w:t>
          </w:r>
          <w:r w:rsidR="003E1E03">
            <w:fldChar w:fldCharType="end"/>
          </w:r>
        </w:sdtContent>
      </w:sdt>
      <w:r w:rsidR="003E1E03">
        <w:t xml:space="preserve">.  The challenge therefore, is to integrate ‘sustainability’, and provide frameworks to enable assimilation of the learning into cognitive schema (Warburton, 2003, cited in </w:t>
      </w:r>
      <w:r w:rsidR="003E1E03" w:rsidRPr="003E1E03">
        <w:rPr>
          <w:noProof/>
        </w:rPr>
        <w:t>Rutherford &amp; Wilson, 2006</w:t>
      </w:r>
      <w:r w:rsidR="00F50D6C">
        <w:rPr>
          <w:noProof/>
        </w:rPr>
        <w:t>, and Altomonte, 2009</w:t>
      </w:r>
      <w:r w:rsidR="003E1E03" w:rsidRPr="003E1E03">
        <w:rPr>
          <w:noProof/>
        </w:rPr>
        <w:t>)</w:t>
      </w:r>
      <w:r w:rsidR="003E1E03">
        <w:rPr>
          <w:noProof/>
        </w:rPr>
        <w:t xml:space="preserve">. </w:t>
      </w:r>
      <w:r w:rsidR="003E1E03">
        <w:t xml:space="preserve"> </w:t>
      </w:r>
    </w:p>
    <w:p w:rsidR="00733C2E" w:rsidRDefault="00733C2E" w:rsidP="00F933D6">
      <w:pPr>
        <w:jc w:val="both"/>
      </w:pPr>
      <w:r>
        <w:t>There are differing models of integration of sustainability into architectural studies</w:t>
      </w:r>
      <w:r w:rsidR="00EE2D81">
        <w:t xml:space="preserve">, as defined by </w:t>
      </w:r>
      <w:r w:rsidR="00852FD2">
        <w:t xml:space="preserve">the EDUCATE project </w:t>
      </w:r>
      <w:sdt>
        <w:sdtPr>
          <w:id w:val="-1616748101"/>
          <w:citation/>
        </w:sdtPr>
        <w:sdtContent>
          <w:r w:rsidR="00852FD2">
            <w:fldChar w:fldCharType="begin"/>
          </w:r>
          <w:r w:rsidR="00852FD2">
            <w:instrText xml:space="preserve"> CITATION Alt12 \l 2057 </w:instrText>
          </w:r>
          <w:r w:rsidR="00852FD2">
            <w:fldChar w:fldCharType="separate"/>
          </w:r>
          <w:r w:rsidR="00B45F90" w:rsidRPr="00B45F90">
            <w:rPr>
              <w:noProof/>
            </w:rPr>
            <w:t>(Altomonte, 2012)</w:t>
          </w:r>
          <w:r w:rsidR="00852FD2">
            <w:fldChar w:fldCharType="end"/>
          </w:r>
        </w:sdtContent>
      </w:sdt>
      <w:r w:rsidR="00852FD2">
        <w:t>; these being linear (or parallel), partially integrated, fully integrated, iterative and elective (or minor)</w:t>
      </w:r>
      <w:r w:rsidR="00EE2D81">
        <w:t xml:space="preserve">.  Many UK Schools of Architecture take a linear approach to integrating sustainability, especially in Year 1 </w:t>
      </w:r>
      <w:sdt>
        <w:sdtPr>
          <w:id w:val="-547458685"/>
          <w:citation/>
        </w:sdtPr>
        <w:sdtContent>
          <w:r w:rsidR="00EE2D81">
            <w:fldChar w:fldCharType="begin"/>
          </w:r>
          <w:r w:rsidR="00EE2D81">
            <w:instrText xml:space="preserve"> CITATION Ism17 \l 2057 </w:instrText>
          </w:r>
          <w:r w:rsidR="00EE2D81">
            <w:fldChar w:fldCharType="separate"/>
          </w:r>
          <w:r w:rsidR="00B45F90" w:rsidRPr="00B45F90">
            <w:rPr>
              <w:noProof/>
            </w:rPr>
            <w:t>(Ismail, et al., 2017)</w:t>
          </w:r>
          <w:r w:rsidR="00EE2D81">
            <w:fldChar w:fldCharType="end"/>
          </w:r>
        </w:sdtContent>
      </w:sdt>
      <w:r w:rsidR="00EE2D81">
        <w:t>, then further integration going into Years 2 and 3, and being fully integrated by Masters level.</w:t>
      </w:r>
      <w:r w:rsidR="00D50756">
        <w:t xml:space="preserve">  </w:t>
      </w:r>
      <w:r w:rsidR="00852FD2">
        <w:t>Whichever model is utilised, there is a need to move from a ‘standard’ didactic (whereby the tutor is the expert and the students are receptors of knowledge)</w:t>
      </w:r>
      <w:r w:rsidR="00BB70A2">
        <w:t xml:space="preserve"> </w:t>
      </w:r>
      <w:sdt>
        <w:sdtPr>
          <w:id w:val="2007175209"/>
          <w:citation/>
        </w:sdtPr>
        <w:sdtContent>
          <w:r w:rsidR="00BB70A2">
            <w:fldChar w:fldCharType="begin"/>
          </w:r>
          <w:r w:rsidR="00BB70A2">
            <w:instrText xml:space="preserve"> CITATION Ban05 \l 2057 </w:instrText>
          </w:r>
          <w:r w:rsidR="00BB70A2">
            <w:fldChar w:fldCharType="separate"/>
          </w:r>
          <w:r w:rsidR="00B45F90" w:rsidRPr="00B45F90">
            <w:rPr>
              <w:noProof/>
            </w:rPr>
            <w:t>(Banning, 2005)</w:t>
          </w:r>
          <w:r w:rsidR="00BB70A2">
            <w:fldChar w:fldCharType="end"/>
          </w:r>
        </w:sdtContent>
      </w:sdt>
      <w:r w:rsidR="00852FD2">
        <w:t xml:space="preserve"> or ‘left brain thinking’ approach </w:t>
      </w:r>
      <w:sdt>
        <w:sdtPr>
          <w:id w:val="-414626936"/>
          <w:citation/>
        </w:sdtPr>
        <w:sdtContent>
          <w:r w:rsidR="006E32ED">
            <w:fldChar w:fldCharType="begin"/>
          </w:r>
          <w:r w:rsidR="006E32ED">
            <w:instrText xml:space="preserve"> CITATION Alt12 \l 2057 </w:instrText>
          </w:r>
          <w:r w:rsidR="006E32ED">
            <w:fldChar w:fldCharType="separate"/>
          </w:r>
          <w:r w:rsidR="00B45F90" w:rsidRPr="00B45F90">
            <w:rPr>
              <w:noProof/>
            </w:rPr>
            <w:t>(Altomonte, 2012)</w:t>
          </w:r>
          <w:r w:rsidR="006E32ED">
            <w:fldChar w:fldCharType="end"/>
          </w:r>
        </w:sdtContent>
      </w:sdt>
      <w:r w:rsidR="006E32ED">
        <w:t xml:space="preserve"> </w:t>
      </w:r>
      <w:r w:rsidR="00852FD2">
        <w:t xml:space="preserve">towards </w:t>
      </w:r>
      <w:r w:rsidR="006E32ED">
        <w:t xml:space="preserve">a richer and </w:t>
      </w:r>
      <w:r w:rsidR="00852FD2">
        <w:t xml:space="preserve">more </w:t>
      </w:r>
      <w:r w:rsidR="006E32ED">
        <w:t xml:space="preserve">‘whole-brain’ approach to embrace the right-side brain and its incorporation of critical and creative thinking </w:t>
      </w:r>
      <w:r w:rsidR="006E32ED">
        <w:rPr>
          <w:noProof/>
        </w:rPr>
        <w:t xml:space="preserve">(Altomonte, 2012; </w:t>
      </w:r>
      <w:r w:rsidR="006E32ED" w:rsidRPr="006E32ED">
        <w:rPr>
          <w:noProof/>
        </w:rPr>
        <w:t>Rutherford &amp; Wilson, 2006)</w:t>
      </w:r>
      <w:r w:rsidR="006E32ED">
        <w:rPr>
          <w:noProof/>
        </w:rPr>
        <w:t xml:space="preserve">.  </w:t>
      </w:r>
    </w:p>
    <w:p w:rsidR="006513DD" w:rsidRDefault="006513DD" w:rsidP="00F933D6">
      <w:pPr>
        <w:jc w:val="both"/>
      </w:pPr>
      <w:r>
        <w:t xml:space="preserve">The pedagogical approach outlined by </w:t>
      </w:r>
      <w:r w:rsidR="0064670B">
        <w:t xml:space="preserve">Dewey (1938) appears </w:t>
      </w:r>
      <w:r>
        <w:t>highly</w:t>
      </w:r>
      <w:r w:rsidR="0064670B">
        <w:t xml:space="preserve"> relevant for architectural education.  In this approach, the focus is on a “learning-centred pedagogy” and “progressive education”</w:t>
      </w:r>
      <w:r w:rsidR="001A3836">
        <w:rPr>
          <w:noProof/>
        </w:rPr>
        <w:t xml:space="preserve"> </w:t>
      </w:r>
      <w:r w:rsidR="001A3836" w:rsidRPr="0064670B">
        <w:rPr>
          <w:noProof/>
        </w:rPr>
        <w:t>(Aubrey &amp; Riley, 2016</w:t>
      </w:r>
      <w:r w:rsidR="001A3836">
        <w:rPr>
          <w:noProof/>
        </w:rPr>
        <w:t>, p8&amp;9</w:t>
      </w:r>
      <w:r w:rsidR="001A3836" w:rsidRPr="0064670B">
        <w:rPr>
          <w:noProof/>
        </w:rPr>
        <w:t>)</w:t>
      </w:r>
      <w:r w:rsidR="0064670B">
        <w:t xml:space="preserve">.  The teachers becoming facilitators, providing the basis for students to then be encouraged to build upon their personal interests in various areas.  </w:t>
      </w:r>
      <w:r w:rsidR="001A3836">
        <w:t xml:space="preserve">The learning cycle should then be used as a cycle of experience; so that lessons are planned based on observation and reflection from experience of both the teacher and students </w:t>
      </w:r>
      <w:sdt>
        <w:sdtPr>
          <w:id w:val="-820734228"/>
          <w:citation/>
        </w:sdtPr>
        <w:sdtContent>
          <w:r w:rsidR="001A3836">
            <w:fldChar w:fldCharType="begin"/>
          </w:r>
          <w:r w:rsidR="001A3836">
            <w:instrText xml:space="preserve"> CITATION Aub16 \l 2057 </w:instrText>
          </w:r>
          <w:r w:rsidR="001A3836">
            <w:fldChar w:fldCharType="separate"/>
          </w:r>
          <w:r w:rsidR="00B45F90" w:rsidRPr="00B45F90">
            <w:rPr>
              <w:noProof/>
            </w:rPr>
            <w:t>(Aubrey &amp; Riley, 2016)</w:t>
          </w:r>
          <w:r w:rsidR="001A3836">
            <w:fldChar w:fldCharType="end"/>
          </w:r>
        </w:sdtContent>
      </w:sdt>
      <w:r w:rsidR="001A3836">
        <w:t>.</w:t>
      </w:r>
      <w:r w:rsidR="00250DD7">
        <w:t xml:space="preserve">  </w:t>
      </w:r>
      <w:r>
        <w:t xml:space="preserve">This approach appears to marry the need to consider the provision of fact (a more didactic approach) with the need to enable students to explore their creativity (and so moving away from a hemispherical approach to learning) (Warburton, 2003, cited in </w:t>
      </w:r>
      <w:r w:rsidRPr="003E1E03">
        <w:rPr>
          <w:noProof/>
        </w:rPr>
        <w:t>Rutherford &amp; Wilson, 2006</w:t>
      </w:r>
      <w:r>
        <w:rPr>
          <w:noProof/>
        </w:rPr>
        <w:t>, and Altomonte, 2009</w:t>
      </w:r>
      <w:r w:rsidRPr="003E1E03">
        <w:rPr>
          <w:noProof/>
        </w:rPr>
        <w:t>)</w:t>
      </w:r>
      <w:r>
        <w:rPr>
          <w:noProof/>
        </w:rPr>
        <w:t xml:space="preserve">. </w:t>
      </w:r>
      <w:r>
        <w:t xml:space="preserve"> </w:t>
      </w:r>
    </w:p>
    <w:p w:rsidR="00B938C1" w:rsidRDefault="00B938C1" w:rsidP="00F933D6">
      <w:pPr>
        <w:jc w:val="both"/>
      </w:pPr>
      <w:r>
        <w:t xml:space="preserve">The Education for Sustainability </w:t>
      </w:r>
      <w:r w:rsidR="004801C3">
        <w:t>(</w:t>
      </w:r>
      <w:proofErr w:type="spellStart"/>
      <w:r w:rsidR="004801C3">
        <w:t>EfS</w:t>
      </w:r>
      <w:proofErr w:type="spellEnd"/>
      <w:r w:rsidR="004801C3">
        <w:t xml:space="preserve">) </w:t>
      </w:r>
      <w:r>
        <w:t xml:space="preserve">agenda is also relevant in approaches to facilitate integration of the issues into architectural education.  </w:t>
      </w:r>
      <w:r w:rsidR="004801C3">
        <w:t>This particular agenda, which arose in the early 1990s (in particular from the Earth Summit in Rio de Janeiro in 1992) highlights the need for education to assist in achieving sustainable development</w:t>
      </w:r>
      <w:sdt>
        <w:sdtPr>
          <w:id w:val="-1419326825"/>
          <w:citation/>
        </w:sdtPr>
        <w:sdtContent>
          <w:r w:rsidR="004801C3">
            <w:fldChar w:fldCharType="begin"/>
          </w:r>
          <w:r w:rsidR="004801C3">
            <w:instrText xml:space="preserve"> CITATION Swe19 \l 2057 </w:instrText>
          </w:r>
          <w:r w:rsidR="004801C3">
            <w:fldChar w:fldCharType="separate"/>
          </w:r>
          <w:r w:rsidR="00B45F90">
            <w:rPr>
              <w:noProof/>
            </w:rPr>
            <w:t xml:space="preserve"> </w:t>
          </w:r>
          <w:r w:rsidR="00B45F90" w:rsidRPr="00B45F90">
            <w:rPr>
              <w:noProof/>
            </w:rPr>
            <w:t>(Swee &amp; Beasy, 2019)</w:t>
          </w:r>
          <w:r w:rsidR="004801C3">
            <w:fldChar w:fldCharType="end"/>
          </w:r>
        </w:sdtContent>
      </w:sdt>
      <w:r w:rsidR="004801C3">
        <w:t xml:space="preserve">. </w:t>
      </w:r>
      <w:proofErr w:type="spellStart"/>
      <w:r w:rsidR="004801C3">
        <w:t>EfS</w:t>
      </w:r>
      <w:proofErr w:type="spellEnd"/>
      <w:r w:rsidR="004801C3">
        <w:t xml:space="preserve"> lends itself to experiential learning (Kolb</w:t>
      </w:r>
      <w:r w:rsidR="007F2B54">
        <w:t>, 2014 as cited in</w:t>
      </w:r>
      <w:r w:rsidR="004801C3">
        <w:t xml:space="preserve"> </w:t>
      </w:r>
      <w:r w:rsidR="007F2B54">
        <w:rPr>
          <w:noProof/>
        </w:rPr>
        <w:t>Swee &amp; Beasy, 2019</w:t>
      </w:r>
      <w:r w:rsidR="004801C3">
        <w:t>)</w:t>
      </w:r>
      <w:r w:rsidR="0004588A">
        <w:t>, but is also suggested to take a 3-step approach to assist movement to a ‘whole-brain’ learning approach:</w:t>
      </w:r>
    </w:p>
    <w:p w:rsidR="0004588A" w:rsidRDefault="0004588A" w:rsidP="0004588A">
      <w:pPr>
        <w:pStyle w:val="ListParagraph"/>
        <w:numPr>
          <w:ilvl w:val="0"/>
          <w:numId w:val="1"/>
        </w:numPr>
        <w:jc w:val="both"/>
      </w:pPr>
      <w:r>
        <w:t>Sensitisation</w:t>
      </w:r>
    </w:p>
    <w:p w:rsidR="0004588A" w:rsidRDefault="0004588A" w:rsidP="0004588A">
      <w:pPr>
        <w:pStyle w:val="ListParagraph"/>
        <w:numPr>
          <w:ilvl w:val="0"/>
          <w:numId w:val="1"/>
        </w:numPr>
        <w:jc w:val="both"/>
      </w:pPr>
      <w:r>
        <w:t>Validation</w:t>
      </w:r>
    </w:p>
    <w:p w:rsidR="0004588A" w:rsidRDefault="0004588A" w:rsidP="0004588A">
      <w:pPr>
        <w:pStyle w:val="ListParagraph"/>
        <w:numPr>
          <w:ilvl w:val="0"/>
          <w:numId w:val="1"/>
        </w:numPr>
        <w:jc w:val="both"/>
      </w:pPr>
      <w:r>
        <w:t xml:space="preserve">Reflection </w:t>
      </w:r>
      <w:sdt>
        <w:sdtPr>
          <w:id w:val="-478608832"/>
          <w:citation/>
        </w:sdtPr>
        <w:sdtContent>
          <w:r>
            <w:fldChar w:fldCharType="begin"/>
          </w:r>
          <w:r>
            <w:instrText xml:space="preserve"> CITATION Alt12 \l 2057 </w:instrText>
          </w:r>
          <w:r>
            <w:fldChar w:fldCharType="separate"/>
          </w:r>
          <w:r w:rsidR="00B45F90" w:rsidRPr="00B45F90">
            <w:rPr>
              <w:noProof/>
            </w:rPr>
            <w:t>(Altomonte, 2012)</w:t>
          </w:r>
          <w:r>
            <w:fldChar w:fldCharType="end"/>
          </w:r>
        </w:sdtContent>
      </w:sdt>
    </w:p>
    <w:p w:rsidR="0004588A" w:rsidRDefault="0004588A" w:rsidP="0004588A">
      <w:pPr>
        <w:jc w:val="both"/>
      </w:pPr>
      <w:r>
        <w:lastRenderedPageBreak/>
        <w:t xml:space="preserve">Or, to consider this in a differing way, deconstruction, modelling and construction with additional reflection </w:t>
      </w:r>
      <w:sdt>
        <w:sdtPr>
          <w:id w:val="-618997488"/>
          <w:citation/>
        </w:sdtPr>
        <w:sdtContent>
          <w:r>
            <w:fldChar w:fldCharType="begin"/>
          </w:r>
          <w:r>
            <w:instrText xml:space="preserve"> CITATION Swe19 \l 2057 </w:instrText>
          </w:r>
          <w:r>
            <w:fldChar w:fldCharType="separate"/>
          </w:r>
          <w:r w:rsidR="00B45F90" w:rsidRPr="00B45F90">
            <w:rPr>
              <w:noProof/>
            </w:rPr>
            <w:t>(Swee &amp; Beasy, 2019)</w:t>
          </w:r>
          <w:r>
            <w:fldChar w:fldCharType="end"/>
          </w:r>
        </w:sdtContent>
      </w:sdt>
      <w:r>
        <w:t xml:space="preserve">.  It is agreed that the use of case studies is imperative in </w:t>
      </w:r>
      <w:proofErr w:type="spellStart"/>
      <w:r>
        <w:t>EfS</w:t>
      </w:r>
      <w:proofErr w:type="spellEnd"/>
      <w:r>
        <w:t xml:space="preserve">; those provided by visiting professionals (experts in the field) are particularly worthy </w:t>
      </w:r>
      <w:sdt>
        <w:sdtPr>
          <w:id w:val="-2024701464"/>
          <w:citation/>
        </w:sdtPr>
        <w:sdtContent>
          <w:r>
            <w:fldChar w:fldCharType="begin"/>
          </w:r>
          <w:r>
            <w:instrText xml:space="preserve"> CITATION Alt12 \l 2057 </w:instrText>
          </w:r>
          <w:r>
            <w:fldChar w:fldCharType="separate"/>
          </w:r>
          <w:r w:rsidR="00B45F90" w:rsidRPr="00B45F90">
            <w:rPr>
              <w:noProof/>
            </w:rPr>
            <w:t>(Altomonte, 2012)</w:t>
          </w:r>
          <w:r>
            <w:fldChar w:fldCharType="end"/>
          </w:r>
        </w:sdtContent>
      </w:sdt>
      <w:r>
        <w:t xml:space="preserve">.  </w:t>
      </w:r>
      <w:r w:rsidR="00197B8A">
        <w:t xml:space="preserve">The EDUCATE project was successful in suggesting an integrated cognitive framework to ensure that </w:t>
      </w:r>
      <w:proofErr w:type="spellStart"/>
      <w:r w:rsidR="00197B8A">
        <w:t>EfS</w:t>
      </w:r>
      <w:proofErr w:type="spellEnd"/>
      <w:r w:rsidR="00197B8A">
        <w:t xml:space="preserve"> is </w:t>
      </w:r>
      <w:r w:rsidR="008076AE">
        <w:t xml:space="preserve">  </w:t>
      </w:r>
      <w:r w:rsidR="00197B8A">
        <w:t xml:space="preserve">integrated, no matter which of the 5 models of integration are practiced in Higher Education.  This cognitive framework </w:t>
      </w:r>
      <w:r w:rsidR="007F2B54">
        <w:t xml:space="preserve">consists of adaptations that assist in meeting the challenges of every level of integration </w:t>
      </w:r>
      <w:sdt>
        <w:sdtPr>
          <w:id w:val="89283733"/>
          <w:citation/>
        </w:sdtPr>
        <w:sdtContent>
          <w:r w:rsidR="007F2B54">
            <w:fldChar w:fldCharType="begin"/>
          </w:r>
          <w:r w:rsidR="007F2B54">
            <w:instrText xml:space="preserve"> CITATION Alt12 \l 2057 </w:instrText>
          </w:r>
          <w:r w:rsidR="007F2B54">
            <w:fldChar w:fldCharType="separate"/>
          </w:r>
          <w:r w:rsidR="00B45F90" w:rsidRPr="00B45F90">
            <w:rPr>
              <w:noProof/>
            </w:rPr>
            <w:t>(Altomonte, 2012)</w:t>
          </w:r>
          <w:r w:rsidR="007F2B54">
            <w:fldChar w:fldCharType="end"/>
          </w:r>
        </w:sdtContent>
      </w:sdt>
      <w:r w:rsidR="007F2B54">
        <w:t xml:space="preserve">.  </w:t>
      </w:r>
    </w:p>
    <w:p w:rsidR="007F2B54" w:rsidRDefault="007F2B54" w:rsidP="0004588A">
      <w:pPr>
        <w:jc w:val="both"/>
      </w:pPr>
      <w:r>
        <w:t xml:space="preserve">There is a final point of note to consider.  National educational frameworks need to assist in the incorporation of </w:t>
      </w:r>
      <w:proofErr w:type="spellStart"/>
      <w:r>
        <w:t>EfS</w:t>
      </w:r>
      <w:proofErr w:type="spellEnd"/>
      <w:r>
        <w:t xml:space="preserve"> more widely</w:t>
      </w:r>
      <w:r w:rsidR="008076AE">
        <w:t xml:space="preserve"> </w:t>
      </w:r>
      <w:sdt>
        <w:sdtPr>
          <w:id w:val="1752924060"/>
          <w:citation/>
        </w:sdtPr>
        <w:sdtContent>
          <w:r w:rsidR="008076AE">
            <w:fldChar w:fldCharType="begin"/>
          </w:r>
          <w:r w:rsidR="008076AE">
            <w:instrText xml:space="preserve"> CITATION Alt12 \l 2057 </w:instrText>
          </w:r>
          <w:r w:rsidR="008076AE">
            <w:fldChar w:fldCharType="separate"/>
          </w:r>
          <w:r w:rsidR="00B45F90" w:rsidRPr="00B45F90">
            <w:rPr>
              <w:noProof/>
            </w:rPr>
            <w:t>(Altomonte, 2012)</w:t>
          </w:r>
          <w:r w:rsidR="008076AE">
            <w:fldChar w:fldCharType="end"/>
          </w:r>
        </w:sdtContent>
      </w:sdt>
      <w:r>
        <w:t xml:space="preserve">, and especially within architectural education.  To this end, the Higher Education Academy in association with the QAA issued guidance on Education for Sustainable Development in 2014, but interestingly does not form a formal or explicit part of UK Quality Code for Higher Education </w:t>
      </w:r>
      <w:sdt>
        <w:sdtPr>
          <w:id w:val="587657517"/>
          <w:citation/>
        </w:sdtPr>
        <w:sdtContent>
          <w:r>
            <w:fldChar w:fldCharType="begin"/>
          </w:r>
          <w:r>
            <w:instrText xml:space="preserve"> CITATION QAA14 \l 2057 </w:instrText>
          </w:r>
          <w:r>
            <w:fldChar w:fldCharType="separate"/>
          </w:r>
          <w:r w:rsidR="00B45F90" w:rsidRPr="00B45F90">
            <w:rPr>
              <w:noProof/>
            </w:rPr>
            <w:t>(QAA, 2014)</w:t>
          </w:r>
          <w:r>
            <w:fldChar w:fldCharType="end"/>
          </w:r>
        </w:sdtContent>
      </w:sdt>
      <w:r>
        <w:t>, nor is it subject specific.</w:t>
      </w:r>
      <w:r w:rsidR="008076AE">
        <w:t xml:space="preserve">  The RIBA acknowledge that the profession needs to advance its practice towards sustainable development </w:t>
      </w:r>
      <w:sdt>
        <w:sdtPr>
          <w:id w:val="722802458"/>
          <w:citation/>
        </w:sdtPr>
        <w:sdtContent>
          <w:r w:rsidR="004D5C06">
            <w:fldChar w:fldCharType="begin"/>
          </w:r>
          <w:r w:rsidR="004D5C06">
            <w:instrText xml:space="preserve"> CITATION RIB18 \l 2057 </w:instrText>
          </w:r>
          <w:r w:rsidR="004D5C06">
            <w:fldChar w:fldCharType="separate"/>
          </w:r>
          <w:r w:rsidR="00B45F90" w:rsidRPr="00B45F90">
            <w:rPr>
              <w:noProof/>
            </w:rPr>
            <w:t>(RIBA, 2018)</w:t>
          </w:r>
          <w:r w:rsidR="004D5C06">
            <w:fldChar w:fldCharType="end"/>
          </w:r>
        </w:sdtContent>
      </w:sdt>
      <w:r w:rsidR="004D5C06">
        <w:t xml:space="preserve">.  </w:t>
      </w:r>
      <w:r w:rsidR="00BD2BDD">
        <w:t xml:space="preserve">Any academic programme should be clear in its coverage of current sustainability issues </w:t>
      </w:r>
      <w:sdt>
        <w:sdtPr>
          <w:id w:val="315223083"/>
          <w:citation/>
        </w:sdtPr>
        <w:sdtContent>
          <w:r w:rsidR="00BD2BDD">
            <w:fldChar w:fldCharType="begin"/>
          </w:r>
          <w:r w:rsidR="00BD2BDD">
            <w:instrText xml:space="preserve"> CITATION Alt12 \l 2057 </w:instrText>
          </w:r>
          <w:r w:rsidR="00BD2BDD">
            <w:fldChar w:fldCharType="separate"/>
          </w:r>
          <w:r w:rsidR="00B45F90" w:rsidRPr="00B45F90">
            <w:rPr>
              <w:noProof/>
            </w:rPr>
            <w:t>(Altomonte, 2012)</w:t>
          </w:r>
          <w:r w:rsidR="00BD2BDD">
            <w:fldChar w:fldCharType="end"/>
          </w:r>
        </w:sdtContent>
      </w:sdt>
      <w:r w:rsidR="00BD2BDD">
        <w:t xml:space="preserve">.  </w:t>
      </w:r>
      <w:r w:rsidR="004D5C06">
        <w:t>It is therefore useful to consider that HE institutions who utilise this guidance can be viewed as progressive in relation to furthering the sustainability education of architecture.</w:t>
      </w:r>
      <w:r w:rsidR="008076AE">
        <w:t xml:space="preserve"> </w:t>
      </w:r>
    </w:p>
    <w:p w:rsidR="002D5AD4" w:rsidRDefault="002D5AD4" w:rsidP="00B45F90">
      <w:pPr>
        <w:pStyle w:val="Heading2"/>
      </w:pPr>
      <w:bookmarkStart w:id="7" w:name="_Toc22310691"/>
      <w:r>
        <w:t>Method</w:t>
      </w:r>
      <w:bookmarkEnd w:id="7"/>
    </w:p>
    <w:p w:rsidR="00327F12" w:rsidRDefault="00BE40A9" w:rsidP="00F933D6">
      <w:pPr>
        <w:jc w:val="both"/>
      </w:pPr>
      <w:r>
        <w:t>Delivery of this module did not change until 2018/19 academic year, by which time 2 full years had undergone the block week approach.</w:t>
      </w:r>
      <w:r w:rsidR="004901B9">
        <w:t xml:space="preserve">  </w:t>
      </w:r>
      <w:r w:rsidR="00303C38">
        <w:t xml:space="preserve">Limited student feedback had been received; anecdotal evidence suggested that the block weeks were not conducive to sustained study, led to a decrease in attendance and </w:t>
      </w:r>
      <w:r w:rsidR="00A53A63">
        <w:t>alienating</w:t>
      </w:r>
      <w:r w:rsidR="00303C38">
        <w:t xml:space="preserve"> </w:t>
      </w:r>
      <w:r w:rsidR="00347CBA">
        <w:t>students rather than engaging</w:t>
      </w:r>
      <w:r w:rsidR="00303C38">
        <w:t xml:space="preserve"> them.  </w:t>
      </w:r>
      <w:r w:rsidR="00327F12">
        <w:t xml:space="preserve">Limited information was provided to the students (either within the physical sessions, or on Moodle, the standard Virtual Learning Environment </w:t>
      </w:r>
      <w:r w:rsidR="00A53A63">
        <w:t xml:space="preserve">(VLE) </w:t>
      </w:r>
      <w:r w:rsidR="00327F12">
        <w:t xml:space="preserve">for the university), the block weeks consisted largely of talks that were provided by both external experts and one </w:t>
      </w:r>
      <w:r w:rsidR="00347CBA">
        <w:t xml:space="preserve">part-time </w:t>
      </w:r>
      <w:r w:rsidR="00327F12">
        <w:t>member of staff within the school, with some library work within, and the students were largely left to their own devices in terms of preparation for future sessions.  Finally, the timing of the block weeks was such that there was no continuity during the differing block weeks, leading to an overall lack of engagement with this module.</w:t>
      </w:r>
      <w:r w:rsidR="0029375D">
        <w:t xml:space="preserve">  Despite this anecdotal evidence, marks on the module were positive.  In the academic year of 2016/17, the average mark for the module was 60 (meaning a good pass, and within a 2:1 range), with a range of 59-61.  For the academic year of 2017/18, the marks began to show considerable variation; the average dropped slightly to 59</w:t>
      </w:r>
      <w:r w:rsidR="00A53A63">
        <w:t xml:space="preserve"> (now within the 2:2 range)</w:t>
      </w:r>
      <w:r w:rsidR="0029375D">
        <w:t>, but the range was 45-78.  This second year of delivery had a slightly larger cohort (8 students opposed to 6), and attendance began to become far more of an issue.</w:t>
      </w:r>
      <w:r w:rsidR="00A53A63">
        <w:t xml:space="preserve">  The new cohort of 2018/19 was the largest by far (11 students in total); therefore maintaining engagement was critical.</w:t>
      </w:r>
      <w:r w:rsidR="005C28DA">
        <w:t xml:space="preserve">  It is also worth noting that in the 2017/18 academic session, the pressure in removing students from studio teaching was more considerable, meaning that the module ended up running alongside the studio sessions, leading to poorer attendance overall.</w:t>
      </w:r>
    </w:p>
    <w:p w:rsidR="002D5AD4" w:rsidRDefault="00327F12" w:rsidP="00F933D6">
      <w:pPr>
        <w:jc w:val="both"/>
      </w:pPr>
      <w:r>
        <w:t>T</w:t>
      </w:r>
      <w:r w:rsidR="00303C38">
        <w:t xml:space="preserve">he first key suggestion was to move to a formalised week-per-week study pattern (utilising the university standard 2 hour approach), interspersed with ‘topic days’ that would involve a longer period of study on the module (up to 5 hours, including tutorials within the day).  </w:t>
      </w:r>
      <w:r>
        <w:t>This allowed the inclusion of experts onto the module, introducing specific topic areas that would assist students with their later studies.  The topic days were held across term 1 and early into term 2, meaning that the students were able to prepare more coherently for assessments.  This also allowed for less disruption for the class.</w:t>
      </w:r>
      <w:r w:rsidR="00AC2038">
        <w:t xml:space="preserve">  The move to a weekly class increased the potential for engagement of all students; there was clarity in delivery and prior warning of topics days was therefore more easily understood.</w:t>
      </w:r>
    </w:p>
    <w:p w:rsidR="00327F12" w:rsidRDefault="00327F12" w:rsidP="00F933D6">
      <w:pPr>
        <w:jc w:val="both"/>
      </w:pPr>
      <w:r>
        <w:lastRenderedPageBreak/>
        <w:t xml:space="preserve">The next key suggestion was to rationalise the content provided to the students.  As previously mentioned, this module was designed to include teaching on academic practice; yet to date (prior to this intervention), this had failed to be included.  </w:t>
      </w:r>
      <w:r w:rsidR="00C5670F">
        <w:t xml:space="preserve">With no reference to base this upon, it was suggested to spend the first month setting the scene in relation to academic practice; and following on from this, to then include subjects that cover other aspects of the indicative content, whilst considering the </w:t>
      </w:r>
      <w:proofErr w:type="spellStart"/>
      <w:r w:rsidR="00C5670F">
        <w:t>EfS</w:t>
      </w:r>
      <w:proofErr w:type="spellEnd"/>
      <w:r w:rsidR="00C5670F">
        <w:t xml:space="preserve"> approach.  Within this, allowing the inclusion of the topic days, whereby experts in the profession come in and provide a more ‘case study’ approach to the learning; thereby assisting towards greater integration of </w:t>
      </w:r>
      <w:proofErr w:type="spellStart"/>
      <w:r w:rsidR="00C5670F">
        <w:t>EfS</w:t>
      </w:r>
      <w:proofErr w:type="spellEnd"/>
      <w:r w:rsidR="00C5670F">
        <w:t xml:space="preserve"> within the module as a whole.</w:t>
      </w:r>
      <w:r w:rsidR="00711E69">
        <w:t xml:space="preserve">  One of these topic days provided a trip to the UWTSD </w:t>
      </w:r>
      <w:proofErr w:type="spellStart"/>
      <w:r w:rsidR="00711E69">
        <w:t>Lampeter</w:t>
      </w:r>
      <w:proofErr w:type="spellEnd"/>
      <w:r w:rsidR="00711E69">
        <w:t xml:space="preserve"> campus, to integrate teaching staff on philosophical topics into the course.  The addition of this visit was considered highly by the RIBA as well as being welcomed within the university itself.</w:t>
      </w:r>
    </w:p>
    <w:p w:rsidR="00C5670F" w:rsidRDefault="00C5670F" w:rsidP="00F933D6">
      <w:pPr>
        <w:jc w:val="both"/>
      </w:pPr>
      <w:r>
        <w:t>The final key suggestion was to rationalise the assessments for the module.  This module is purely coursework based (without any examination).  The first coursework component was a 2000 word essay; the exemplar within the module descriptor suggested the “</w:t>
      </w:r>
      <w:r w:rsidR="006D247E">
        <w:t>description</w:t>
      </w:r>
      <w:r>
        <w:t xml:space="preserve"> of a range of current issues affecting the</w:t>
      </w:r>
      <w:r w:rsidR="006D247E">
        <w:t xml:space="preserve"> </w:t>
      </w:r>
      <w:r>
        <w:t>built environment”.  The second component consists of a written and group presentation aspect</w:t>
      </w:r>
      <w:r w:rsidR="006D247E">
        <w:t xml:space="preserve"> on an “agreed issue”.  </w:t>
      </w:r>
      <w:r w:rsidR="00137CEE">
        <w:t>The second component structure remained the same; the topics on offer were those provided by experts on the topic days in the second term, to help refine the work further.  The only difference was the method of submission, which was using the VLE (Moodle).  The first piece of coursework was therefore rationalised and split into 2 separate parts, both of which had a maximum word count of 1000 words (+/- 10%).  Part 1 asked “Why study architecture today?”, and the second was focused on a sustainability issue of the student’s choice.  Part 1 was aimed at assessing the learning from the academic practice sessions held at the start of the module; so could the student’s read and synthesise this work into their own words, written in their own voice and then appr</w:t>
      </w:r>
      <w:r w:rsidR="007C4507">
        <w:t>opriate referencing and citations.</w:t>
      </w:r>
      <w:r w:rsidR="00137CEE">
        <w:t xml:space="preserve">  For this reason, this first piece of work was due at the end of the academic practice sessions (end of October 2018).  The second part then began investigating their learning from some of the sustainability topics they were exposed to, both through the formal sessions and the topic days.  Both parts were submitted electronically only (via moodle) and also marked and feedback given via moodle too.</w:t>
      </w:r>
    </w:p>
    <w:p w:rsidR="00711E69" w:rsidRDefault="00711E69" w:rsidP="00B45F90">
      <w:pPr>
        <w:pStyle w:val="Heading2"/>
      </w:pPr>
      <w:bookmarkStart w:id="8" w:name="_Toc22310692"/>
      <w:r>
        <w:t>Discussion</w:t>
      </w:r>
      <w:bookmarkEnd w:id="8"/>
      <w:r>
        <w:t xml:space="preserve"> </w:t>
      </w:r>
    </w:p>
    <w:p w:rsidR="00514450" w:rsidRDefault="00514450" w:rsidP="00F933D6">
      <w:pPr>
        <w:jc w:val="both"/>
      </w:pPr>
      <w:r>
        <w:t>As outlined in the method above, there was a clear shift between the first and second year delivery of this module as block delivery</w:t>
      </w:r>
      <w:r w:rsidR="00D879F6">
        <w:t xml:space="preserve"> as shown by the results</w:t>
      </w:r>
      <w:r>
        <w:t xml:space="preserve">.  In fact, the change was so pronounced that it led to the External Examiner for the course commenting upon the need to “recalibrate” the module to strengthen results.  The main criticisms (as previously outlined) were the lack of engagement on a regular basis, compounded by delivery being led by a part time member of staff whom students were not able to talk to on a regular basis.  </w:t>
      </w:r>
      <w:r w:rsidR="00D879F6">
        <w:t xml:space="preserve">One other issue was that the block weeks were scaled down in the second delivery, meaning that the students were not provided with the dedicated teaching time required for this module.  </w:t>
      </w:r>
      <w:r>
        <w:t xml:space="preserve">This issue, alongside a lack of full coverage of the syllabus, demonstrated the clear need to reframe the module.  </w:t>
      </w:r>
    </w:p>
    <w:p w:rsidR="00D879F6" w:rsidRDefault="00D879F6" w:rsidP="00F933D6">
      <w:pPr>
        <w:jc w:val="both"/>
      </w:pPr>
      <w:r>
        <w:t xml:space="preserve">The first step was to rationalise delivery to a ‘long and thin’ approach.  This now consists of weekly sessions across the academic year, each of which is allocated 2 hours.  In addition to these, the 4 topic sessions remain, each of which are a longer period of 5 hours maximum, leading to the provision of the 60 teaching hours as required within the module descriptor from the Definitive Document </w:t>
      </w:r>
      <w:sdt>
        <w:sdtPr>
          <w:id w:val="-239715932"/>
          <w:citation/>
        </w:sdtPr>
        <w:sdtContent>
          <w:r>
            <w:fldChar w:fldCharType="begin"/>
          </w:r>
          <w:r>
            <w:instrText xml:space="preserve"> CITATION UWT15 \l 2057 </w:instrText>
          </w:r>
          <w:r>
            <w:fldChar w:fldCharType="separate"/>
          </w:r>
          <w:r w:rsidR="00B45F90" w:rsidRPr="00B45F90">
            <w:rPr>
              <w:noProof/>
            </w:rPr>
            <w:t>(UWTSD, 2015)</w:t>
          </w:r>
          <w:r>
            <w:fldChar w:fldCharType="end"/>
          </w:r>
        </w:sdtContent>
      </w:sdt>
      <w:r>
        <w:t xml:space="preserve">.  It was agreed that at the beginning of this long and thin delivery, would be a dedicated period to outlining academic practice issues (what is good academic practice, writing in your own voice and effective note taking, effective sourcing of information and referencing).  The clear rationale for this approach is to instil in the new students a clear sense of good academic practice from the word go, to then practice this into the first piece of coursework completed within the first 6 weeks.  </w:t>
      </w:r>
      <w:r w:rsidR="003333E4">
        <w:lastRenderedPageBreak/>
        <w:t xml:space="preserve">It is true that many ‘traditional’ students (i.e. those that enter university directly from school) are already attuned to good academic practice from their A-level (or similar) studies.  However the range of students attracted to UWTSD mean that there are a greater number of ‘mature’ students, for whom education may have ended many years ago; therefore the introduction of such practice sets a clear approach from which to take their studies forward.  It was also suggested and agreed to use this first piece of coursework to outline their learning from this academic practice session.  By asking the students “What does it mean to be an architect today”, enables them to provide their own reasons for studying the discipline, but also to read around the benefits of studying architecture for any number of reasons, including career progression.  </w:t>
      </w:r>
    </w:p>
    <w:p w:rsidR="003333E4" w:rsidRDefault="003333E4" w:rsidP="00F933D6">
      <w:pPr>
        <w:jc w:val="both"/>
      </w:pPr>
      <w:r>
        <w:t xml:space="preserve">The other key change in facilitating more regular delivery of the module was the ability to cover a wider range of topics around the various subject areas in the module descriptor.  Whilst the topic days (as delivered under the block week programme) were able to introduce certain topic areas (e.g. sustainability), it was limited in the level of detail that could be provided within the subject area based upon the time available and staffing expertise.  Rationalising the module introduced another member of staff to the student group (myself), with knowledge of architecture but </w:t>
      </w:r>
      <w:r w:rsidR="007C4507">
        <w:t xml:space="preserve">expertise in </w:t>
      </w:r>
      <w:r>
        <w:t xml:space="preserve">wider specialisms including sustainability, waste, resources and management, energy and so on.  The module is directed to outlining the ‘key issues of the day’; therefore in broadening out the subject matter, it provided greater scope to investigate issues further.  So therefore, under sustainability, not only was there an introduction to what it is, but also why there is a need to decarbonise (energy and buildings) across the board, the sustainability agenda within Wales, sources of renewable energy (including innovations in this), resource and material availability and waste.  Within the waste topic, the module also invited a guest speaker </w:t>
      </w:r>
      <w:r w:rsidR="00E567CC">
        <w:t xml:space="preserve">to introduce her project on recycling glass and its use within architecture – broadening out the knowledge to encompass humanities based issues (from an artistic aesthetic perspective).  The topic days remained, and included other guest speakers providing their own areas of expertise.  Therefore the framing of the new syllabus was devised considering </w:t>
      </w:r>
      <w:proofErr w:type="spellStart"/>
      <w:r w:rsidR="00E567CC">
        <w:t>EfS</w:t>
      </w:r>
      <w:proofErr w:type="spellEnd"/>
      <w:r w:rsidR="00E567CC">
        <w:t xml:space="preserve"> at its core, to ensure that it was fully integrated into the module </w:t>
      </w:r>
      <w:sdt>
        <w:sdtPr>
          <w:id w:val="-1277482511"/>
          <w:citation/>
        </w:sdtPr>
        <w:sdtContent>
          <w:r w:rsidR="00E567CC">
            <w:fldChar w:fldCharType="begin"/>
          </w:r>
          <w:r w:rsidR="00E567CC">
            <w:instrText xml:space="preserve"> CITATION Alt12 \l 2057 </w:instrText>
          </w:r>
          <w:r w:rsidR="00E567CC">
            <w:fldChar w:fldCharType="separate"/>
          </w:r>
          <w:r w:rsidR="00B45F90" w:rsidRPr="00B45F90">
            <w:rPr>
              <w:noProof/>
            </w:rPr>
            <w:t>(Altomonte, 2012)</w:t>
          </w:r>
          <w:r w:rsidR="00E567CC">
            <w:fldChar w:fldCharType="end"/>
          </w:r>
        </w:sdtContent>
      </w:sdt>
      <w:r w:rsidR="00E567CC">
        <w:t>, and inviting guests to provide their own expertise for greater depth of learning.  Finally, the cohort was invited to attend a wider school visit to an operational nuclear power plant, which then led to a tutorial on the pros and cons of generating power using nuclear energy.  The students found the visit incredibly eye-opening, and the resulting debate was lively, yet well considered due to the experience of the visit</w:t>
      </w:r>
      <w:r w:rsidR="00622624">
        <w:t xml:space="preserve"> and their greater ability to read around subject matter</w:t>
      </w:r>
      <w:r w:rsidR="00E567CC">
        <w:t xml:space="preserve">.  </w:t>
      </w:r>
    </w:p>
    <w:p w:rsidR="00EC1D9F" w:rsidRDefault="00622624" w:rsidP="00F933D6">
      <w:pPr>
        <w:jc w:val="both"/>
      </w:pPr>
      <w:r>
        <w:t>For coursework number 1, this was now split into two distinct parts.  The first allowed the students to write about why they felt it was important to be an architect today; t</w:t>
      </w:r>
      <w:r w:rsidR="00EC1D9F">
        <w:t xml:space="preserve">he second part of the coursework was focused on sustainability, with the students free to choose something that they had learned about in order to focus their writing.  This could be sustainability in terms of buildings, materials, energy sources, etc.  </w:t>
      </w:r>
      <w:r>
        <w:t xml:space="preserve">Both pieces of work were </w:t>
      </w:r>
      <w:r w:rsidR="00EC1D9F">
        <w:t xml:space="preserve">well received; </w:t>
      </w:r>
      <w:r>
        <w:t>for part 2, students commented</w:t>
      </w:r>
      <w:r w:rsidR="00EC1D9F">
        <w:t xml:space="preserve"> (anecdotally) that they had a wide range of material from which they could focus their writing.  </w:t>
      </w:r>
      <w:r>
        <w:t>Existing staff on the programme noted that academically, standards were considerably raised within the entire cohort due to providing intervention on good academic practice.  This has also been noted by the External Examiners (indeed, one is quoted as saying that the module has been “turned around” in the report for the academic year of 2018/19).</w:t>
      </w:r>
    </w:p>
    <w:p w:rsidR="00E567CC" w:rsidRDefault="00E567CC" w:rsidP="00F933D6">
      <w:pPr>
        <w:jc w:val="both"/>
      </w:pPr>
      <w:r>
        <w:t xml:space="preserve">All students were invited to complete a module feedback form (available on moodle) to provide their assessment of the module across the academic year.  This had been the case with previous deliveries, but had either been avoided due to lack of integration with moodle, or a lack of understanding from the dedicated member of staff.  Following the overhaul of the module, the importance of providing feedback was outlined several times to the students.  From the 2018/19 delivery, 6 students provided </w:t>
      </w:r>
      <w:r>
        <w:lastRenderedPageBreak/>
        <w:t xml:space="preserve">feedback, equating to just over half of the cohort.  </w:t>
      </w:r>
      <w:r w:rsidR="00EC1D9F">
        <w:t>Some of the comments received stated the following:</w:t>
      </w:r>
    </w:p>
    <w:p w:rsidR="00EC1D9F" w:rsidRDefault="00EC1D9F" w:rsidP="00F933D6">
      <w:pPr>
        <w:jc w:val="both"/>
      </w:pPr>
      <w:r>
        <w:t>“</w:t>
      </w:r>
      <w:r w:rsidRPr="00EC1D9F">
        <w:rPr>
          <w:i/>
        </w:rPr>
        <w:t>This module was good as it allowed us to relate modern problems and issues to architecture and increase knowledge of sustainability</w:t>
      </w:r>
      <w:r w:rsidRPr="00EC1D9F">
        <w:t>.</w:t>
      </w:r>
      <w:r>
        <w:t>”</w:t>
      </w:r>
    </w:p>
    <w:p w:rsidR="00EC1D9F" w:rsidRDefault="00EC1D9F" w:rsidP="00F933D6">
      <w:pPr>
        <w:jc w:val="both"/>
      </w:pPr>
      <w:r>
        <w:t>“</w:t>
      </w:r>
      <w:r w:rsidRPr="00EC1D9F">
        <w:rPr>
          <w:i/>
        </w:rPr>
        <w:t>Personally, I enjoy the main tutor’s lectures as she interacts and also has a very positive and fun attitude towards the subject, therefore, this influences us as pupils to be more engaged with what we are learning</w:t>
      </w:r>
      <w:r w:rsidRPr="00EC1D9F">
        <w:t>.</w:t>
      </w:r>
      <w:r>
        <w:t>”</w:t>
      </w:r>
    </w:p>
    <w:p w:rsidR="00EC1D9F" w:rsidRDefault="00EC1D9F" w:rsidP="00F933D6">
      <w:pPr>
        <w:jc w:val="both"/>
      </w:pPr>
      <w:r>
        <w:t>“</w:t>
      </w:r>
      <w:r w:rsidRPr="00EC1D9F">
        <w:rPr>
          <w:i/>
        </w:rPr>
        <w:t xml:space="preserve">I felt the trip to </w:t>
      </w:r>
      <w:proofErr w:type="spellStart"/>
      <w:r w:rsidRPr="00EC1D9F">
        <w:rPr>
          <w:i/>
        </w:rPr>
        <w:t>Lampeter</w:t>
      </w:r>
      <w:proofErr w:type="spellEnd"/>
      <w:r w:rsidRPr="00EC1D9F">
        <w:rPr>
          <w:i/>
        </w:rPr>
        <w:t xml:space="preserve"> was not useful and many people did not attend</w:t>
      </w:r>
      <w:r w:rsidRPr="00EC1D9F">
        <w:t>.</w:t>
      </w:r>
      <w:r>
        <w:t>” And “</w:t>
      </w:r>
      <w:r w:rsidRPr="00EC1D9F">
        <w:rPr>
          <w:i/>
        </w:rPr>
        <w:t xml:space="preserve">I feel that attending the </w:t>
      </w:r>
      <w:proofErr w:type="spellStart"/>
      <w:r w:rsidRPr="00EC1D9F">
        <w:rPr>
          <w:i/>
        </w:rPr>
        <w:t>Lampeter</w:t>
      </w:r>
      <w:proofErr w:type="spellEnd"/>
      <w:r w:rsidRPr="00EC1D9F">
        <w:rPr>
          <w:i/>
        </w:rPr>
        <w:t xml:space="preserve"> trip wasn’t very beneficial to us as an architecture class, I feel that other lectures there complicated the situation and didn’t give an understanding to the students of what they were trying to portray, and additionally I feel that not all of the information given was relevant. Secondly I feel that </w:t>
      </w:r>
      <w:proofErr w:type="spellStart"/>
      <w:r w:rsidRPr="00EC1D9F">
        <w:rPr>
          <w:i/>
        </w:rPr>
        <w:t>Powerpoints</w:t>
      </w:r>
      <w:proofErr w:type="spellEnd"/>
      <w:r w:rsidRPr="00EC1D9F">
        <w:rPr>
          <w:i/>
        </w:rPr>
        <w:t xml:space="preserve"> of visitors that </w:t>
      </w:r>
      <w:r>
        <w:rPr>
          <w:i/>
        </w:rPr>
        <w:t>X</w:t>
      </w:r>
      <w:r w:rsidRPr="00EC1D9F">
        <w:rPr>
          <w:i/>
        </w:rPr>
        <w:t xml:space="preserve"> had organised could have been uploaded quicker to Moodle so if we so wish we could look back to get a better understanding of the lecture</w:t>
      </w:r>
      <w:r w:rsidRPr="00EC1D9F">
        <w:t>.</w:t>
      </w:r>
      <w:r>
        <w:t>”</w:t>
      </w:r>
    </w:p>
    <w:p w:rsidR="00EC1D9F" w:rsidRDefault="00EC1D9F" w:rsidP="00F933D6">
      <w:pPr>
        <w:jc w:val="both"/>
      </w:pPr>
      <w:r>
        <w:t xml:space="preserve">It is clear therefore that the changes made to the module benefitted the students in the right way, and utilising someone with clear expertise and passion in the subject matter makes a difference to the student experience.  Both negative comments were in relation to the planned visit to </w:t>
      </w:r>
      <w:proofErr w:type="spellStart"/>
      <w:r>
        <w:t>Lampeter</w:t>
      </w:r>
      <w:proofErr w:type="spellEnd"/>
      <w:r>
        <w:t xml:space="preserve">; from a tutor experience, it didn’t seem to be fully joined up with the rest of the module, and so therefore additional work is needed to ensure the framing of this particular topic day is improved upon.  </w:t>
      </w:r>
    </w:p>
    <w:p w:rsidR="00EC1D9F" w:rsidRDefault="00EC1D9F" w:rsidP="00F933D6">
      <w:pPr>
        <w:jc w:val="both"/>
      </w:pPr>
      <w:r>
        <w:t>The other key metrics to consider are the module marks.  In the 2018/19 academic year, the module began with 11 students, one of whom had to suspend for personal reasons.  This was the largest cohort participating in this module to date.  The</w:t>
      </w:r>
      <w:r w:rsidR="00E345FF">
        <w:t xml:space="preserve"> range of marks received were 39-74</w:t>
      </w:r>
      <w:r>
        <w:t xml:space="preserve">, with the </w:t>
      </w:r>
      <w:r w:rsidR="00E345FF">
        <w:t>average</w:t>
      </w:r>
      <w:r>
        <w:t xml:space="preserve"> mark </w:t>
      </w:r>
      <w:r w:rsidR="00E345FF">
        <w:t xml:space="preserve">at 57.  Note that this does not include the student that was suspended part way through the academic year.  In comparison to previous years, this result has slipped further (well into the 2:2 bracket), but academic rigour is improved.  It is this issue that has been noticed by other tutors across the cohort.  In this cohort, there was a student who failed a component for the first time; which again had not occurred before.  However the reason for failing was due to lack of academic rigour, which may have been allowed to pass before.  Reflecting on the pedagogical approach used, </w:t>
      </w:r>
      <w:proofErr w:type="spellStart"/>
      <w:r w:rsidR="00E345FF">
        <w:t>EfS</w:t>
      </w:r>
      <w:proofErr w:type="spellEnd"/>
      <w:r w:rsidR="00E345FF">
        <w:t xml:space="preserve"> is not the easiest approach to utilise and does take time to embed.</w:t>
      </w:r>
    </w:p>
    <w:p w:rsidR="00E345FF" w:rsidRDefault="00E345FF" w:rsidP="00B45F90">
      <w:pPr>
        <w:pStyle w:val="Heading2"/>
      </w:pPr>
      <w:bookmarkStart w:id="9" w:name="_Toc22310693"/>
      <w:r>
        <w:t>Conclusion</w:t>
      </w:r>
      <w:bookmarkEnd w:id="9"/>
    </w:p>
    <w:p w:rsidR="00622624" w:rsidRDefault="00805944" w:rsidP="00F933D6">
      <w:pPr>
        <w:jc w:val="both"/>
      </w:pPr>
      <w:r>
        <w:t>In terms of rationalising the Modern World module, there are many positives that can be taken from this.  Students were far more engaged in the module this year than in the previous year.  Whilst the results might not show great improvement, other tutors across the programme note that academically, the L4 cohort is far more able to write in an appropriate academic style than previous cohorts, and this has been attributed to having dedicated teaching on academic practice issues.  Therefore in a wider studies context, the addition of these sessions can be seen as advantageous for the students more widely.  The students themselves have formally (and anecdotally) suggested this module is far more positive than before (especially as within the 2018/19 cohort, there were 3 students repeating the year or part thereof), and the breadth of subjects they have been exposed to has led them to think more widely about the issues faced across the World today.</w:t>
      </w:r>
    </w:p>
    <w:p w:rsidR="00805944" w:rsidRDefault="00805944" w:rsidP="00F933D6">
      <w:pPr>
        <w:jc w:val="both"/>
      </w:pPr>
      <w:r>
        <w:t xml:space="preserve">From a pedagogical approach, embedding an </w:t>
      </w:r>
      <w:proofErr w:type="spellStart"/>
      <w:r>
        <w:t>EfS</w:t>
      </w:r>
      <w:proofErr w:type="spellEnd"/>
      <w:r>
        <w:t xml:space="preserve"> approach is not easy; despite being </w:t>
      </w:r>
      <w:r w:rsidR="00855131">
        <w:t xml:space="preserve">outlined as ‘good practice’ by the development of guidance on how to embed this </w:t>
      </w:r>
      <w:sdt>
        <w:sdtPr>
          <w:id w:val="1265893718"/>
          <w:citation/>
        </w:sdtPr>
        <w:sdtContent>
          <w:r w:rsidR="00855131">
            <w:fldChar w:fldCharType="begin"/>
          </w:r>
          <w:r w:rsidR="00855131">
            <w:instrText xml:space="preserve"> CITATION QAA14 \l 2057 </w:instrText>
          </w:r>
          <w:r w:rsidR="00855131">
            <w:fldChar w:fldCharType="separate"/>
          </w:r>
          <w:r w:rsidR="00B45F90" w:rsidRPr="00B45F90">
            <w:rPr>
              <w:noProof/>
            </w:rPr>
            <w:t>(QAA, 2014)</w:t>
          </w:r>
          <w:r w:rsidR="00855131">
            <w:fldChar w:fldCharType="end"/>
          </w:r>
        </w:sdtContent>
      </w:sdt>
      <w:r w:rsidR="00855131">
        <w:t xml:space="preserve">, it does not explicitly form part of the Quality code and nor is it subject specific.  With the latter issues, this can be seen as a great positive, enabling the practice to be utilised and adjusted accordingly for each subject area.  Whilst full integration across the entire programme is likely to require considerable additional work </w:t>
      </w:r>
      <w:r w:rsidR="00855131">
        <w:lastRenderedPageBreak/>
        <w:t>for the tutors involved, integrating this into this module highlights what can be achieved going forward.</w:t>
      </w:r>
    </w:p>
    <w:p w:rsidR="00855131" w:rsidRDefault="00855131" w:rsidP="00F933D6">
      <w:pPr>
        <w:jc w:val="both"/>
      </w:pPr>
      <w:r>
        <w:t xml:space="preserve">The experience of this teaching intervention also highlights issues to continue refining; in particular the inclusion of the philosophical areas pertinent to architecture, and how these are introduced in a more coherent way.  It could well be said that </w:t>
      </w:r>
      <w:proofErr w:type="spellStart"/>
      <w:r>
        <w:t>EfS</w:t>
      </w:r>
      <w:proofErr w:type="spellEnd"/>
      <w:r>
        <w:t xml:space="preserve"> integration will never be fully complete as the world around us changes.  However in practice terms, the students of today will be the </w:t>
      </w:r>
      <w:proofErr w:type="spellStart"/>
      <w:r>
        <w:t>EfS</w:t>
      </w:r>
      <w:proofErr w:type="spellEnd"/>
      <w:r>
        <w:t xml:space="preserve"> graduates of tomorrow, more able to understand the impacts caused by the propagation of architecture and therefore more willing to make the necessary changes to reduce the issues of tomorrow.</w:t>
      </w:r>
    </w:p>
    <w:bookmarkStart w:id="10" w:name="_Toc22310694" w:displacedByCustomXml="next"/>
    <w:sdt>
      <w:sdtPr>
        <w:rPr>
          <w:rFonts w:asciiTheme="minorHAnsi" w:eastAsiaTheme="minorHAnsi" w:hAnsiTheme="minorHAnsi" w:cstheme="minorBidi"/>
          <w:color w:val="auto"/>
          <w:sz w:val="22"/>
          <w:szCs w:val="22"/>
          <w:lang w:val="en-GB"/>
        </w:rPr>
        <w:id w:val="1125743066"/>
        <w:docPartObj>
          <w:docPartGallery w:val="Bibliographies"/>
          <w:docPartUnique/>
        </w:docPartObj>
      </w:sdtPr>
      <w:sdtContent>
        <w:p w:rsidR="009D2C4F" w:rsidRPr="00B45F90" w:rsidRDefault="009D2C4F">
          <w:pPr>
            <w:pStyle w:val="Heading1"/>
            <w:rPr>
              <w:rStyle w:val="Heading2Char"/>
            </w:rPr>
          </w:pPr>
          <w:r w:rsidRPr="00B45F90">
            <w:rPr>
              <w:rStyle w:val="Heading2Char"/>
            </w:rPr>
            <w:t>References</w:t>
          </w:r>
          <w:bookmarkEnd w:id="10"/>
        </w:p>
        <w:sdt>
          <w:sdtPr>
            <w:id w:val="-573587230"/>
            <w:bibliography/>
          </w:sdtPr>
          <w:sdtContent>
            <w:p w:rsidR="00B45F90" w:rsidRDefault="009D2C4F" w:rsidP="00B45F90">
              <w:pPr>
                <w:pStyle w:val="Bibliography"/>
                <w:rPr>
                  <w:noProof/>
                  <w:sz w:val="24"/>
                  <w:szCs w:val="24"/>
                  <w:lang w:val="en-US"/>
                </w:rPr>
              </w:pPr>
              <w:r>
                <w:fldChar w:fldCharType="begin"/>
              </w:r>
              <w:r>
                <w:instrText xml:space="preserve"> BIBLIOGRAPHY </w:instrText>
              </w:r>
              <w:r>
                <w:fldChar w:fldCharType="separate"/>
              </w:r>
              <w:r w:rsidR="00B45F90">
                <w:rPr>
                  <w:noProof/>
                  <w:lang w:val="en-US"/>
                </w:rPr>
                <w:t xml:space="preserve">Advance HE, 2011. </w:t>
              </w:r>
              <w:r w:rsidR="00B45F90">
                <w:rPr>
                  <w:i/>
                  <w:iCs/>
                  <w:noProof/>
                  <w:lang w:val="en-US"/>
                </w:rPr>
                <w:t xml:space="preserve">The UK Professional Standards Framework for teaching and supporting learning in Higher Education, </w:t>
              </w:r>
              <w:r w:rsidR="00B45F90">
                <w:rPr>
                  <w:noProof/>
                  <w:lang w:val="en-US"/>
                </w:rPr>
                <w:t>York: Advance HE.</w:t>
              </w:r>
            </w:p>
            <w:p w:rsidR="00B45F90" w:rsidRDefault="00B45F90" w:rsidP="00B45F90">
              <w:pPr>
                <w:pStyle w:val="Bibliography"/>
                <w:rPr>
                  <w:noProof/>
                  <w:lang w:val="en-US"/>
                </w:rPr>
              </w:pPr>
              <w:r>
                <w:rPr>
                  <w:noProof/>
                  <w:lang w:val="en-US"/>
                </w:rPr>
                <w:t xml:space="preserve">Altomonte, S., 2009. Environmental education for sustainable architecture. </w:t>
              </w:r>
              <w:r>
                <w:rPr>
                  <w:i/>
                  <w:iCs/>
                  <w:noProof/>
                  <w:lang w:val="en-US"/>
                </w:rPr>
                <w:t xml:space="preserve">Review of European Studies, </w:t>
              </w:r>
              <w:r>
                <w:rPr>
                  <w:noProof/>
                  <w:lang w:val="en-US"/>
                </w:rPr>
                <w:t>1(2), pp. 12-21.</w:t>
              </w:r>
            </w:p>
            <w:p w:rsidR="00B45F90" w:rsidRDefault="00B45F90" w:rsidP="00B45F90">
              <w:pPr>
                <w:pStyle w:val="Bibliography"/>
                <w:rPr>
                  <w:noProof/>
                  <w:lang w:val="en-US"/>
                </w:rPr>
              </w:pPr>
              <w:r>
                <w:rPr>
                  <w:noProof/>
                  <w:lang w:val="en-US"/>
                </w:rPr>
                <w:t xml:space="preserve">Altomonte, S., 2012. </w:t>
              </w:r>
              <w:r>
                <w:rPr>
                  <w:i/>
                  <w:iCs/>
                  <w:noProof/>
                  <w:lang w:val="en-US"/>
                </w:rPr>
                <w:t xml:space="preserve">Education for Sustainable Environmental Design: The EDUCATE Project, Summary of results, </w:t>
              </w:r>
              <w:r>
                <w:rPr>
                  <w:noProof/>
                  <w:lang w:val="en-US"/>
                </w:rPr>
                <w:t>Nottingham: Department of Architecture and Built Environment, University of Nottingham.</w:t>
              </w:r>
            </w:p>
            <w:p w:rsidR="00B45F90" w:rsidRDefault="00B45F90" w:rsidP="00B45F90">
              <w:pPr>
                <w:pStyle w:val="Bibliography"/>
                <w:rPr>
                  <w:noProof/>
                  <w:lang w:val="en-US"/>
                </w:rPr>
              </w:pPr>
              <w:r>
                <w:rPr>
                  <w:noProof/>
                  <w:lang w:val="en-US"/>
                </w:rPr>
                <w:t xml:space="preserve">Aubrey, K. &amp; Riley, A., 2016. </w:t>
              </w:r>
              <w:r>
                <w:rPr>
                  <w:i/>
                  <w:iCs/>
                  <w:noProof/>
                  <w:lang w:val="en-US"/>
                </w:rPr>
                <w:t xml:space="preserve">Understanding and using educational theories. </w:t>
              </w:r>
              <w:r>
                <w:rPr>
                  <w:noProof/>
                  <w:lang w:val="en-US"/>
                </w:rPr>
                <w:t>London: Sage.</w:t>
              </w:r>
            </w:p>
            <w:p w:rsidR="00B45F90" w:rsidRDefault="00B45F90" w:rsidP="00B45F90">
              <w:pPr>
                <w:pStyle w:val="Bibliography"/>
                <w:rPr>
                  <w:noProof/>
                  <w:lang w:val="en-US"/>
                </w:rPr>
              </w:pPr>
              <w:r>
                <w:rPr>
                  <w:noProof/>
                  <w:lang w:val="en-US"/>
                </w:rPr>
                <w:t xml:space="preserve">Banning, M., 2005. Approaches to teaching: current opinions and related research. </w:t>
              </w:r>
              <w:r>
                <w:rPr>
                  <w:i/>
                  <w:iCs/>
                  <w:noProof/>
                  <w:lang w:val="en-US"/>
                </w:rPr>
                <w:t xml:space="preserve">Nurse Education Today, </w:t>
              </w:r>
              <w:r>
                <w:rPr>
                  <w:noProof/>
                  <w:lang w:val="en-US"/>
                </w:rPr>
                <w:t>25(7), pp. 502-508.</w:t>
              </w:r>
            </w:p>
            <w:p w:rsidR="00B45F90" w:rsidRDefault="00B45F90" w:rsidP="00B45F90">
              <w:pPr>
                <w:pStyle w:val="Bibliography"/>
                <w:rPr>
                  <w:noProof/>
                  <w:lang w:val="en-US"/>
                </w:rPr>
              </w:pPr>
              <w:r>
                <w:rPr>
                  <w:noProof/>
                  <w:lang w:val="en-US"/>
                </w:rPr>
                <w:t xml:space="preserve">Hurst, W., 2019. RIBA declares climate emergency. </w:t>
              </w:r>
              <w:r>
                <w:rPr>
                  <w:i/>
                  <w:iCs/>
                  <w:noProof/>
                  <w:lang w:val="en-US"/>
                </w:rPr>
                <w:t xml:space="preserve">Architects Journal, </w:t>
              </w:r>
              <w:r>
                <w:rPr>
                  <w:noProof/>
                  <w:lang w:val="en-US"/>
                </w:rPr>
                <w:t>Issue 27 June 2019.</w:t>
              </w:r>
            </w:p>
            <w:p w:rsidR="00B45F90" w:rsidRDefault="00B45F90" w:rsidP="00B45F90">
              <w:pPr>
                <w:pStyle w:val="Bibliography"/>
                <w:rPr>
                  <w:noProof/>
                  <w:lang w:val="en-US"/>
                </w:rPr>
              </w:pPr>
              <w:r>
                <w:rPr>
                  <w:noProof/>
                  <w:lang w:val="en-US"/>
                </w:rPr>
                <w:t xml:space="preserve">International Union of Architects, 2018. </w:t>
              </w:r>
              <w:r>
                <w:rPr>
                  <w:i/>
                  <w:iCs/>
                  <w:noProof/>
                  <w:lang w:val="en-US"/>
                </w:rPr>
                <w:t xml:space="preserve">UIA Declaration UN-Habitat General Assembly. </w:t>
              </w:r>
              <w:r>
                <w:rPr>
                  <w:noProof/>
                  <w:lang w:val="en-US"/>
                </w:rPr>
                <w:t xml:space="preserve">[Online] </w:t>
              </w:r>
              <w:r>
                <w:rPr>
                  <w:noProof/>
                  <w:lang w:val="en-US"/>
                </w:rPr>
                <w:br/>
                <w:t xml:space="preserve">Available at: </w:t>
              </w:r>
              <w:r>
                <w:rPr>
                  <w:noProof/>
                  <w:u w:val="single"/>
                  <w:lang w:val="en-US"/>
                </w:rPr>
                <w:t>https://www.uia-architectes.org/webApi/en/news/uia-declaration-un-habitat-general-assembly.html</w:t>
              </w:r>
              <w:r>
                <w:rPr>
                  <w:noProof/>
                  <w:lang w:val="en-US"/>
                </w:rPr>
                <w:br/>
                <w:t>[Accessed 21 August 2019].</w:t>
              </w:r>
            </w:p>
            <w:p w:rsidR="00B45F90" w:rsidRDefault="00B45F90" w:rsidP="00B45F90">
              <w:pPr>
                <w:pStyle w:val="Bibliography"/>
                <w:rPr>
                  <w:noProof/>
                  <w:lang w:val="en-US"/>
                </w:rPr>
              </w:pPr>
              <w:r>
                <w:rPr>
                  <w:noProof/>
                  <w:lang w:val="en-US"/>
                </w:rPr>
                <w:t xml:space="preserve">Ismail, M., Keumala, N. &amp; Dabdoob, R. M., 2017. Review on integrating sustainability knowledge into architectural education: Practice in the UK and the USA. </w:t>
              </w:r>
              <w:r>
                <w:rPr>
                  <w:i/>
                  <w:iCs/>
                  <w:noProof/>
                  <w:lang w:val="en-US"/>
                </w:rPr>
                <w:t xml:space="preserve">Journal of Cleaner Production, </w:t>
              </w:r>
              <w:r>
                <w:rPr>
                  <w:noProof/>
                  <w:lang w:val="en-US"/>
                </w:rPr>
                <w:t>Volume 140, pp. 1542-1552.</w:t>
              </w:r>
            </w:p>
            <w:p w:rsidR="00B45F90" w:rsidRDefault="00B45F90" w:rsidP="00B45F90">
              <w:pPr>
                <w:pStyle w:val="Bibliography"/>
                <w:rPr>
                  <w:noProof/>
                  <w:lang w:val="en-US"/>
                </w:rPr>
              </w:pPr>
              <w:r>
                <w:rPr>
                  <w:noProof/>
                  <w:lang w:val="en-US"/>
                </w:rPr>
                <w:t xml:space="preserve">Latham, M., 1994. </w:t>
              </w:r>
              <w:r>
                <w:rPr>
                  <w:i/>
                  <w:iCs/>
                  <w:noProof/>
                  <w:lang w:val="en-US"/>
                </w:rPr>
                <w:t xml:space="preserve">Constructing the Team: Final report of the Government / industry review of procurement and contractual arrangements in the UK Construction Industry, </w:t>
              </w:r>
              <w:r>
                <w:rPr>
                  <w:noProof/>
                  <w:lang w:val="en-US"/>
                </w:rPr>
                <w:t>London: HMSO.</w:t>
              </w:r>
            </w:p>
            <w:p w:rsidR="00B45F90" w:rsidRDefault="00B45F90" w:rsidP="00B45F90">
              <w:pPr>
                <w:pStyle w:val="Bibliography"/>
                <w:rPr>
                  <w:noProof/>
                  <w:lang w:val="en-US"/>
                </w:rPr>
              </w:pPr>
              <w:r>
                <w:rPr>
                  <w:noProof/>
                  <w:lang w:val="en-US"/>
                </w:rPr>
                <w:t xml:space="preserve">Nazidizaji, S., Tome, A., Regaterio, F. &amp; Ghalati, A. K., 2015. Narrative ways of architecture education: A case study. </w:t>
              </w:r>
              <w:r>
                <w:rPr>
                  <w:i/>
                  <w:iCs/>
                  <w:noProof/>
                  <w:lang w:val="en-US"/>
                </w:rPr>
                <w:t xml:space="preserve">Procedia - Social and Behavioural Sciences, </w:t>
              </w:r>
              <w:r>
                <w:rPr>
                  <w:noProof/>
                  <w:lang w:val="en-US"/>
                </w:rPr>
                <w:t>Volume 197, pp. 1640 - 1646.</w:t>
              </w:r>
            </w:p>
            <w:p w:rsidR="00B45F90" w:rsidRDefault="00B45F90" w:rsidP="00B45F90">
              <w:pPr>
                <w:pStyle w:val="Bibliography"/>
                <w:rPr>
                  <w:noProof/>
                  <w:lang w:val="en-US"/>
                </w:rPr>
              </w:pPr>
              <w:r>
                <w:rPr>
                  <w:noProof/>
                  <w:lang w:val="en-US"/>
                </w:rPr>
                <w:t xml:space="preserve">QAA, 2014. </w:t>
              </w:r>
              <w:r>
                <w:rPr>
                  <w:i/>
                  <w:iCs/>
                  <w:noProof/>
                  <w:lang w:val="en-US"/>
                </w:rPr>
                <w:t xml:space="preserve">Education for Sustainable Development: Guidance for UK Higher Education providers, </w:t>
              </w:r>
              <w:r>
                <w:rPr>
                  <w:noProof/>
                  <w:lang w:val="en-US"/>
                </w:rPr>
                <w:t>Gloucester: Quality Assurance Agency for Higher Education.</w:t>
              </w:r>
            </w:p>
            <w:p w:rsidR="00B45F90" w:rsidRDefault="00B45F90" w:rsidP="00B45F90">
              <w:pPr>
                <w:pStyle w:val="Bibliography"/>
                <w:rPr>
                  <w:noProof/>
                  <w:lang w:val="en-US"/>
                </w:rPr>
              </w:pPr>
              <w:r>
                <w:rPr>
                  <w:noProof/>
                  <w:lang w:val="en-US"/>
                </w:rPr>
                <w:t xml:space="preserve">RIBA, 2014. </w:t>
              </w:r>
              <w:r>
                <w:rPr>
                  <w:i/>
                  <w:iCs/>
                  <w:noProof/>
                  <w:lang w:val="en-US"/>
                </w:rPr>
                <w:t xml:space="preserve">RIBA Appointments: Skills Survey Report 2014, </w:t>
              </w:r>
              <w:r>
                <w:rPr>
                  <w:noProof/>
                  <w:lang w:val="en-US"/>
                </w:rPr>
                <w:t>London: RIBA Appointments.</w:t>
              </w:r>
            </w:p>
            <w:p w:rsidR="00B45F90" w:rsidRDefault="00B45F90" w:rsidP="00B45F90">
              <w:pPr>
                <w:pStyle w:val="Bibliography"/>
                <w:rPr>
                  <w:noProof/>
                  <w:lang w:val="en-US"/>
                </w:rPr>
              </w:pPr>
              <w:r>
                <w:rPr>
                  <w:noProof/>
                  <w:lang w:val="en-US"/>
                </w:rPr>
                <w:t xml:space="preserve">RIBA, 2018. </w:t>
              </w:r>
              <w:r>
                <w:rPr>
                  <w:i/>
                  <w:iCs/>
                  <w:noProof/>
                  <w:lang w:val="en-US"/>
                </w:rPr>
                <w:t xml:space="preserve">RIBA Ethics and Sustainable Development Commission: Key findings and recommendations, </w:t>
              </w:r>
              <w:r>
                <w:rPr>
                  <w:noProof/>
                  <w:lang w:val="en-US"/>
                </w:rPr>
                <w:t>London: RIBA.</w:t>
              </w:r>
            </w:p>
            <w:p w:rsidR="00B45F90" w:rsidRDefault="00B45F90" w:rsidP="00B45F90">
              <w:pPr>
                <w:pStyle w:val="Bibliography"/>
                <w:rPr>
                  <w:noProof/>
                  <w:lang w:val="en-US"/>
                </w:rPr>
              </w:pPr>
              <w:r>
                <w:rPr>
                  <w:noProof/>
                  <w:lang w:val="en-US"/>
                </w:rPr>
                <w:t xml:space="preserve">Rutherford, P. &amp; Wilson, R., 2006. </w:t>
              </w:r>
              <w:r>
                <w:rPr>
                  <w:i/>
                  <w:iCs/>
                  <w:noProof/>
                  <w:lang w:val="en-US"/>
                </w:rPr>
                <w:t xml:space="preserve">Educating environmental awareness: creativity in integrated environmental design teaching. </w:t>
              </w:r>
              <w:r>
                <w:rPr>
                  <w:noProof/>
                  <w:lang w:val="en-US"/>
                </w:rPr>
                <w:t>Adelaide, 40th Annual Conference of the Architectural Science Association ANZAScA.</w:t>
              </w:r>
            </w:p>
            <w:p w:rsidR="00B45F90" w:rsidRDefault="00B45F90" w:rsidP="00B45F90">
              <w:pPr>
                <w:pStyle w:val="Bibliography"/>
                <w:rPr>
                  <w:noProof/>
                  <w:lang w:val="en-US"/>
                </w:rPr>
              </w:pPr>
              <w:r>
                <w:rPr>
                  <w:noProof/>
                  <w:lang w:val="en-US"/>
                </w:rPr>
                <w:lastRenderedPageBreak/>
                <w:t xml:space="preserve">Swee, C. &amp; Beasy, K., 2019. Educating for Sustainability: Concepts and meaning of Education for Sustainability. In: F. Birkin &amp; T. Polesie, eds. </w:t>
              </w:r>
              <w:r>
                <w:rPr>
                  <w:i/>
                  <w:iCs/>
                  <w:noProof/>
                  <w:lang w:val="en-US"/>
                </w:rPr>
                <w:t xml:space="preserve">Intrinsic Capability: Implementing intrinsic sustainable development for an ecological civilisation. </w:t>
              </w:r>
              <w:r>
                <w:rPr>
                  <w:noProof/>
                  <w:lang w:val="en-US"/>
                </w:rPr>
                <w:t>Sweden: World Scientific, pp. 125-149.</w:t>
              </w:r>
            </w:p>
            <w:p w:rsidR="00B45F90" w:rsidRDefault="00B45F90" w:rsidP="00B45F90">
              <w:pPr>
                <w:pStyle w:val="Bibliography"/>
                <w:rPr>
                  <w:noProof/>
                  <w:lang w:val="en-US"/>
                </w:rPr>
              </w:pPr>
              <w:r>
                <w:rPr>
                  <w:noProof/>
                  <w:lang w:val="en-US"/>
                </w:rPr>
                <w:t xml:space="preserve">Taleghani, M., Ansari, H. R. &amp; Jennings, P., 2011. Sustainability in architectural education: A comparison of Iran and Australia. </w:t>
              </w:r>
              <w:r>
                <w:rPr>
                  <w:i/>
                  <w:iCs/>
                  <w:noProof/>
                  <w:lang w:val="en-US"/>
                </w:rPr>
                <w:t xml:space="preserve">Renewable Energy, </w:t>
              </w:r>
              <w:r>
                <w:rPr>
                  <w:noProof/>
                  <w:lang w:val="en-US"/>
                </w:rPr>
                <w:t>Volume 36, pp. 2021 - 2025.</w:t>
              </w:r>
            </w:p>
            <w:p w:rsidR="00B45F90" w:rsidRDefault="00B45F90" w:rsidP="00B45F90">
              <w:pPr>
                <w:pStyle w:val="Bibliography"/>
                <w:rPr>
                  <w:noProof/>
                  <w:lang w:val="en-US"/>
                </w:rPr>
              </w:pPr>
              <w:r>
                <w:rPr>
                  <w:noProof/>
                  <w:lang w:val="en-US"/>
                </w:rPr>
                <w:t xml:space="preserve">UWTSD, 2015. </w:t>
              </w:r>
              <w:r>
                <w:rPr>
                  <w:i/>
                  <w:iCs/>
                  <w:noProof/>
                  <w:lang w:val="en-US"/>
                </w:rPr>
                <w:t xml:space="preserve">BSc Architecture Definitive Programme Document, </w:t>
              </w:r>
              <w:r>
                <w:rPr>
                  <w:noProof/>
                  <w:lang w:val="en-US"/>
                </w:rPr>
                <w:t>Swansea: UWTSD.</w:t>
              </w:r>
            </w:p>
            <w:p w:rsidR="009D2C4F" w:rsidRDefault="009D2C4F" w:rsidP="00B45F90">
              <w:r>
                <w:rPr>
                  <w:b/>
                  <w:bCs/>
                  <w:noProof/>
                </w:rPr>
                <w:fldChar w:fldCharType="end"/>
              </w:r>
            </w:p>
          </w:sdtContent>
        </w:sdt>
      </w:sdtContent>
    </w:sdt>
    <w:p w:rsidR="00B45F90" w:rsidRDefault="00B45F90">
      <w:r>
        <w:br w:type="page"/>
      </w:r>
    </w:p>
    <w:p w:rsidR="00B45F90" w:rsidRDefault="00B45F90" w:rsidP="00B45F90">
      <w:pPr>
        <w:pStyle w:val="Heading1"/>
      </w:pPr>
      <w:bookmarkStart w:id="11" w:name="_Toc22310695"/>
      <w:r>
        <w:lastRenderedPageBreak/>
        <w:t>Teaching intervention cycle poster</w:t>
      </w:r>
      <w:bookmarkEnd w:id="11"/>
    </w:p>
    <w:p w:rsidR="00B45F90" w:rsidRPr="00B45F90" w:rsidRDefault="00B45F90" w:rsidP="00B45F90">
      <w:pPr>
        <w:rPr>
          <w:lang w:val="en-US"/>
        </w:rPr>
      </w:pPr>
      <w:r>
        <w:object w:dxaOrig="7560" w:dyaOrig="100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5" type="#_x0000_t75" style="width:460.5pt;height:613.5pt" o:ole="">
            <v:imagedata r:id="rId6" o:title=""/>
          </v:shape>
          <o:OLEObject Type="Embed" ProgID="Acrobat.Document.DC" ShapeID="_x0000_i1045" DrawAspect="Content" ObjectID="_1632923473" r:id="rId7"/>
        </w:object>
      </w:r>
      <w:r w:rsidR="009C1C4E">
        <w:br w:type="page"/>
      </w:r>
    </w:p>
    <w:p w:rsidR="009C1C4E" w:rsidRDefault="009C1C4E" w:rsidP="009C1C4E">
      <w:pPr>
        <w:pStyle w:val="Heading1"/>
      </w:pPr>
      <w:bookmarkStart w:id="12" w:name="_Toc22310696"/>
      <w:r>
        <w:lastRenderedPageBreak/>
        <w:t>Teaching Observation number 1</w:t>
      </w:r>
      <w:bookmarkEnd w:id="12"/>
    </w:p>
    <w:p w:rsidR="009C1C4E" w:rsidRDefault="009C1C4E" w:rsidP="009C1C4E">
      <w:pPr>
        <w:spacing w:after="300"/>
        <w:jc w:val="center"/>
        <w:rPr>
          <w:rFonts w:ascii="Arial" w:eastAsia="Arial" w:hAnsi="Arial" w:cs="Arial"/>
          <w:color w:val="17365D"/>
          <w:sz w:val="21"/>
          <w:szCs w:val="21"/>
        </w:rPr>
      </w:pPr>
      <w:r>
        <w:rPr>
          <w:noProof/>
          <w:lang w:eastAsia="en-GB"/>
        </w:rPr>
        <w:drawing>
          <wp:inline distT="0" distB="0" distL="0" distR="0" wp14:anchorId="26D6036A" wp14:editId="7B4DCDB9">
            <wp:extent cx="1790700" cy="600075"/>
            <wp:effectExtent l="0" t="0" r="0" b="0"/>
            <wp:docPr id="883260660" name="Picture 8832606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790700" cy="600075"/>
                    </a:xfrm>
                    <a:prstGeom prst="rect">
                      <a:avLst/>
                    </a:prstGeom>
                  </pic:spPr>
                </pic:pic>
              </a:graphicData>
            </a:graphic>
          </wp:inline>
        </w:drawing>
      </w:r>
    </w:p>
    <w:tbl>
      <w:tblPr>
        <w:tblW w:w="0" w:type="auto"/>
        <w:tblLayout w:type="fixed"/>
        <w:tblLook w:val="00A0" w:firstRow="1" w:lastRow="0" w:firstColumn="1" w:lastColumn="0" w:noHBand="0" w:noVBand="0"/>
      </w:tblPr>
      <w:tblGrid>
        <w:gridCol w:w="4513"/>
        <w:gridCol w:w="4513"/>
      </w:tblGrid>
      <w:tr w:rsidR="009C1C4E" w:rsidTr="00B45F90">
        <w:tc>
          <w:tcPr>
            <w:tcW w:w="4513" w:type="dxa"/>
          </w:tcPr>
          <w:p w:rsidR="009C1C4E" w:rsidRDefault="009C1C4E" w:rsidP="00B45F90">
            <w:pPr>
              <w:rPr>
                <w:rFonts w:ascii="Baskerville Old Face" w:eastAsia="Baskerville Old Face" w:hAnsi="Baskerville Old Face" w:cs="Baskerville Old Face"/>
                <w:color w:val="000000" w:themeColor="text1"/>
                <w:sz w:val="24"/>
                <w:szCs w:val="24"/>
              </w:rPr>
            </w:pPr>
            <w:proofErr w:type="spellStart"/>
            <w:r w:rsidRPr="49D11E10">
              <w:rPr>
                <w:rFonts w:ascii="Baskerville Old Face" w:eastAsia="Baskerville Old Face" w:hAnsi="Baskerville Old Face" w:cs="Baskerville Old Face"/>
                <w:color w:val="000000" w:themeColor="text1"/>
                <w:sz w:val="24"/>
                <w:szCs w:val="24"/>
              </w:rPr>
              <w:t>PGCert</w:t>
            </w:r>
            <w:proofErr w:type="spellEnd"/>
            <w:r w:rsidRPr="49D11E10">
              <w:rPr>
                <w:rFonts w:ascii="Baskerville Old Face" w:eastAsia="Baskerville Old Face" w:hAnsi="Baskerville Old Face" w:cs="Baskerville Old Face"/>
                <w:color w:val="000000" w:themeColor="text1"/>
                <w:sz w:val="24"/>
                <w:szCs w:val="24"/>
              </w:rPr>
              <w:t xml:space="preserve"> </w:t>
            </w:r>
            <w:proofErr w:type="spellStart"/>
            <w:r w:rsidRPr="49D11E10">
              <w:rPr>
                <w:rFonts w:ascii="Baskerville Old Face" w:eastAsia="Baskerville Old Face" w:hAnsi="Baskerville Old Face" w:cs="Baskerville Old Face"/>
                <w:color w:val="000000" w:themeColor="text1"/>
                <w:sz w:val="24"/>
                <w:szCs w:val="24"/>
              </w:rPr>
              <w:t>tHE</w:t>
            </w:r>
            <w:proofErr w:type="spellEnd"/>
            <w:r w:rsidRPr="49D11E10">
              <w:rPr>
                <w:rFonts w:ascii="Baskerville Old Face" w:eastAsia="Baskerville Old Face" w:hAnsi="Baskerville Old Face" w:cs="Baskerville Old Face"/>
                <w:color w:val="000000" w:themeColor="text1"/>
                <w:sz w:val="24"/>
                <w:szCs w:val="24"/>
              </w:rPr>
              <w:t xml:space="preserve">  STAFF OBSERVATION FORM</w:t>
            </w:r>
          </w:p>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 xml:space="preserve">Name of Staff member: </w:t>
            </w:r>
            <w:r w:rsidRPr="49D11E10">
              <w:rPr>
                <w:rFonts w:ascii="Baskerville Old Face" w:eastAsia="Baskerville Old Face" w:hAnsi="Baskerville Old Face" w:cs="Baskerville Old Face"/>
                <w:b/>
                <w:bCs/>
                <w:color w:val="000000" w:themeColor="text1"/>
                <w:sz w:val="24"/>
                <w:szCs w:val="24"/>
              </w:rPr>
              <w:t>Lara Hopkinson</w:t>
            </w:r>
          </w:p>
        </w:tc>
        <w:tc>
          <w:tcPr>
            <w:tcW w:w="4513" w:type="dxa"/>
          </w:tcPr>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Date:  5</w:t>
            </w:r>
            <w:r w:rsidRPr="49D11E10">
              <w:rPr>
                <w:rFonts w:ascii="Baskerville Old Face" w:eastAsia="Baskerville Old Face" w:hAnsi="Baskerville Old Face" w:cs="Baskerville Old Face"/>
                <w:color w:val="000000" w:themeColor="text1"/>
                <w:sz w:val="24"/>
                <w:szCs w:val="24"/>
                <w:vertAlign w:val="superscript"/>
              </w:rPr>
              <w:t>th</w:t>
            </w:r>
            <w:r w:rsidRPr="49D11E10">
              <w:rPr>
                <w:rFonts w:ascii="Baskerville Old Face" w:eastAsia="Baskerville Old Face" w:hAnsi="Baskerville Old Face" w:cs="Baskerville Old Face"/>
                <w:color w:val="000000" w:themeColor="text1"/>
                <w:sz w:val="24"/>
                <w:szCs w:val="24"/>
              </w:rPr>
              <w:t xml:space="preserve"> March 2019</w:t>
            </w:r>
          </w:p>
        </w:tc>
      </w:tr>
      <w:tr w:rsidR="009C1C4E" w:rsidTr="00B45F90">
        <w:tc>
          <w:tcPr>
            <w:tcW w:w="4513" w:type="dxa"/>
          </w:tcPr>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Name of Observer: Mark Flagg</w:t>
            </w:r>
          </w:p>
        </w:tc>
        <w:tc>
          <w:tcPr>
            <w:tcW w:w="4513" w:type="dxa"/>
          </w:tcPr>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Number in class: 35</w:t>
            </w:r>
          </w:p>
        </w:tc>
      </w:tr>
      <w:tr w:rsidR="009C1C4E" w:rsidTr="00B45F90">
        <w:tc>
          <w:tcPr>
            <w:tcW w:w="4513" w:type="dxa"/>
          </w:tcPr>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Student level:6/7</w:t>
            </w:r>
          </w:p>
        </w:tc>
        <w:tc>
          <w:tcPr>
            <w:tcW w:w="4513" w:type="dxa"/>
          </w:tcPr>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Location: IQ 101</w:t>
            </w:r>
          </w:p>
        </w:tc>
      </w:tr>
      <w:tr w:rsidR="009C1C4E" w:rsidTr="00B45F90">
        <w:tc>
          <w:tcPr>
            <w:tcW w:w="4513" w:type="dxa"/>
          </w:tcPr>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Topic: Environmental Law</w:t>
            </w:r>
          </w:p>
        </w:tc>
        <w:tc>
          <w:tcPr>
            <w:tcW w:w="4513" w:type="dxa"/>
          </w:tcPr>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Start Time:11.00     Finish Time:13.00</w:t>
            </w:r>
          </w:p>
        </w:tc>
      </w:tr>
      <w:tr w:rsidR="009C1C4E" w:rsidTr="00B45F90">
        <w:tc>
          <w:tcPr>
            <w:tcW w:w="9026" w:type="dxa"/>
            <w:gridSpan w:val="2"/>
          </w:tcPr>
          <w:p w:rsidR="009C1C4E" w:rsidRDefault="009C1C4E" w:rsidP="00B45F90">
            <w:pPr>
              <w:rPr>
                <w:rFonts w:ascii="Baskerville Old Face" w:eastAsia="Baskerville Old Face" w:hAnsi="Baskerville Old Face" w:cs="Baskerville Old Face"/>
                <w:b/>
                <w:bCs/>
                <w:color w:val="000000" w:themeColor="text1"/>
                <w:sz w:val="24"/>
                <w:szCs w:val="24"/>
              </w:rPr>
            </w:pPr>
          </w:p>
          <w:p w:rsidR="009C1C4E" w:rsidRDefault="009C1C4E" w:rsidP="00B45F90">
            <w:pPr>
              <w:rPr>
                <w:rFonts w:ascii="Baskerville Old Face" w:eastAsia="Baskerville Old Face" w:hAnsi="Baskerville Old Face" w:cs="Baskerville Old Face"/>
                <w:b/>
                <w:bCs/>
                <w:color w:val="000000" w:themeColor="text1"/>
                <w:sz w:val="24"/>
                <w:szCs w:val="24"/>
              </w:rPr>
            </w:pPr>
            <w:r w:rsidRPr="49D11E10">
              <w:rPr>
                <w:rFonts w:ascii="Baskerville Old Face" w:eastAsia="Baskerville Old Face" w:hAnsi="Baskerville Old Face" w:cs="Baskerville Old Face"/>
                <w:b/>
                <w:bCs/>
                <w:color w:val="000000" w:themeColor="text1"/>
                <w:sz w:val="24"/>
                <w:szCs w:val="24"/>
              </w:rPr>
              <w:t>Teaching Characteristics:</w:t>
            </w: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 xml:space="preserve">Lara had prepared a lesson plan and had researched and her lesson. The lesson planning includes the aim of the lesson and the rationale, carefully selected teaching strategies appropriate for delivery of the content. Lara had set out the time plan and detail of key activities in a great deal of detail. The planning document is superb and is a working document. </w:t>
            </w:r>
          </w:p>
        </w:tc>
      </w:tr>
      <w:tr w:rsidR="009C1C4E" w:rsidTr="00B45F90">
        <w:tc>
          <w:tcPr>
            <w:tcW w:w="9026" w:type="dxa"/>
            <w:gridSpan w:val="2"/>
          </w:tcPr>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b/>
                <w:bCs/>
                <w:color w:val="000000" w:themeColor="text1"/>
                <w:sz w:val="24"/>
                <w:szCs w:val="24"/>
              </w:rPr>
              <w:t xml:space="preserve">Presentation: </w:t>
            </w:r>
            <w:r w:rsidRPr="49D11E10">
              <w:rPr>
                <w:rFonts w:ascii="Baskerville Old Face" w:eastAsia="Baskerville Old Face" w:hAnsi="Baskerville Old Face" w:cs="Baskerville Old Face"/>
                <w:color w:val="000000" w:themeColor="text1"/>
                <w:sz w:val="24"/>
                <w:szCs w:val="24"/>
              </w:rPr>
              <w:t xml:space="preserve"> The presentation to such a large group was superb. Lara got the balance right between a presentation and engagement. At the beginning of the class Lara aimed to settle the group, who were talkative, as is naturally the case for transition from a coffee area. Lara quietly and confidently handled the introduction well and slowly established leadership of the group. She introduced the subject and was responded to with a somewhat negative reception by some students, however Lara dealt with this expertly, emphasising the importance of the subject to the student. This was a turning point in the lesson, and Lara had managed to focus the students on the topic, and calm ensued.</w:t>
            </w:r>
          </w:p>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 xml:space="preserve">What was of enormous benefit to the students learning, was Lara asking at the start a key question as to why the topic was </w:t>
            </w:r>
            <w:proofErr w:type="gramStart"/>
            <w:r w:rsidRPr="49D11E10">
              <w:rPr>
                <w:rFonts w:ascii="Baskerville Old Face" w:eastAsia="Baskerville Old Face" w:hAnsi="Baskerville Old Face" w:cs="Baskerville Old Face"/>
                <w:color w:val="000000" w:themeColor="text1"/>
                <w:sz w:val="24"/>
                <w:szCs w:val="24"/>
              </w:rPr>
              <w:t>important.</w:t>
            </w:r>
            <w:proofErr w:type="gramEnd"/>
            <w:r w:rsidRPr="49D11E10">
              <w:rPr>
                <w:rFonts w:ascii="Baskerville Old Face" w:eastAsia="Baskerville Old Face" w:hAnsi="Baskerville Old Face" w:cs="Baskerville Old Face"/>
                <w:color w:val="000000" w:themeColor="text1"/>
                <w:sz w:val="24"/>
                <w:szCs w:val="24"/>
              </w:rPr>
              <w:t xml:space="preserve"> This activity provided opportunity for the more emotionally intelligent students to take the floor, and from that point the lesson moved to a very mature and intelligent discussion on areas of environmental law.</w:t>
            </w:r>
          </w:p>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lastRenderedPageBreak/>
              <w:t>I felt Lara provided clarity to a difficult subject and she used real examples to provide informative and lasting learning. I felt the students were engaged, and enjoying the session, and that the importance of the law in environmental studies was being understood. I am not a practitioner in this area, but I could understand and enjoy the lesson myself</w:t>
            </w:r>
          </w:p>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 xml:space="preserve"> Lara brought key discussions to a suitable conclusion, recapping and reviewing key themes throughout. She dealt with what I would describe as some unhelpful behaviours in the group well, drawing attention to behaviours that were helpful (like switching phones to silent - this is tricky when the UWTSD suggest phones help with learning). It is clear that some students distract, but Lara took it all in her stride, to provide informative and engaging learning</w:t>
            </w:r>
          </w:p>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Lara’s style is assertive, positive and engaging, there were many occasions when Lara had the absolute attention of all students. I am convinced her expertise carries the learning forward, she has a passion for her subject and cares deeply about her teaching, this is in evidence for those who care to see.</w:t>
            </w:r>
          </w:p>
        </w:tc>
      </w:tr>
      <w:tr w:rsidR="009C1C4E" w:rsidTr="00B45F90">
        <w:tc>
          <w:tcPr>
            <w:tcW w:w="4513" w:type="dxa"/>
          </w:tcPr>
          <w:p w:rsidR="009C1C4E" w:rsidRDefault="009C1C4E" w:rsidP="00B45F90">
            <w:pPr>
              <w:rPr>
                <w:rFonts w:ascii="Baskerville Old Face" w:eastAsia="Baskerville Old Face" w:hAnsi="Baskerville Old Face" w:cs="Baskerville Old Face"/>
                <w:color w:val="000000" w:themeColor="text1"/>
                <w:sz w:val="24"/>
                <w:szCs w:val="24"/>
              </w:rPr>
            </w:pPr>
          </w:p>
        </w:tc>
        <w:tc>
          <w:tcPr>
            <w:tcW w:w="4513" w:type="dxa"/>
          </w:tcPr>
          <w:p w:rsidR="009C1C4E" w:rsidRDefault="009C1C4E" w:rsidP="00B45F90">
            <w:pPr>
              <w:rPr>
                <w:rFonts w:ascii="Baskerville Old Face" w:eastAsia="Baskerville Old Face" w:hAnsi="Baskerville Old Face" w:cs="Baskerville Old Face"/>
                <w:sz w:val="24"/>
                <w:szCs w:val="24"/>
              </w:rPr>
            </w:pPr>
          </w:p>
        </w:tc>
      </w:tr>
      <w:tr w:rsidR="009C1C4E" w:rsidTr="00B45F90">
        <w:tc>
          <w:tcPr>
            <w:tcW w:w="4513" w:type="dxa"/>
          </w:tcPr>
          <w:p w:rsidR="009C1C4E" w:rsidRDefault="009C1C4E" w:rsidP="00B45F90">
            <w:pPr>
              <w:rPr>
                <w:rFonts w:ascii="Baskerville Old Face" w:eastAsia="Baskerville Old Face" w:hAnsi="Baskerville Old Face" w:cs="Baskerville Old Face"/>
                <w:color w:val="000000" w:themeColor="text1"/>
                <w:sz w:val="24"/>
                <w:szCs w:val="24"/>
              </w:rPr>
            </w:pPr>
          </w:p>
        </w:tc>
        <w:tc>
          <w:tcPr>
            <w:tcW w:w="4513" w:type="dxa"/>
          </w:tcPr>
          <w:p w:rsidR="009C1C4E" w:rsidRDefault="009C1C4E" w:rsidP="00B45F90">
            <w:pPr>
              <w:rPr>
                <w:rFonts w:ascii="Baskerville Old Face" w:eastAsia="Baskerville Old Face" w:hAnsi="Baskerville Old Face" w:cs="Baskerville Old Face"/>
                <w:sz w:val="24"/>
                <w:szCs w:val="24"/>
              </w:rPr>
            </w:pPr>
          </w:p>
        </w:tc>
      </w:tr>
      <w:tr w:rsidR="009C1C4E" w:rsidTr="00B45F90">
        <w:tc>
          <w:tcPr>
            <w:tcW w:w="9026" w:type="dxa"/>
            <w:gridSpan w:val="2"/>
          </w:tcPr>
          <w:p w:rsidR="009C1C4E" w:rsidRDefault="009C1C4E" w:rsidP="00B45F90">
            <w:pPr>
              <w:spacing w:after="0"/>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b/>
                <w:bCs/>
                <w:color w:val="000000" w:themeColor="text1"/>
                <w:sz w:val="24"/>
                <w:szCs w:val="24"/>
              </w:rPr>
              <w:t>Technique and Aids:</w:t>
            </w:r>
            <w:r w:rsidRPr="49D11E10">
              <w:rPr>
                <w:rFonts w:ascii="Baskerville Old Face" w:eastAsia="Baskerville Old Face" w:hAnsi="Baskerville Old Face" w:cs="Baskerville Old Face"/>
                <w:color w:val="000000" w:themeColor="text1"/>
                <w:sz w:val="24"/>
                <w:szCs w:val="24"/>
              </w:rPr>
              <w:t xml:space="preserve">  Lara is entirely familiar with teaching with enhanced technologies and can adopt teaching techniques with competence, such as leading discussions, closing and </w:t>
            </w:r>
            <w:proofErr w:type="spellStart"/>
            <w:r w:rsidRPr="49D11E10">
              <w:rPr>
                <w:rFonts w:ascii="Baskerville Old Face" w:eastAsia="Baskerville Old Face" w:hAnsi="Baskerville Old Face" w:cs="Baskerville Old Face"/>
                <w:color w:val="000000" w:themeColor="text1"/>
                <w:sz w:val="24"/>
                <w:szCs w:val="24"/>
              </w:rPr>
              <w:t>transtion</w:t>
            </w:r>
            <w:proofErr w:type="spellEnd"/>
            <w:r w:rsidRPr="49D11E10">
              <w:rPr>
                <w:rFonts w:ascii="Baskerville Old Face" w:eastAsia="Baskerville Old Face" w:hAnsi="Baskerville Old Face" w:cs="Baskerville Old Face"/>
                <w:color w:val="000000" w:themeColor="text1"/>
                <w:sz w:val="24"/>
                <w:szCs w:val="24"/>
              </w:rPr>
              <w:t xml:space="preserve"> of phases of teaching </w:t>
            </w:r>
          </w:p>
          <w:p w:rsidR="009C1C4E" w:rsidRDefault="009C1C4E" w:rsidP="00B45F90">
            <w:pPr>
              <w:rPr>
                <w:rFonts w:ascii="Baskerville Old Face" w:eastAsia="Baskerville Old Face" w:hAnsi="Baskerville Old Face" w:cs="Baskerville Old Face"/>
                <w:color w:val="000000" w:themeColor="text1"/>
                <w:sz w:val="24"/>
                <w:szCs w:val="24"/>
              </w:rPr>
            </w:pPr>
          </w:p>
        </w:tc>
      </w:tr>
      <w:tr w:rsidR="009C1C4E" w:rsidTr="00B45F90">
        <w:tc>
          <w:tcPr>
            <w:tcW w:w="9026" w:type="dxa"/>
            <w:gridSpan w:val="2"/>
          </w:tcPr>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b/>
                <w:bCs/>
                <w:color w:val="000000" w:themeColor="text1"/>
                <w:sz w:val="24"/>
                <w:szCs w:val="24"/>
              </w:rPr>
              <w:t>Student Responses:  A</w:t>
            </w:r>
            <w:r w:rsidRPr="49D11E10">
              <w:rPr>
                <w:rFonts w:ascii="Baskerville Old Face" w:eastAsia="Baskerville Old Face" w:hAnsi="Baskerville Old Face" w:cs="Baskerville Old Face"/>
                <w:color w:val="000000" w:themeColor="text1"/>
                <w:sz w:val="24"/>
                <w:szCs w:val="24"/>
              </w:rPr>
              <w:t xml:space="preserve">s stated previously the class was transitioning from a social area to IQ101. Lara dealt with the </w:t>
            </w:r>
            <w:proofErr w:type="spellStart"/>
            <w:r w:rsidRPr="49D11E10">
              <w:rPr>
                <w:rFonts w:ascii="Baskerville Old Face" w:eastAsia="Baskerville Old Face" w:hAnsi="Baskerville Old Face" w:cs="Baskerville Old Face"/>
                <w:color w:val="000000" w:themeColor="text1"/>
                <w:sz w:val="24"/>
                <w:szCs w:val="24"/>
              </w:rPr>
              <w:t>transtion</w:t>
            </w:r>
            <w:proofErr w:type="spellEnd"/>
            <w:r w:rsidRPr="49D11E10">
              <w:rPr>
                <w:rFonts w:ascii="Baskerville Old Face" w:eastAsia="Baskerville Old Face" w:hAnsi="Baskerville Old Face" w:cs="Baskerville Old Face"/>
                <w:color w:val="000000" w:themeColor="text1"/>
                <w:sz w:val="24"/>
                <w:szCs w:val="24"/>
              </w:rPr>
              <w:t xml:space="preserve"> superbly, quietly and professionally settling the class, stating the intention and finally to command attention by engaging and interactive learning, where a superb discussion ensued. Lara has the right balance of respect of the students and focus on.  She is a superb teacher. In terms of problems, I would describe some of the group as lacking emotional intelligence, I.e. talking, giggling </w:t>
            </w:r>
            <w:proofErr w:type="spellStart"/>
            <w:proofErr w:type="gramStart"/>
            <w:r w:rsidRPr="49D11E10">
              <w:rPr>
                <w:rFonts w:ascii="Baskerville Old Face" w:eastAsia="Baskerville Old Face" w:hAnsi="Baskerville Old Face" w:cs="Baskerville Old Face"/>
                <w:color w:val="000000" w:themeColor="text1"/>
                <w:sz w:val="24"/>
                <w:szCs w:val="24"/>
              </w:rPr>
              <w:t>etc</w:t>
            </w:r>
            <w:proofErr w:type="spellEnd"/>
            <w:r w:rsidRPr="49D11E10">
              <w:rPr>
                <w:rFonts w:ascii="Baskerville Old Face" w:eastAsia="Baskerville Old Face" w:hAnsi="Baskerville Old Face" w:cs="Baskerville Old Face"/>
                <w:color w:val="000000" w:themeColor="text1"/>
                <w:sz w:val="24"/>
                <w:szCs w:val="24"/>
              </w:rPr>
              <w:t xml:space="preserve"> .</w:t>
            </w:r>
            <w:proofErr w:type="gramEnd"/>
            <w:r w:rsidRPr="49D11E10">
              <w:rPr>
                <w:rFonts w:ascii="Baskerville Old Face" w:eastAsia="Baskerville Old Face" w:hAnsi="Baskerville Old Face" w:cs="Baskerville Old Face"/>
                <w:color w:val="000000" w:themeColor="text1"/>
                <w:sz w:val="24"/>
                <w:szCs w:val="24"/>
              </w:rPr>
              <w:t xml:space="preserve"> However, with quiet perseverance, and engagement with the students that are more mature. She slowly established leadership of the learning.</w:t>
            </w: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w:t>
            </w:r>
          </w:p>
        </w:tc>
      </w:tr>
      <w:tr w:rsidR="009C1C4E" w:rsidTr="00B45F90">
        <w:tc>
          <w:tcPr>
            <w:tcW w:w="4513" w:type="dxa"/>
          </w:tcPr>
          <w:p w:rsidR="009C1C4E" w:rsidRDefault="009C1C4E" w:rsidP="00B45F90">
            <w:pPr>
              <w:rPr>
                <w:rFonts w:ascii="Baskerville Old Face" w:eastAsia="Baskerville Old Face" w:hAnsi="Baskerville Old Face" w:cs="Baskerville Old Face"/>
                <w:color w:val="000000" w:themeColor="text1"/>
                <w:sz w:val="24"/>
                <w:szCs w:val="24"/>
              </w:rPr>
            </w:pPr>
          </w:p>
        </w:tc>
        <w:tc>
          <w:tcPr>
            <w:tcW w:w="4513" w:type="dxa"/>
          </w:tcPr>
          <w:p w:rsidR="009C1C4E" w:rsidRDefault="009C1C4E" w:rsidP="00B45F90">
            <w:pPr>
              <w:rPr>
                <w:rFonts w:ascii="Baskerville Old Face" w:eastAsia="Baskerville Old Face" w:hAnsi="Baskerville Old Face" w:cs="Baskerville Old Face"/>
                <w:sz w:val="24"/>
                <w:szCs w:val="24"/>
              </w:rPr>
            </w:pPr>
          </w:p>
        </w:tc>
      </w:tr>
      <w:tr w:rsidR="009C1C4E" w:rsidTr="00B45F90">
        <w:tc>
          <w:tcPr>
            <w:tcW w:w="9026" w:type="dxa"/>
            <w:gridSpan w:val="2"/>
          </w:tcPr>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b/>
                <w:bCs/>
                <w:color w:val="000000" w:themeColor="text1"/>
                <w:sz w:val="24"/>
                <w:szCs w:val="24"/>
              </w:rPr>
              <w:t xml:space="preserve">General: Lara was highly </w:t>
            </w:r>
            <w:r w:rsidRPr="49D11E10">
              <w:rPr>
                <w:rFonts w:ascii="Baskerville Old Face" w:eastAsia="Baskerville Old Face" w:hAnsi="Baskerville Old Face" w:cs="Baskerville Old Face"/>
                <w:color w:val="000000" w:themeColor="text1"/>
                <w:sz w:val="24"/>
                <w:szCs w:val="24"/>
              </w:rPr>
              <w:t>effective in her communication with the group. She established superb student – teacher rapport. The aims of the lesson were achieved. Given the type of room she selected appropriate teaching/learning methods to provide an informative and engaging lesson</w:t>
            </w:r>
          </w:p>
        </w:tc>
      </w:tr>
      <w:tr w:rsidR="009C1C4E" w:rsidTr="00B45F90">
        <w:tc>
          <w:tcPr>
            <w:tcW w:w="4513" w:type="dxa"/>
          </w:tcPr>
          <w:p w:rsidR="009C1C4E" w:rsidRDefault="009C1C4E" w:rsidP="00B45F90">
            <w:pPr>
              <w:rPr>
                <w:rFonts w:ascii="Baskerville Old Face" w:eastAsia="Baskerville Old Face" w:hAnsi="Baskerville Old Face" w:cs="Baskerville Old Face"/>
                <w:color w:val="000000" w:themeColor="text1"/>
                <w:sz w:val="24"/>
                <w:szCs w:val="24"/>
              </w:rPr>
            </w:pPr>
          </w:p>
        </w:tc>
        <w:tc>
          <w:tcPr>
            <w:tcW w:w="4513" w:type="dxa"/>
          </w:tcPr>
          <w:p w:rsidR="009C1C4E" w:rsidRDefault="009C1C4E" w:rsidP="00B45F90">
            <w:pPr>
              <w:rPr>
                <w:rFonts w:ascii="Baskerville Old Face" w:eastAsia="Baskerville Old Face" w:hAnsi="Baskerville Old Face" w:cs="Baskerville Old Face"/>
                <w:sz w:val="24"/>
                <w:szCs w:val="24"/>
              </w:rPr>
            </w:pPr>
          </w:p>
        </w:tc>
      </w:tr>
      <w:tr w:rsidR="009C1C4E" w:rsidTr="00B45F90">
        <w:tc>
          <w:tcPr>
            <w:tcW w:w="9026" w:type="dxa"/>
            <w:gridSpan w:val="2"/>
          </w:tcPr>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b/>
                <w:bCs/>
                <w:color w:val="000000" w:themeColor="text1"/>
                <w:sz w:val="24"/>
                <w:szCs w:val="24"/>
              </w:rPr>
              <w:t>Examples of good practice:</w:t>
            </w:r>
          </w:p>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lastRenderedPageBreak/>
              <w:t>Examples of good practice include:</w:t>
            </w:r>
          </w:p>
          <w:p w:rsidR="009C1C4E" w:rsidRDefault="009C1C4E" w:rsidP="009C1C4E">
            <w:pPr>
              <w:pStyle w:val="ListParagraph"/>
              <w:numPr>
                <w:ilvl w:val="0"/>
                <w:numId w:val="3"/>
              </w:numPr>
              <w:rPr>
                <w:color w:val="000000" w:themeColor="text1"/>
                <w:sz w:val="24"/>
                <w:szCs w:val="24"/>
              </w:rPr>
            </w:pPr>
            <w:r w:rsidRPr="49D11E10">
              <w:rPr>
                <w:rFonts w:ascii="Baskerville Old Face" w:eastAsia="Baskerville Old Face" w:hAnsi="Baskerville Old Face" w:cs="Baskerville Old Face"/>
                <w:color w:val="000000" w:themeColor="text1"/>
                <w:sz w:val="24"/>
                <w:szCs w:val="24"/>
              </w:rPr>
              <w:t>The use of the ‘why this learning is important’ at the start of the lesson to gain engagement</w:t>
            </w:r>
          </w:p>
          <w:p w:rsidR="009C1C4E" w:rsidRDefault="009C1C4E" w:rsidP="009C1C4E">
            <w:pPr>
              <w:pStyle w:val="ListParagraph"/>
              <w:numPr>
                <w:ilvl w:val="0"/>
                <w:numId w:val="3"/>
              </w:numPr>
              <w:rPr>
                <w:color w:val="000000" w:themeColor="text1"/>
                <w:sz w:val="24"/>
                <w:szCs w:val="24"/>
              </w:rPr>
            </w:pPr>
            <w:r w:rsidRPr="49D11E10">
              <w:rPr>
                <w:rFonts w:ascii="Baskerville Old Face" w:eastAsia="Baskerville Old Face" w:hAnsi="Baskerville Old Face" w:cs="Baskerville Old Face"/>
                <w:color w:val="000000" w:themeColor="text1"/>
                <w:sz w:val="24"/>
                <w:szCs w:val="24"/>
              </w:rPr>
              <w:t>Formative questioning and case study as a teaching strategy</w:t>
            </w:r>
          </w:p>
          <w:p w:rsidR="009C1C4E" w:rsidRDefault="009C1C4E" w:rsidP="009C1C4E">
            <w:pPr>
              <w:pStyle w:val="ListParagraph"/>
              <w:numPr>
                <w:ilvl w:val="0"/>
                <w:numId w:val="3"/>
              </w:numPr>
              <w:rPr>
                <w:color w:val="000000" w:themeColor="text1"/>
                <w:sz w:val="24"/>
                <w:szCs w:val="24"/>
              </w:rPr>
            </w:pPr>
            <w:r w:rsidRPr="49D11E10">
              <w:rPr>
                <w:rFonts w:ascii="Baskerville Old Face" w:eastAsia="Baskerville Old Face" w:hAnsi="Baskerville Old Face" w:cs="Baskerville Old Face"/>
                <w:color w:val="000000" w:themeColor="text1"/>
                <w:sz w:val="24"/>
                <w:szCs w:val="24"/>
              </w:rPr>
              <w:t>A quietly assertive leadership style, making sure the student adopts an adult state [see Transactional Analysis (Berne, 1987)]</w:t>
            </w:r>
          </w:p>
          <w:p w:rsidR="009C1C4E" w:rsidRDefault="009C1C4E" w:rsidP="009C1C4E">
            <w:pPr>
              <w:pStyle w:val="ListParagraph"/>
              <w:numPr>
                <w:ilvl w:val="0"/>
                <w:numId w:val="3"/>
              </w:numPr>
              <w:rPr>
                <w:color w:val="000000" w:themeColor="text1"/>
                <w:sz w:val="24"/>
                <w:szCs w:val="24"/>
              </w:rPr>
            </w:pPr>
            <w:r w:rsidRPr="49D11E10">
              <w:rPr>
                <w:rFonts w:ascii="Baskerville Old Face" w:eastAsia="Baskerville Old Face" w:hAnsi="Baskerville Old Face" w:cs="Baskerville Old Face"/>
                <w:color w:val="000000" w:themeColor="text1"/>
                <w:sz w:val="24"/>
                <w:szCs w:val="24"/>
              </w:rPr>
              <w:t>Subject expertise and research for the lesson</w:t>
            </w:r>
          </w:p>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b/>
                <w:bCs/>
                <w:color w:val="000000" w:themeColor="text1"/>
                <w:sz w:val="24"/>
                <w:szCs w:val="24"/>
              </w:rPr>
              <w:t>Action points:</w:t>
            </w:r>
          </w:p>
        </w:tc>
      </w:tr>
      <w:tr w:rsidR="009C1C4E" w:rsidTr="00B45F90">
        <w:tc>
          <w:tcPr>
            <w:tcW w:w="9026" w:type="dxa"/>
            <w:gridSpan w:val="2"/>
          </w:tcPr>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9C1C4E">
            <w:pPr>
              <w:pStyle w:val="ListParagraph"/>
              <w:numPr>
                <w:ilvl w:val="0"/>
                <w:numId w:val="2"/>
              </w:numPr>
              <w:rPr>
                <w:color w:val="000000" w:themeColor="text1"/>
                <w:sz w:val="24"/>
                <w:szCs w:val="24"/>
              </w:rPr>
            </w:pPr>
            <w:r w:rsidRPr="49D11E10">
              <w:rPr>
                <w:rFonts w:ascii="Baskerville Old Face" w:eastAsia="Baskerville Old Face" w:hAnsi="Baskerville Old Face" w:cs="Baskerville Old Face"/>
                <w:color w:val="000000" w:themeColor="text1"/>
                <w:sz w:val="24"/>
                <w:szCs w:val="24"/>
              </w:rPr>
              <w:t>I have sent you a template that may help in lesson planning/formatting that we use on the PCET. Please review and develop this form as you see fit. You may want to cut and paste the Lesson plan contents you sent me onto this format.</w:t>
            </w:r>
          </w:p>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9C1C4E">
            <w:pPr>
              <w:pStyle w:val="ListParagraph"/>
              <w:numPr>
                <w:ilvl w:val="0"/>
                <w:numId w:val="2"/>
              </w:numPr>
              <w:rPr>
                <w:color w:val="000000" w:themeColor="text1"/>
                <w:sz w:val="24"/>
                <w:szCs w:val="24"/>
              </w:rPr>
            </w:pPr>
            <w:r w:rsidRPr="49D11E10">
              <w:rPr>
                <w:rFonts w:ascii="Baskerville Old Face" w:eastAsia="Baskerville Old Face" w:hAnsi="Baskerville Old Face" w:cs="Baskerville Old Face"/>
                <w:color w:val="000000" w:themeColor="text1"/>
                <w:sz w:val="24"/>
                <w:szCs w:val="24"/>
              </w:rPr>
              <w:t xml:space="preserve">Reflect on this lesson, using Gibbs (1998) Reflective Process and record this reflection briefly and include with this observation as a means to triangulate with my observation [see end of form] </w:t>
            </w:r>
          </w:p>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Thank you for letting me observe the lesson, I thoroughly enjoyed it and you should gain confidence from this observation.</w:t>
            </w:r>
          </w:p>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b/>
                <w:bCs/>
                <w:color w:val="000000" w:themeColor="text1"/>
                <w:sz w:val="24"/>
                <w:szCs w:val="24"/>
              </w:rPr>
            </w:pPr>
            <w:r w:rsidRPr="49D11E10">
              <w:rPr>
                <w:rFonts w:ascii="Baskerville Old Face" w:eastAsia="Baskerville Old Face" w:hAnsi="Baskerville Old Face" w:cs="Baskerville Old Face"/>
                <w:b/>
                <w:bCs/>
                <w:color w:val="000000" w:themeColor="text1"/>
                <w:sz w:val="24"/>
                <w:szCs w:val="24"/>
              </w:rPr>
              <w:t>Observer Mark Flagg FHEA                                               Date 5</w:t>
            </w:r>
            <w:r w:rsidRPr="49D11E10">
              <w:rPr>
                <w:rFonts w:ascii="Baskerville Old Face" w:eastAsia="Baskerville Old Face" w:hAnsi="Baskerville Old Face" w:cs="Baskerville Old Face"/>
                <w:b/>
                <w:bCs/>
                <w:color w:val="000000" w:themeColor="text1"/>
                <w:sz w:val="24"/>
                <w:szCs w:val="24"/>
                <w:vertAlign w:val="superscript"/>
              </w:rPr>
              <w:t>th</w:t>
            </w:r>
            <w:r w:rsidRPr="49D11E10">
              <w:rPr>
                <w:rFonts w:ascii="Baskerville Old Face" w:eastAsia="Baskerville Old Face" w:hAnsi="Baskerville Old Face" w:cs="Baskerville Old Face"/>
                <w:b/>
                <w:bCs/>
                <w:color w:val="000000" w:themeColor="text1"/>
                <w:sz w:val="24"/>
                <w:szCs w:val="24"/>
              </w:rPr>
              <w:t xml:space="preserve"> March 2019</w:t>
            </w:r>
          </w:p>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proofErr w:type="spellStart"/>
            <w:r w:rsidRPr="49D11E10">
              <w:rPr>
                <w:rFonts w:ascii="Baskerville Old Face" w:eastAsia="Baskerville Old Face" w:hAnsi="Baskerville Old Face" w:cs="Baskerville Old Face"/>
                <w:b/>
                <w:bCs/>
                <w:color w:val="000000" w:themeColor="text1"/>
                <w:sz w:val="24"/>
                <w:szCs w:val="24"/>
              </w:rPr>
              <w:t>Oberservee</w:t>
            </w:r>
            <w:proofErr w:type="spellEnd"/>
            <w:r w:rsidRPr="49D11E10">
              <w:rPr>
                <w:rFonts w:ascii="Baskerville Old Face" w:eastAsia="Baskerville Old Face" w:hAnsi="Baskerville Old Face" w:cs="Baskerville Old Face"/>
                <w:b/>
                <w:bCs/>
                <w:color w:val="000000" w:themeColor="text1"/>
                <w:sz w:val="24"/>
                <w:szCs w:val="24"/>
              </w:rPr>
              <w:t xml:space="preserve">  </w:t>
            </w:r>
            <w:r>
              <w:rPr>
                <w:rFonts w:ascii="Baskerville Old Face" w:eastAsia="Baskerville Old Face" w:hAnsi="Baskerville Old Face" w:cs="Baskerville Old Face"/>
                <w:b/>
                <w:bCs/>
                <w:color w:val="000000" w:themeColor="text1"/>
                <w:sz w:val="24"/>
                <w:szCs w:val="24"/>
              </w:rPr>
              <w:t>Lara Hopkinson</w:t>
            </w:r>
            <w:r w:rsidRPr="49D11E10">
              <w:rPr>
                <w:rFonts w:ascii="Baskerville Old Face" w:eastAsia="Baskerville Old Face" w:hAnsi="Baskerville Old Face" w:cs="Baskerville Old Face"/>
                <w:b/>
                <w:bCs/>
                <w:color w:val="000000" w:themeColor="text1"/>
                <w:sz w:val="24"/>
                <w:szCs w:val="24"/>
              </w:rPr>
              <w:t xml:space="preserve">                                              Date </w:t>
            </w:r>
            <w:r>
              <w:rPr>
                <w:rFonts w:ascii="Baskerville Old Face" w:eastAsia="Baskerville Old Face" w:hAnsi="Baskerville Old Face" w:cs="Baskerville Old Face"/>
                <w:b/>
                <w:bCs/>
                <w:color w:val="000000" w:themeColor="text1"/>
                <w:sz w:val="24"/>
                <w:szCs w:val="24"/>
              </w:rPr>
              <w:t>6</w:t>
            </w:r>
            <w:r w:rsidRPr="009C1C4E">
              <w:rPr>
                <w:rFonts w:ascii="Baskerville Old Face" w:eastAsia="Baskerville Old Face" w:hAnsi="Baskerville Old Face" w:cs="Baskerville Old Face"/>
                <w:b/>
                <w:bCs/>
                <w:color w:val="000000" w:themeColor="text1"/>
                <w:sz w:val="24"/>
                <w:szCs w:val="24"/>
                <w:vertAlign w:val="superscript"/>
              </w:rPr>
              <w:t>th</w:t>
            </w:r>
            <w:r>
              <w:rPr>
                <w:rFonts w:ascii="Baskerville Old Face" w:eastAsia="Baskerville Old Face" w:hAnsi="Baskerville Old Face" w:cs="Baskerville Old Face"/>
                <w:b/>
                <w:bCs/>
                <w:color w:val="000000" w:themeColor="text1"/>
                <w:sz w:val="24"/>
                <w:szCs w:val="24"/>
              </w:rPr>
              <w:t xml:space="preserve"> March 2019</w:t>
            </w:r>
          </w:p>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p>
          <w:p w:rsidR="009C1C4E" w:rsidRDefault="009C1C4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b/>
                <w:bCs/>
                <w:color w:val="000000" w:themeColor="text1"/>
                <w:sz w:val="24"/>
                <w:szCs w:val="24"/>
              </w:rPr>
              <w:t>On completion of the peer observation reports for each module, compose a short reflective paragraph on your observation experiences.</w:t>
            </w:r>
          </w:p>
          <w:p w:rsidR="009C1C4E" w:rsidRDefault="009C1C4E" w:rsidP="00B45F90">
            <w:pPr>
              <w:rPr>
                <w:rFonts w:ascii="Baskerville Old Face" w:eastAsia="Baskerville Old Face" w:hAnsi="Baskerville Old Face" w:cs="Baskerville Old Face"/>
                <w:color w:val="000000" w:themeColor="text1"/>
                <w:sz w:val="24"/>
                <w:szCs w:val="24"/>
              </w:rPr>
            </w:pPr>
          </w:p>
        </w:tc>
      </w:tr>
    </w:tbl>
    <w:p w:rsidR="009C1C4E" w:rsidRDefault="009C1C4E" w:rsidP="009C1C4E"/>
    <w:p w:rsidR="009C1C4E" w:rsidRDefault="009C1C4E" w:rsidP="009C1C4E">
      <w:pPr>
        <w:pStyle w:val="Heading1"/>
      </w:pPr>
      <w:bookmarkStart w:id="13" w:name="_Toc22310697"/>
      <w:r>
        <w:lastRenderedPageBreak/>
        <w:t>Teaching observation number 2</w:t>
      </w:r>
      <w:bookmarkEnd w:id="13"/>
    </w:p>
    <w:p w:rsidR="009C1C4E" w:rsidRPr="00D06B82" w:rsidRDefault="009C1C4E" w:rsidP="009C1C4E">
      <w:pPr>
        <w:spacing w:after="300"/>
        <w:jc w:val="center"/>
        <w:rPr>
          <w:rFonts w:eastAsia="Arial" w:cstheme="minorHAnsi"/>
          <w:color w:val="17365D"/>
          <w:sz w:val="21"/>
          <w:szCs w:val="21"/>
        </w:rPr>
      </w:pPr>
      <w:r w:rsidRPr="00D06B82">
        <w:rPr>
          <w:rFonts w:cstheme="minorHAnsi"/>
          <w:noProof/>
          <w:lang w:eastAsia="en-GB"/>
        </w:rPr>
        <w:drawing>
          <wp:inline distT="0" distB="0" distL="0" distR="0" wp14:anchorId="61CD52F3" wp14:editId="1CF42665">
            <wp:extent cx="1790700" cy="600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790700" cy="600075"/>
                    </a:xfrm>
                    <a:prstGeom prst="rect">
                      <a:avLst/>
                    </a:prstGeom>
                  </pic:spPr>
                </pic:pic>
              </a:graphicData>
            </a:graphic>
          </wp:inline>
        </w:drawing>
      </w:r>
    </w:p>
    <w:tbl>
      <w:tblPr>
        <w:tblW w:w="0" w:type="auto"/>
        <w:tblLayout w:type="fixed"/>
        <w:tblLook w:val="00A0" w:firstRow="1" w:lastRow="0" w:firstColumn="1" w:lastColumn="0" w:noHBand="0" w:noVBand="0"/>
      </w:tblPr>
      <w:tblGrid>
        <w:gridCol w:w="4513"/>
        <w:gridCol w:w="4513"/>
      </w:tblGrid>
      <w:tr w:rsidR="009C1C4E" w:rsidRPr="00D06B82" w:rsidTr="00B45F90">
        <w:tc>
          <w:tcPr>
            <w:tcW w:w="4513" w:type="dxa"/>
          </w:tcPr>
          <w:p w:rsidR="009C1C4E" w:rsidRPr="00CD4461" w:rsidRDefault="009C1C4E" w:rsidP="00B45F90">
            <w:pPr>
              <w:rPr>
                <w:rFonts w:eastAsia="Baskerville Old Face" w:cstheme="minorHAnsi"/>
                <w:b/>
                <w:color w:val="000000" w:themeColor="text1"/>
                <w:sz w:val="24"/>
                <w:szCs w:val="24"/>
              </w:rPr>
            </w:pPr>
            <w:proofErr w:type="spellStart"/>
            <w:r w:rsidRPr="00CD4461">
              <w:rPr>
                <w:rFonts w:eastAsia="Baskerville Old Face" w:cstheme="minorHAnsi"/>
                <w:b/>
                <w:color w:val="000000" w:themeColor="text1"/>
                <w:sz w:val="24"/>
                <w:szCs w:val="24"/>
              </w:rPr>
              <w:t>PGCert</w:t>
            </w:r>
            <w:proofErr w:type="spellEnd"/>
            <w:r w:rsidRPr="00CD4461">
              <w:rPr>
                <w:rFonts w:eastAsia="Baskerville Old Face" w:cstheme="minorHAnsi"/>
                <w:b/>
                <w:color w:val="000000" w:themeColor="text1"/>
                <w:sz w:val="24"/>
                <w:szCs w:val="24"/>
              </w:rPr>
              <w:t xml:space="preserve"> </w:t>
            </w:r>
            <w:proofErr w:type="spellStart"/>
            <w:r w:rsidRPr="00CD4461">
              <w:rPr>
                <w:rFonts w:eastAsia="Baskerville Old Face" w:cstheme="minorHAnsi"/>
                <w:b/>
                <w:color w:val="000000" w:themeColor="text1"/>
                <w:sz w:val="24"/>
                <w:szCs w:val="24"/>
              </w:rPr>
              <w:t>tHE</w:t>
            </w:r>
            <w:proofErr w:type="spellEnd"/>
            <w:r w:rsidRPr="00CD4461">
              <w:rPr>
                <w:rFonts w:eastAsia="Baskerville Old Face" w:cstheme="minorHAnsi"/>
                <w:b/>
                <w:color w:val="000000" w:themeColor="text1"/>
                <w:sz w:val="24"/>
                <w:szCs w:val="24"/>
              </w:rPr>
              <w:t xml:space="preserve">  STAFF OBSERVATION FORM</w:t>
            </w:r>
          </w:p>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t xml:space="preserve">Name of Staff member: </w:t>
            </w:r>
            <w:r w:rsidRPr="00D06B82">
              <w:rPr>
                <w:rFonts w:eastAsia="Baskerville Old Face" w:cstheme="minorHAnsi"/>
                <w:b/>
                <w:bCs/>
                <w:color w:val="000000" w:themeColor="text1"/>
                <w:sz w:val="24"/>
                <w:szCs w:val="24"/>
              </w:rPr>
              <w:t>Lara Hopkinson</w:t>
            </w:r>
          </w:p>
        </w:tc>
        <w:tc>
          <w:tcPr>
            <w:tcW w:w="4513" w:type="dxa"/>
          </w:tcPr>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t>Date:  7</w:t>
            </w:r>
            <w:r w:rsidRPr="00D06B82">
              <w:rPr>
                <w:rFonts w:eastAsia="Baskerville Old Face" w:cstheme="minorHAnsi"/>
                <w:color w:val="000000" w:themeColor="text1"/>
                <w:sz w:val="24"/>
                <w:szCs w:val="24"/>
                <w:vertAlign w:val="superscript"/>
              </w:rPr>
              <w:t>th</w:t>
            </w:r>
            <w:r w:rsidRPr="00D06B82">
              <w:rPr>
                <w:rFonts w:eastAsia="Baskerville Old Face" w:cstheme="minorHAnsi"/>
                <w:color w:val="000000" w:themeColor="text1"/>
                <w:sz w:val="24"/>
                <w:szCs w:val="24"/>
              </w:rPr>
              <w:t xml:space="preserve"> March 2019</w:t>
            </w:r>
          </w:p>
        </w:tc>
      </w:tr>
      <w:tr w:rsidR="009C1C4E" w:rsidRPr="00D06B82" w:rsidTr="00B45F90">
        <w:tc>
          <w:tcPr>
            <w:tcW w:w="4513" w:type="dxa"/>
          </w:tcPr>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t>Name of Observer: Ian Standen</w:t>
            </w:r>
          </w:p>
        </w:tc>
        <w:tc>
          <w:tcPr>
            <w:tcW w:w="4513" w:type="dxa"/>
          </w:tcPr>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t>Number in class: 8</w:t>
            </w:r>
          </w:p>
        </w:tc>
      </w:tr>
      <w:tr w:rsidR="009C1C4E" w:rsidRPr="00D06B82" w:rsidTr="00B45F90">
        <w:tc>
          <w:tcPr>
            <w:tcW w:w="4513" w:type="dxa"/>
          </w:tcPr>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t>Student level:7</w:t>
            </w:r>
          </w:p>
        </w:tc>
        <w:tc>
          <w:tcPr>
            <w:tcW w:w="4513" w:type="dxa"/>
          </w:tcPr>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t>Location: IQ 202</w:t>
            </w:r>
          </w:p>
        </w:tc>
      </w:tr>
      <w:tr w:rsidR="009C1C4E" w:rsidRPr="00D06B82" w:rsidTr="00B45F90">
        <w:tc>
          <w:tcPr>
            <w:tcW w:w="4513" w:type="dxa"/>
          </w:tcPr>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t>Topic: Environmental Issues -Water Pollution</w:t>
            </w:r>
          </w:p>
        </w:tc>
        <w:tc>
          <w:tcPr>
            <w:tcW w:w="4513" w:type="dxa"/>
          </w:tcPr>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t>Start Time:17.00</w:t>
            </w:r>
            <w:r>
              <w:rPr>
                <w:rFonts w:eastAsia="Baskerville Old Face" w:cstheme="minorHAnsi"/>
                <w:color w:val="000000" w:themeColor="text1"/>
                <w:sz w:val="24"/>
                <w:szCs w:val="24"/>
              </w:rPr>
              <w:t xml:space="preserve"> - </w:t>
            </w:r>
            <w:r w:rsidRPr="00D06B82">
              <w:rPr>
                <w:rFonts w:eastAsia="Baskerville Old Face" w:cstheme="minorHAnsi"/>
                <w:color w:val="000000" w:themeColor="text1"/>
                <w:sz w:val="24"/>
                <w:szCs w:val="24"/>
              </w:rPr>
              <w:t>Finish Time:19.00</w:t>
            </w:r>
          </w:p>
        </w:tc>
      </w:tr>
      <w:tr w:rsidR="009C1C4E" w:rsidRPr="00D06B82" w:rsidTr="00B45F90">
        <w:tc>
          <w:tcPr>
            <w:tcW w:w="9026" w:type="dxa"/>
            <w:gridSpan w:val="2"/>
          </w:tcPr>
          <w:p w:rsidR="009C1C4E" w:rsidRPr="00D06B82" w:rsidRDefault="009C1C4E" w:rsidP="00B45F90">
            <w:pPr>
              <w:rPr>
                <w:rFonts w:eastAsia="Baskerville Old Face" w:cstheme="minorHAnsi"/>
                <w:b/>
                <w:bCs/>
                <w:color w:val="000000" w:themeColor="text1"/>
                <w:sz w:val="24"/>
                <w:szCs w:val="24"/>
              </w:rPr>
            </w:pPr>
          </w:p>
          <w:p w:rsidR="009C1C4E" w:rsidRPr="00D06B82" w:rsidRDefault="009C1C4E" w:rsidP="00B45F90">
            <w:pPr>
              <w:rPr>
                <w:rFonts w:eastAsia="Baskerville Old Face" w:cstheme="minorHAnsi"/>
                <w:b/>
                <w:bCs/>
                <w:color w:val="000000" w:themeColor="text1"/>
                <w:sz w:val="24"/>
                <w:szCs w:val="24"/>
              </w:rPr>
            </w:pPr>
            <w:r w:rsidRPr="00D06B82">
              <w:rPr>
                <w:rFonts w:eastAsia="Baskerville Old Face" w:cstheme="minorHAnsi"/>
                <w:b/>
                <w:bCs/>
                <w:color w:val="000000" w:themeColor="text1"/>
                <w:sz w:val="24"/>
                <w:szCs w:val="24"/>
              </w:rPr>
              <w:t>Teaching Characteristics:</w:t>
            </w: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t xml:space="preserve">Lara had prepared and researched her lesson plan for a small intimate class of post graduate students. The lesson plan included the aim of the lesson and the rationale, carefully selected teaching strategies appropriate for delivery of the content. </w:t>
            </w: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t xml:space="preserve">Lara had set out the time plan within the planning document setting key detailed activities for the session. </w:t>
            </w:r>
          </w:p>
        </w:tc>
      </w:tr>
      <w:tr w:rsidR="009C1C4E" w:rsidRPr="00D06B82" w:rsidTr="00B45F90">
        <w:tc>
          <w:tcPr>
            <w:tcW w:w="9026" w:type="dxa"/>
            <w:gridSpan w:val="2"/>
          </w:tcPr>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b/>
                <w:bCs/>
                <w:color w:val="000000" w:themeColor="text1"/>
                <w:sz w:val="24"/>
                <w:szCs w:val="24"/>
              </w:rPr>
              <w:t xml:space="preserve">Presentation: </w:t>
            </w:r>
            <w:r w:rsidRPr="00D06B82">
              <w:rPr>
                <w:rFonts w:eastAsia="Baskerville Old Face" w:cstheme="minorHAnsi"/>
                <w:color w:val="000000" w:themeColor="text1"/>
                <w:sz w:val="24"/>
                <w:szCs w:val="24"/>
              </w:rPr>
              <w:t xml:space="preserve"> The presentation to a medium sized but informed group was </w:t>
            </w:r>
            <w:r>
              <w:rPr>
                <w:rFonts w:eastAsia="Baskerville Old Face" w:cstheme="minorHAnsi"/>
                <w:color w:val="000000" w:themeColor="text1"/>
                <w:sz w:val="24"/>
                <w:szCs w:val="24"/>
              </w:rPr>
              <w:t xml:space="preserve">both </w:t>
            </w:r>
            <w:r w:rsidRPr="00D06B82">
              <w:rPr>
                <w:rFonts w:eastAsia="Baskerville Old Face" w:cstheme="minorHAnsi"/>
                <w:color w:val="000000" w:themeColor="text1"/>
                <w:sz w:val="24"/>
                <w:szCs w:val="24"/>
              </w:rPr>
              <w:t>professional and engaging.</w:t>
            </w:r>
            <w:r>
              <w:rPr>
                <w:rFonts w:eastAsia="Baskerville Old Face" w:cstheme="minorHAnsi"/>
                <w:color w:val="000000" w:themeColor="text1"/>
                <w:sz w:val="24"/>
                <w:szCs w:val="24"/>
              </w:rPr>
              <w:t xml:space="preserve"> </w:t>
            </w:r>
            <w:r w:rsidRPr="00D06B82">
              <w:rPr>
                <w:rFonts w:eastAsia="Baskerville Old Face" w:cstheme="minorHAnsi"/>
                <w:color w:val="000000" w:themeColor="text1"/>
                <w:sz w:val="24"/>
                <w:szCs w:val="24"/>
              </w:rPr>
              <w:t xml:space="preserve">The session had the right between a presentation and engagement. </w:t>
            </w: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t xml:space="preserve">Lara settled the group a couple were late and talkative at the beginning, who were talkative. Lara quietly and confidently handled the introduction well and slowly established leadership of the group. </w:t>
            </w: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t>She emphasised the importance of the subject to the student at the beginning expertly, managing to focus the students on the topic. There was a mood change in the group from slightly light hearted to a serious focus once some of the examples of water pollution were given and the potential impact this has on humanity.</w:t>
            </w:r>
          </w:p>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lastRenderedPageBreak/>
              <w:t>This provided opportunity for the more emotionally intelligent students to respond with comments and observations, and from that point the lesson moved to a very mature and intelligent discussion on areas of environmental issues.</w:t>
            </w:r>
          </w:p>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t>I felt Lara provided clarity to a difficult subject using real examples, good quotations and historical context to provide informative and lasting learning. I felt the students were engaged responding well to questions and enjoying the session, and that the importance of environmental pollution was being understood. It is an area that I am personally interested in and I found it very informative and thought provoking. Lara brought the key discussions to a suitable conclusion, recapping and reviewing themes throughout. Only a few students were distracted on times, but Lara took it all in her stride, to provide informative and engaging learning.</w:t>
            </w:r>
          </w:p>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t xml:space="preserve">Lara’s style is assertive, positive and engaging, there were many occasions when Lara had the full attention of all students. Her expertise and experience carries the learning forward, with passion for the subject and cares about the student experience and opportunity for learning. It was also keenly relevant to the current issues in the subject area such as the legislative framework UK withdrawal Act 2018 and </w:t>
            </w:r>
            <w:proofErr w:type="spellStart"/>
            <w:r w:rsidRPr="00D06B82">
              <w:rPr>
                <w:rFonts w:eastAsia="Baskerville Old Face" w:cstheme="minorHAnsi"/>
                <w:color w:val="000000" w:themeColor="text1"/>
                <w:sz w:val="24"/>
                <w:szCs w:val="24"/>
              </w:rPr>
              <w:t>Brexit</w:t>
            </w:r>
            <w:proofErr w:type="spellEnd"/>
            <w:r w:rsidRPr="00D06B82">
              <w:rPr>
                <w:rFonts w:eastAsia="Baskerville Old Face" w:cstheme="minorHAnsi"/>
                <w:color w:val="000000" w:themeColor="text1"/>
                <w:sz w:val="24"/>
                <w:szCs w:val="24"/>
              </w:rPr>
              <w:t xml:space="preserve"> implications for environmental plans for the next 25 years.</w:t>
            </w:r>
          </w:p>
        </w:tc>
      </w:tr>
      <w:tr w:rsidR="009C1C4E" w:rsidRPr="00D06B82" w:rsidTr="00B45F90">
        <w:tc>
          <w:tcPr>
            <w:tcW w:w="4513" w:type="dxa"/>
          </w:tcPr>
          <w:p w:rsidR="009C1C4E" w:rsidRPr="00D06B82" w:rsidRDefault="009C1C4E" w:rsidP="00B45F90">
            <w:pPr>
              <w:rPr>
                <w:rFonts w:eastAsia="Baskerville Old Face" w:cstheme="minorHAnsi"/>
                <w:color w:val="000000" w:themeColor="text1"/>
                <w:sz w:val="24"/>
                <w:szCs w:val="24"/>
              </w:rPr>
            </w:pPr>
          </w:p>
        </w:tc>
        <w:tc>
          <w:tcPr>
            <w:tcW w:w="4513" w:type="dxa"/>
          </w:tcPr>
          <w:p w:rsidR="009C1C4E" w:rsidRPr="00D06B82" w:rsidRDefault="009C1C4E" w:rsidP="00B45F90">
            <w:pPr>
              <w:rPr>
                <w:rFonts w:eastAsia="Baskerville Old Face" w:cstheme="minorHAnsi"/>
                <w:sz w:val="24"/>
                <w:szCs w:val="24"/>
              </w:rPr>
            </w:pPr>
          </w:p>
        </w:tc>
      </w:tr>
      <w:tr w:rsidR="009C1C4E" w:rsidRPr="00D06B82" w:rsidTr="00B45F90">
        <w:tc>
          <w:tcPr>
            <w:tcW w:w="9026" w:type="dxa"/>
            <w:gridSpan w:val="2"/>
          </w:tcPr>
          <w:p w:rsidR="009C1C4E" w:rsidRPr="00D06B82" w:rsidRDefault="009C1C4E" w:rsidP="00B45F90">
            <w:pPr>
              <w:spacing w:after="0"/>
              <w:rPr>
                <w:rFonts w:eastAsia="Baskerville Old Face" w:cstheme="minorHAnsi"/>
                <w:color w:val="000000" w:themeColor="text1"/>
                <w:sz w:val="24"/>
                <w:szCs w:val="24"/>
              </w:rPr>
            </w:pPr>
            <w:r w:rsidRPr="00D06B82">
              <w:rPr>
                <w:rFonts w:eastAsia="Baskerville Old Face" w:cstheme="minorHAnsi"/>
                <w:b/>
                <w:bCs/>
                <w:color w:val="000000" w:themeColor="text1"/>
                <w:sz w:val="24"/>
                <w:szCs w:val="24"/>
              </w:rPr>
              <w:t>Technique and Aids:</w:t>
            </w:r>
            <w:r w:rsidRPr="00D06B82">
              <w:rPr>
                <w:rFonts w:eastAsia="Baskerville Old Face" w:cstheme="minorHAnsi"/>
                <w:color w:val="000000" w:themeColor="text1"/>
                <w:sz w:val="24"/>
                <w:szCs w:val="24"/>
              </w:rPr>
              <w:t xml:space="preserve">  Lara is entirely familiar with teaching with enhanced technologies and can adopt teaching techniques with competence, such as leading discussions, closing and transition of phases of teaching </w:t>
            </w:r>
          </w:p>
          <w:p w:rsidR="009C1C4E" w:rsidRPr="00D06B82" w:rsidRDefault="009C1C4E" w:rsidP="00B45F90">
            <w:pPr>
              <w:rPr>
                <w:rFonts w:eastAsia="Baskerville Old Face" w:cstheme="minorHAnsi"/>
                <w:color w:val="000000" w:themeColor="text1"/>
                <w:sz w:val="24"/>
                <w:szCs w:val="24"/>
              </w:rPr>
            </w:pPr>
          </w:p>
        </w:tc>
      </w:tr>
      <w:tr w:rsidR="009C1C4E" w:rsidRPr="00D06B82" w:rsidTr="00B45F90">
        <w:tc>
          <w:tcPr>
            <w:tcW w:w="9026" w:type="dxa"/>
            <w:gridSpan w:val="2"/>
          </w:tcPr>
          <w:p w:rsidR="009C1C4E" w:rsidRPr="00D06B82" w:rsidRDefault="009C1C4E" w:rsidP="00B45F90">
            <w:pPr>
              <w:rPr>
                <w:rFonts w:eastAsia="Baskerville Old Face" w:cstheme="minorHAnsi"/>
                <w:b/>
                <w:bCs/>
                <w:color w:val="000000" w:themeColor="text1"/>
                <w:sz w:val="24"/>
                <w:szCs w:val="24"/>
              </w:rPr>
            </w:pPr>
            <w:r w:rsidRPr="00D06B82">
              <w:rPr>
                <w:rFonts w:eastAsia="Baskerville Old Face" w:cstheme="minorHAnsi"/>
                <w:b/>
                <w:bCs/>
                <w:color w:val="000000" w:themeColor="text1"/>
                <w:sz w:val="24"/>
                <w:szCs w:val="24"/>
              </w:rPr>
              <w:t xml:space="preserve">Student Responses: </w:t>
            </w: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t>Lara dealt with the class well, quietly and professionally settling the class, stating the intention and finally to command attention by engaging and interactive learning.</w:t>
            </w:r>
            <w:r>
              <w:rPr>
                <w:rFonts w:eastAsia="Baskerville Old Face" w:cstheme="minorHAnsi"/>
                <w:color w:val="000000" w:themeColor="text1"/>
                <w:sz w:val="24"/>
                <w:szCs w:val="24"/>
              </w:rPr>
              <w:t xml:space="preserve"> </w:t>
            </w:r>
            <w:r w:rsidRPr="00D06B82">
              <w:rPr>
                <w:rFonts w:eastAsia="Baskerville Old Face" w:cstheme="minorHAnsi"/>
                <w:color w:val="000000" w:themeColor="text1"/>
                <w:sz w:val="24"/>
                <w:szCs w:val="24"/>
              </w:rPr>
              <w:t>Lara struck the right balance in respect of the students and subject focus. A confident and assured teacher and teaching style which worked well with this more mature group of post graduate students. Good responses from the students throughout which was constructive and helpful for all students present.</w:t>
            </w:r>
          </w:p>
        </w:tc>
      </w:tr>
      <w:tr w:rsidR="009C1C4E" w:rsidRPr="00D06B82" w:rsidTr="00B45F90">
        <w:tc>
          <w:tcPr>
            <w:tcW w:w="4513" w:type="dxa"/>
          </w:tcPr>
          <w:p w:rsidR="009C1C4E" w:rsidRPr="00D06B82" w:rsidRDefault="009C1C4E" w:rsidP="00B45F90">
            <w:pPr>
              <w:rPr>
                <w:rFonts w:eastAsia="Baskerville Old Face" w:cstheme="minorHAnsi"/>
                <w:color w:val="000000" w:themeColor="text1"/>
                <w:sz w:val="24"/>
                <w:szCs w:val="24"/>
              </w:rPr>
            </w:pPr>
          </w:p>
        </w:tc>
        <w:tc>
          <w:tcPr>
            <w:tcW w:w="4513" w:type="dxa"/>
          </w:tcPr>
          <w:p w:rsidR="009C1C4E" w:rsidRPr="00D06B82" w:rsidRDefault="009C1C4E" w:rsidP="00B45F90">
            <w:pPr>
              <w:rPr>
                <w:rFonts w:eastAsia="Baskerville Old Face" w:cstheme="minorHAnsi"/>
                <w:sz w:val="24"/>
                <w:szCs w:val="24"/>
              </w:rPr>
            </w:pPr>
          </w:p>
        </w:tc>
      </w:tr>
      <w:tr w:rsidR="009C1C4E" w:rsidRPr="00D06B82" w:rsidTr="00B45F90">
        <w:tc>
          <w:tcPr>
            <w:tcW w:w="9026" w:type="dxa"/>
            <w:gridSpan w:val="2"/>
          </w:tcPr>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b/>
                <w:bCs/>
                <w:color w:val="000000" w:themeColor="text1"/>
                <w:sz w:val="24"/>
                <w:szCs w:val="24"/>
              </w:rPr>
              <w:t xml:space="preserve">General: </w:t>
            </w:r>
            <w:r w:rsidRPr="00D06B82">
              <w:rPr>
                <w:rFonts w:eastAsia="Baskerville Old Face" w:cstheme="minorHAnsi"/>
                <w:bCs/>
                <w:color w:val="000000" w:themeColor="text1"/>
                <w:sz w:val="24"/>
                <w:szCs w:val="24"/>
              </w:rPr>
              <w:t>Lara was highly</w:t>
            </w:r>
            <w:r w:rsidRPr="00D06B82">
              <w:rPr>
                <w:rFonts w:eastAsia="Baskerville Old Face" w:cstheme="minorHAnsi"/>
                <w:b/>
                <w:bCs/>
                <w:color w:val="000000" w:themeColor="text1"/>
                <w:sz w:val="24"/>
                <w:szCs w:val="24"/>
              </w:rPr>
              <w:t xml:space="preserve"> </w:t>
            </w:r>
            <w:r w:rsidRPr="00D06B82">
              <w:rPr>
                <w:rFonts w:eastAsia="Baskerville Old Face" w:cstheme="minorHAnsi"/>
                <w:color w:val="000000" w:themeColor="text1"/>
                <w:sz w:val="24"/>
                <w:szCs w:val="24"/>
              </w:rPr>
              <w:t>effective in her communication with the group. She established excellent student – teacher rapport. The aims of the lesson were achieved. Given the type of room she selected appropriate teaching/learning methods to provide an informative and engaging lesson. The environmental conditions in the room were at times uncomfortable due to low sun and cold air movement.</w:t>
            </w:r>
          </w:p>
        </w:tc>
      </w:tr>
      <w:tr w:rsidR="009C1C4E" w:rsidRPr="00D06B82" w:rsidTr="00B45F90">
        <w:tc>
          <w:tcPr>
            <w:tcW w:w="4513" w:type="dxa"/>
          </w:tcPr>
          <w:p w:rsidR="009C1C4E" w:rsidRPr="00D06B82" w:rsidRDefault="009C1C4E" w:rsidP="00B45F90">
            <w:pPr>
              <w:rPr>
                <w:rFonts w:eastAsia="Baskerville Old Face" w:cstheme="minorHAnsi"/>
                <w:color w:val="000000" w:themeColor="text1"/>
                <w:sz w:val="24"/>
                <w:szCs w:val="24"/>
              </w:rPr>
            </w:pPr>
          </w:p>
        </w:tc>
        <w:tc>
          <w:tcPr>
            <w:tcW w:w="4513" w:type="dxa"/>
          </w:tcPr>
          <w:p w:rsidR="009C1C4E" w:rsidRPr="00D06B82" w:rsidRDefault="009C1C4E" w:rsidP="00B45F90">
            <w:pPr>
              <w:rPr>
                <w:rFonts w:eastAsia="Baskerville Old Face" w:cstheme="minorHAnsi"/>
                <w:sz w:val="24"/>
                <w:szCs w:val="24"/>
              </w:rPr>
            </w:pPr>
          </w:p>
        </w:tc>
      </w:tr>
      <w:tr w:rsidR="009C1C4E" w:rsidRPr="00D06B82" w:rsidTr="00B45F90">
        <w:tc>
          <w:tcPr>
            <w:tcW w:w="9026" w:type="dxa"/>
            <w:gridSpan w:val="2"/>
          </w:tcPr>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b/>
                <w:bCs/>
                <w:color w:val="000000" w:themeColor="text1"/>
                <w:sz w:val="24"/>
                <w:szCs w:val="24"/>
              </w:rPr>
              <w:lastRenderedPageBreak/>
              <w:t>Examples of good practice:</w:t>
            </w: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t>Examples of good practice include:</w:t>
            </w:r>
          </w:p>
          <w:p w:rsidR="009C1C4E" w:rsidRPr="00D06B82" w:rsidRDefault="009C1C4E" w:rsidP="009C1C4E">
            <w:pPr>
              <w:pStyle w:val="ListParagraph"/>
              <w:numPr>
                <w:ilvl w:val="0"/>
                <w:numId w:val="5"/>
              </w:numPr>
              <w:rPr>
                <w:rFonts w:cstheme="minorHAnsi"/>
                <w:color w:val="000000" w:themeColor="text1"/>
                <w:sz w:val="24"/>
                <w:szCs w:val="24"/>
              </w:rPr>
            </w:pPr>
            <w:r w:rsidRPr="00D06B82">
              <w:rPr>
                <w:rFonts w:eastAsia="Baskerville Old Face" w:cstheme="minorHAnsi"/>
                <w:color w:val="000000" w:themeColor="text1"/>
                <w:sz w:val="24"/>
                <w:szCs w:val="24"/>
              </w:rPr>
              <w:t>The use of the ‘why this learning is important’ at the start of the lesson to gain engagement with clear learning outcomes.</w:t>
            </w:r>
          </w:p>
          <w:p w:rsidR="009C1C4E" w:rsidRPr="00D06B82" w:rsidRDefault="009C1C4E" w:rsidP="009C1C4E">
            <w:pPr>
              <w:pStyle w:val="ListParagraph"/>
              <w:numPr>
                <w:ilvl w:val="0"/>
                <w:numId w:val="5"/>
              </w:numPr>
              <w:rPr>
                <w:rFonts w:cstheme="minorHAnsi"/>
                <w:color w:val="000000" w:themeColor="text1"/>
                <w:sz w:val="24"/>
                <w:szCs w:val="24"/>
              </w:rPr>
            </w:pPr>
            <w:r w:rsidRPr="00D06B82">
              <w:rPr>
                <w:rFonts w:eastAsia="Baskerville Old Face" w:cstheme="minorHAnsi"/>
                <w:color w:val="000000" w:themeColor="text1"/>
                <w:sz w:val="24"/>
                <w:szCs w:val="24"/>
              </w:rPr>
              <w:t>Formative questioning and case study as a teaching strategy</w:t>
            </w:r>
          </w:p>
          <w:p w:rsidR="009C1C4E" w:rsidRPr="00D06B82" w:rsidRDefault="009C1C4E" w:rsidP="009C1C4E">
            <w:pPr>
              <w:pStyle w:val="ListParagraph"/>
              <w:numPr>
                <w:ilvl w:val="0"/>
                <w:numId w:val="5"/>
              </w:numPr>
              <w:rPr>
                <w:rFonts w:cstheme="minorHAnsi"/>
                <w:color w:val="000000" w:themeColor="text1"/>
                <w:sz w:val="24"/>
                <w:szCs w:val="24"/>
              </w:rPr>
            </w:pPr>
            <w:r w:rsidRPr="00D06B82">
              <w:rPr>
                <w:rFonts w:eastAsia="Baskerville Old Face" w:cstheme="minorHAnsi"/>
                <w:color w:val="000000" w:themeColor="text1"/>
                <w:sz w:val="24"/>
                <w:szCs w:val="24"/>
              </w:rPr>
              <w:t xml:space="preserve">A quietly assertive leadership style, making sure the student adopts an adult state. </w:t>
            </w:r>
          </w:p>
          <w:p w:rsidR="009C1C4E" w:rsidRPr="00D06B82" w:rsidRDefault="009C1C4E" w:rsidP="009C1C4E">
            <w:pPr>
              <w:pStyle w:val="ListParagraph"/>
              <w:numPr>
                <w:ilvl w:val="0"/>
                <w:numId w:val="5"/>
              </w:numPr>
              <w:rPr>
                <w:rFonts w:cstheme="minorHAnsi"/>
                <w:color w:val="000000" w:themeColor="text1"/>
                <w:sz w:val="24"/>
                <w:szCs w:val="24"/>
              </w:rPr>
            </w:pPr>
            <w:r w:rsidRPr="00D06B82">
              <w:rPr>
                <w:rFonts w:eastAsia="Baskerville Old Face" w:cstheme="minorHAnsi"/>
                <w:color w:val="000000" w:themeColor="text1"/>
                <w:sz w:val="24"/>
                <w:szCs w:val="24"/>
              </w:rPr>
              <w:t>Subject expertise and research for the lesson.</w:t>
            </w:r>
          </w:p>
          <w:p w:rsidR="009C1C4E" w:rsidRPr="00D06B82" w:rsidRDefault="009C1C4E" w:rsidP="009C1C4E">
            <w:pPr>
              <w:pStyle w:val="ListParagraph"/>
              <w:numPr>
                <w:ilvl w:val="0"/>
                <w:numId w:val="5"/>
              </w:numPr>
              <w:rPr>
                <w:rFonts w:cstheme="minorHAnsi"/>
                <w:color w:val="000000" w:themeColor="text1"/>
                <w:sz w:val="24"/>
                <w:szCs w:val="24"/>
              </w:rPr>
            </w:pPr>
            <w:r w:rsidRPr="00D06B82">
              <w:rPr>
                <w:rFonts w:eastAsia="Baskerville Old Face" w:cstheme="minorHAnsi"/>
                <w:color w:val="000000" w:themeColor="text1"/>
                <w:sz w:val="24"/>
                <w:szCs w:val="24"/>
              </w:rPr>
              <w:t xml:space="preserve">Good background data – examples </w:t>
            </w:r>
            <w:r>
              <w:rPr>
                <w:rFonts w:eastAsia="Baskerville Old Face" w:cstheme="minorHAnsi"/>
                <w:color w:val="000000" w:themeColor="text1"/>
                <w:sz w:val="24"/>
                <w:szCs w:val="24"/>
              </w:rPr>
              <w:t>given (</w:t>
            </w:r>
            <w:r w:rsidRPr="00D06B82">
              <w:rPr>
                <w:rFonts w:eastAsia="Baskerville Old Face" w:cstheme="minorHAnsi"/>
                <w:color w:val="000000" w:themeColor="text1"/>
                <w:sz w:val="24"/>
                <w:szCs w:val="24"/>
              </w:rPr>
              <w:t>with a combination of humour and serious points raised to reinforce learning).</w:t>
            </w:r>
          </w:p>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b/>
                <w:bCs/>
                <w:color w:val="000000" w:themeColor="text1"/>
                <w:sz w:val="24"/>
                <w:szCs w:val="24"/>
              </w:rPr>
              <w:t>Action points:</w:t>
            </w:r>
          </w:p>
        </w:tc>
      </w:tr>
      <w:tr w:rsidR="009C1C4E" w:rsidRPr="00926A15" w:rsidTr="00B45F90">
        <w:tc>
          <w:tcPr>
            <w:tcW w:w="9026" w:type="dxa"/>
            <w:gridSpan w:val="2"/>
          </w:tcPr>
          <w:p w:rsidR="009C1C4E" w:rsidRPr="00D06B82" w:rsidRDefault="009C1C4E" w:rsidP="00B45F90">
            <w:pPr>
              <w:rPr>
                <w:rFonts w:eastAsia="Baskerville Old Face" w:cstheme="minorHAnsi"/>
                <w:color w:val="000000" w:themeColor="text1"/>
                <w:sz w:val="24"/>
                <w:szCs w:val="24"/>
              </w:rPr>
            </w:pPr>
          </w:p>
          <w:p w:rsidR="009C1C4E" w:rsidRPr="00D06B82" w:rsidRDefault="009C1C4E" w:rsidP="009C1C4E">
            <w:pPr>
              <w:pStyle w:val="ListParagraph"/>
              <w:numPr>
                <w:ilvl w:val="0"/>
                <w:numId w:val="4"/>
              </w:num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t xml:space="preserve">There was lots of content covered in this session it may be worth considering splitting it in to two sessions. </w:t>
            </w:r>
            <w:r>
              <w:rPr>
                <w:rFonts w:eastAsia="Baskerville Old Face" w:cstheme="minorHAnsi"/>
                <w:color w:val="000000" w:themeColor="text1"/>
                <w:sz w:val="24"/>
                <w:szCs w:val="24"/>
              </w:rPr>
              <w:t>Possibly a</w:t>
            </w:r>
            <w:r w:rsidRPr="00D06B82">
              <w:rPr>
                <w:rFonts w:eastAsia="Baskerville Old Face" w:cstheme="minorHAnsi"/>
                <w:color w:val="000000" w:themeColor="text1"/>
                <w:sz w:val="24"/>
                <w:szCs w:val="24"/>
              </w:rPr>
              <w:t>n introduction</w:t>
            </w:r>
            <w:r>
              <w:rPr>
                <w:rFonts w:eastAsia="Baskerville Old Face" w:cstheme="minorHAnsi"/>
                <w:color w:val="000000" w:themeColor="text1"/>
                <w:sz w:val="24"/>
                <w:szCs w:val="24"/>
              </w:rPr>
              <w:t>/ background</w:t>
            </w:r>
            <w:r w:rsidRPr="00D06B82">
              <w:rPr>
                <w:rFonts w:eastAsia="Baskerville Old Face" w:cstheme="minorHAnsi"/>
                <w:color w:val="000000" w:themeColor="text1"/>
                <w:sz w:val="24"/>
                <w:szCs w:val="24"/>
              </w:rPr>
              <w:t xml:space="preserve"> to the topic area and then the opportunity for students to go away a research the topic and return for the </w:t>
            </w:r>
            <w:r>
              <w:rPr>
                <w:rFonts w:eastAsia="Baskerville Old Face" w:cstheme="minorHAnsi"/>
                <w:color w:val="000000" w:themeColor="text1"/>
                <w:sz w:val="24"/>
                <w:szCs w:val="24"/>
              </w:rPr>
              <w:t>second part in further session.</w:t>
            </w:r>
          </w:p>
          <w:p w:rsidR="009C1C4E" w:rsidRPr="00D06B82" w:rsidRDefault="009C1C4E" w:rsidP="009C1C4E">
            <w:pPr>
              <w:pStyle w:val="ListParagraph"/>
              <w:numPr>
                <w:ilvl w:val="0"/>
                <w:numId w:val="4"/>
              </w:numPr>
              <w:rPr>
                <w:rFonts w:cstheme="minorHAnsi"/>
                <w:color w:val="000000" w:themeColor="text1"/>
                <w:sz w:val="24"/>
                <w:szCs w:val="24"/>
              </w:rPr>
            </w:pPr>
            <w:r w:rsidRPr="00D06B82">
              <w:rPr>
                <w:rFonts w:eastAsia="Baskerville Old Face" w:cstheme="minorHAnsi"/>
                <w:color w:val="000000" w:themeColor="text1"/>
                <w:sz w:val="24"/>
                <w:szCs w:val="24"/>
              </w:rPr>
              <w:t>Reflect on this lesson, using Gibbs (1998) Reflective Process and record this reflection briefly.</w:t>
            </w:r>
          </w:p>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r w:rsidRPr="00D06B82">
              <w:rPr>
                <w:rFonts w:eastAsia="Baskerville Old Face" w:cstheme="minorHAnsi"/>
                <w:color w:val="000000" w:themeColor="text1"/>
                <w:sz w:val="24"/>
                <w:szCs w:val="24"/>
              </w:rPr>
              <w:t>Thank you for letting me observe the lesson, I thoroughly enjoyed it and you should gain confidence from this observation.</w:t>
            </w:r>
          </w:p>
          <w:p w:rsidR="009C1C4E" w:rsidRPr="00D06B82" w:rsidRDefault="009C1C4E" w:rsidP="00B45F90">
            <w:pPr>
              <w:rPr>
                <w:rFonts w:eastAsia="Baskerville Old Face" w:cstheme="minorHAnsi"/>
                <w:b/>
                <w:bCs/>
                <w:color w:val="000000" w:themeColor="text1"/>
                <w:sz w:val="24"/>
                <w:szCs w:val="24"/>
              </w:rPr>
            </w:pPr>
            <w:r w:rsidRPr="00D06B82">
              <w:rPr>
                <w:rFonts w:eastAsia="Baskerville Old Face" w:cstheme="minorHAnsi"/>
                <w:b/>
                <w:bCs/>
                <w:color w:val="000000" w:themeColor="text1"/>
                <w:sz w:val="24"/>
                <w:szCs w:val="24"/>
              </w:rPr>
              <w:t>Observer: Ian Standen                                               Date 7</w:t>
            </w:r>
            <w:r w:rsidRPr="00D06B82">
              <w:rPr>
                <w:rFonts w:eastAsia="Baskerville Old Face" w:cstheme="minorHAnsi"/>
                <w:b/>
                <w:bCs/>
                <w:color w:val="000000" w:themeColor="text1"/>
                <w:sz w:val="24"/>
                <w:szCs w:val="24"/>
                <w:vertAlign w:val="superscript"/>
              </w:rPr>
              <w:t>th</w:t>
            </w:r>
            <w:r w:rsidRPr="00D06B82">
              <w:rPr>
                <w:rFonts w:eastAsia="Baskerville Old Face" w:cstheme="minorHAnsi"/>
                <w:b/>
                <w:bCs/>
                <w:color w:val="000000" w:themeColor="text1"/>
                <w:sz w:val="24"/>
                <w:szCs w:val="24"/>
              </w:rPr>
              <w:t xml:space="preserve"> March 2019</w:t>
            </w:r>
          </w:p>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proofErr w:type="spellStart"/>
            <w:r w:rsidRPr="00D06B82">
              <w:rPr>
                <w:rFonts w:eastAsia="Baskerville Old Face" w:cstheme="minorHAnsi"/>
                <w:b/>
                <w:bCs/>
                <w:color w:val="000000" w:themeColor="text1"/>
                <w:sz w:val="24"/>
                <w:szCs w:val="24"/>
              </w:rPr>
              <w:t>Oberservee</w:t>
            </w:r>
            <w:proofErr w:type="spellEnd"/>
            <w:r w:rsidRPr="00D06B82">
              <w:rPr>
                <w:rFonts w:eastAsia="Baskerville Old Face" w:cstheme="minorHAnsi"/>
                <w:b/>
                <w:bCs/>
                <w:color w:val="000000" w:themeColor="text1"/>
                <w:sz w:val="24"/>
                <w:szCs w:val="24"/>
              </w:rPr>
              <w:t xml:space="preserve">  </w:t>
            </w:r>
            <w:r>
              <w:rPr>
                <w:rFonts w:eastAsia="Baskerville Old Face" w:cstheme="minorHAnsi"/>
                <w:b/>
                <w:bCs/>
                <w:color w:val="000000" w:themeColor="text1"/>
                <w:sz w:val="24"/>
                <w:szCs w:val="24"/>
              </w:rPr>
              <w:t>Lara Hopkinson</w:t>
            </w:r>
            <w:r w:rsidRPr="00D06B82">
              <w:rPr>
                <w:rFonts w:eastAsia="Baskerville Old Face" w:cstheme="minorHAnsi"/>
                <w:b/>
                <w:bCs/>
                <w:color w:val="000000" w:themeColor="text1"/>
                <w:sz w:val="24"/>
                <w:szCs w:val="24"/>
              </w:rPr>
              <w:t xml:space="preserve">...............................Date </w:t>
            </w:r>
            <w:r>
              <w:rPr>
                <w:rFonts w:eastAsia="Baskerville Old Face" w:cstheme="minorHAnsi"/>
                <w:b/>
                <w:bCs/>
                <w:color w:val="000000" w:themeColor="text1"/>
                <w:sz w:val="24"/>
                <w:szCs w:val="24"/>
              </w:rPr>
              <w:t>9</w:t>
            </w:r>
            <w:r w:rsidRPr="009C1C4E">
              <w:rPr>
                <w:rFonts w:eastAsia="Baskerville Old Face" w:cstheme="minorHAnsi"/>
                <w:b/>
                <w:bCs/>
                <w:color w:val="000000" w:themeColor="text1"/>
                <w:sz w:val="24"/>
                <w:szCs w:val="24"/>
                <w:vertAlign w:val="superscript"/>
              </w:rPr>
              <w:t>th</w:t>
            </w:r>
            <w:r>
              <w:rPr>
                <w:rFonts w:eastAsia="Baskerville Old Face" w:cstheme="minorHAnsi"/>
                <w:b/>
                <w:bCs/>
                <w:color w:val="000000" w:themeColor="text1"/>
                <w:sz w:val="24"/>
                <w:szCs w:val="24"/>
              </w:rPr>
              <w:t xml:space="preserve"> March 2019</w:t>
            </w:r>
          </w:p>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p>
          <w:p w:rsidR="009C1C4E" w:rsidRPr="00D06B82" w:rsidRDefault="009C1C4E" w:rsidP="00B45F90">
            <w:pPr>
              <w:rPr>
                <w:rFonts w:eastAsia="Baskerville Old Face" w:cstheme="minorHAnsi"/>
                <w:color w:val="000000" w:themeColor="text1"/>
                <w:sz w:val="24"/>
                <w:szCs w:val="24"/>
              </w:rPr>
            </w:pPr>
          </w:p>
          <w:p w:rsidR="009C1C4E" w:rsidRPr="00926A15" w:rsidRDefault="009C1C4E" w:rsidP="00B45F90">
            <w:pPr>
              <w:rPr>
                <w:rFonts w:eastAsia="Baskerville Old Face" w:cstheme="minorHAnsi"/>
                <w:color w:val="000000" w:themeColor="text1"/>
                <w:sz w:val="24"/>
                <w:szCs w:val="24"/>
              </w:rPr>
            </w:pPr>
            <w:r w:rsidRPr="00D06B82">
              <w:rPr>
                <w:rFonts w:eastAsia="Baskerville Old Face" w:cstheme="minorHAnsi"/>
                <w:b/>
                <w:bCs/>
                <w:color w:val="000000" w:themeColor="text1"/>
                <w:sz w:val="24"/>
                <w:szCs w:val="24"/>
              </w:rPr>
              <w:t>On completion of the peer observation reports for each module, compose a short reflective paragraph on your observation experiences.</w:t>
            </w:r>
          </w:p>
          <w:p w:rsidR="009C1C4E" w:rsidRPr="00926A15" w:rsidRDefault="009C1C4E" w:rsidP="00B45F90">
            <w:pPr>
              <w:rPr>
                <w:rFonts w:eastAsia="Baskerville Old Face" w:cstheme="minorHAnsi"/>
                <w:color w:val="000000" w:themeColor="text1"/>
                <w:sz w:val="24"/>
                <w:szCs w:val="24"/>
              </w:rPr>
            </w:pPr>
          </w:p>
        </w:tc>
      </w:tr>
    </w:tbl>
    <w:p w:rsidR="009C1C4E" w:rsidRDefault="009C1C4E"/>
    <w:p w:rsidR="009C1C4E" w:rsidRDefault="009C1C4E" w:rsidP="009C1C4E">
      <w:r>
        <w:br w:type="page"/>
      </w:r>
    </w:p>
    <w:p w:rsidR="009C1C4E" w:rsidRDefault="009C1C4E" w:rsidP="00716F5E">
      <w:pPr>
        <w:pStyle w:val="Heading1"/>
      </w:pPr>
      <w:bookmarkStart w:id="14" w:name="_Toc22310698"/>
      <w:r>
        <w:lastRenderedPageBreak/>
        <w:t>Teaching observation number 3</w:t>
      </w:r>
      <w:bookmarkEnd w:id="14"/>
    </w:p>
    <w:p w:rsidR="00716F5E" w:rsidRDefault="00716F5E" w:rsidP="00716F5E">
      <w:pPr>
        <w:jc w:val="center"/>
        <w:rPr>
          <w:rFonts w:ascii="Arial" w:eastAsia="Arial" w:hAnsi="Arial" w:cs="Arial"/>
          <w:color w:val="000000" w:themeColor="text1"/>
          <w:sz w:val="21"/>
          <w:szCs w:val="21"/>
        </w:rPr>
      </w:pPr>
    </w:p>
    <w:p w:rsidR="00716F5E" w:rsidRDefault="00716F5E" w:rsidP="00716F5E">
      <w:pPr>
        <w:spacing w:after="300"/>
        <w:jc w:val="center"/>
        <w:rPr>
          <w:rFonts w:ascii="Arial" w:eastAsia="Arial" w:hAnsi="Arial" w:cs="Arial"/>
          <w:color w:val="17365D"/>
          <w:sz w:val="21"/>
          <w:szCs w:val="21"/>
        </w:rPr>
      </w:pPr>
      <w:r>
        <w:rPr>
          <w:noProof/>
          <w:lang w:eastAsia="en-GB"/>
        </w:rPr>
        <w:drawing>
          <wp:inline distT="0" distB="0" distL="0" distR="0" wp14:anchorId="64B67479" wp14:editId="469F3BD2">
            <wp:extent cx="1790700" cy="6000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790700" cy="600075"/>
                    </a:xfrm>
                    <a:prstGeom prst="rect">
                      <a:avLst/>
                    </a:prstGeom>
                  </pic:spPr>
                </pic:pic>
              </a:graphicData>
            </a:graphic>
          </wp:inline>
        </w:drawing>
      </w:r>
    </w:p>
    <w:tbl>
      <w:tblPr>
        <w:tblW w:w="0" w:type="auto"/>
        <w:tblLayout w:type="fixed"/>
        <w:tblLook w:val="00A0" w:firstRow="1" w:lastRow="0" w:firstColumn="1" w:lastColumn="0" w:noHBand="0" w:noVBand="0"/>
      </w:tblPr>
      <w:tblGrid>
        <w:gridCol w:w="4513"/>
        <w:gridCol w:w="4513"/>
      </w:tblGrid>
      <w:tr w:rsidR="00716F5E" w:rsidTr="00B45F90">
        <w:tc>
          <w:tcPr>
            <w:tcW w:w="4513" w:type="dxa"/>
          </w:tcPr>
          <w:p w:rsidR="00716F5E" w:rsidRDefault="00716F5E" w:rsidP="00B45F90">
            <w:pPr>
              <w:rPr>
                <w:rFonts w:ascii="Baskerville Old Face" w:eastAsia="Baskerville Old Face" w:hAnsi="Baskerville Old Face" w:cs="Baskerville Old Face"/>
                <w:color w:val="000000" w:themeColor="text1"/>
                <w:sz w:val="24"/>
                <w:szCs w:val="24"/>
              </w:rPr>
            </w:pPr>
            <w:proofErr w:type="spellStart"/>
            <w:r w:rsidRPr="49D11E10">
              <w:rPr>
                <w:rFonts w:ascii="Baskerville Old Face" w:eastAsia="Baskerville Old Face" w:hAnsi="Baskerville Old Face" w:cs="Baskerville Old Face"/>
                <w:color w:val="000000" w:themeColor="text1"/>
                <w:sz w:val="24"/>
                <w:szCs w:val="24"/>
              </w:rPr>
              <w:t>PGCert</w:t>
            </w:r>
            <w:proofErr w:type="spellEnd"/>
            <w:r w:rsidRPr="49D11E10">
              <w:rPr>
                <w:rFonts w:ascii="Baskerville Old Face" w:eastAsia="Baskerville Old Face" w:hAnsi="Baskerville Old Face" w:cs="Baskerville Old Face"/>
                <w:color w:val="000000" w:themeColor="text1"/>
                <w:sz w:val="24"/>
                <w:szCs w:val="24"/>
              </w:rPr>
              <w:t xml:space="preserve"> </w:t>
            </w:r>
            <w:proofErr w:type="spellStart"/>
            <w:r w:rsidRPr="49D11E10">
              <w:rPr>
                <w:rFonts w:ascii="Baskerville Old Face" w:eastAsia="Baskerville Old Face" w:hAnsi="Baskerville Old Face" w:cs="Baskerville Old Face"/>
                <w:color w:val="000000" w:themeColor="text1"/>
                <w:sz w:val="24"/>
                <w:szCs w:val="24"/>
              </w:rPr>
              <w:t>tHE</w:t>
            </w:r>
            <w:proofErr w:type="spellEnd"/>
            <w:r w:rsidRPr="49D11E10">
              <w:rPr>
                <w:rFonts w:ascii="Baskerville Old Face" w:eastAsia="Baskerville Old Face" w:hAnsi="Baskerville Old Face" w:cs="Baskerville Old Face"/>
                <w:color w:val="000000" w:themeColor="text1"/>
                <w:sz w:val="24"/>
                <w:szCs w:val="24"/>
              </w:rPr>
              <w:t xml:space="preserve">  STAFF OBSERVATION FORM</w:t>
            </w:r>
          </w:p>
          <w:p w:rsidR="00716F5E" w:rsidRDefault="00716F5E" w:rsidP="00B45F90">
            <w:pPr>
              <w:rPr>
                <w:rFonts w:ascii="Baskerville Old Face" w:eastAsia="Baskerville Old Face" w:hAnsi="Baskerville Old Face" w:cs="Baskerville Old Face"/>
                <w:color w:val="000000" w:themeColor="text1"/>
                <w:sz w:val="24"/>
                <w:szCs w:val="24"/>
              </w:rPr>
            </w:pPr>
          </w:p>
          <w:p w:rsidR="00716F5E" w:rsidRDefault="00716F5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 xml:space="preserve">Name of Staff member: </w:t>
            </w:r>
            <w:r w:rsidRPr="49D11E10">
              <w:rPr>
                <w:rFonts w:ascii="Baskerville Old Face" w:eastAsia="Baskerville Old Face" w:hAnsi="Baskerville Old Face" w:cs="Baskerville Old Face"/>
                <w:b/>
                <w:bCs/>
                <w:color w:val="000000" w:themeColor="text1"/>
                <w:sz w:val="24"/>
                <w:szCs w:val="24"/>
              </w:rPr>
              <w:t>Lara Hopkinson</w:t>
            </w:r>
          </w:p>
        </w:tc>
        <w:tc>
          <w:tcPr>
            <w:tcW w:w="4513" w:type="dxa"/>
          </w:tcPr>
          <w:p w:rsidR="00716F5E" w:rsidRDefault="00716F5E" w:rsidP="00B45F90">
            <w:pPr>
              <w:rPr>
                <w:rFonts w:ascii="Baskerville Old Face" w:eastAsia="Baskerville Old Face" w:hAnsi="Baskerville Old Face" w:cs="Baskerville Old Face"/>
                <w:color w:val="000000" w:themeColor="text1"/>
                <w:sz w:val="24"/>
                <w:szCs w:val="24"/>
              </w:rPr>
            </w:pPr>
          </w:p>
          <w:p w:rsidR="00716F5E" w:rsidRDefault="00716F5E" w:rsidP="00B45F90">
            <w:pPr>
              <w:rPr>
                <w:rFonts w:ascii="Baskerville Old Face" w:eastAsia="Baskerville Old Face" w:hAnsi="Baskerville Old Face" w:cs="Baskerville Old Face"/>
                <w:color w:val="000000" w:themeColor="text1"/>
                <w:sz w:val="24"/>
                <w:szCs w:val="24"/>
              </w:rPr>
            </w:pPr>
          </w:p>
          <w:p w:rsidR="00716F5E" w:rsidRDefault="00716F5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 xml:space="preserve">Date:  </w:t>
            </w:r>
            <w:r>
              <w:rPr>
                <w:rFonts w:ascii="Baskerville Old Face" w:eastAsia="Baskerville Old Face" w:hAnsi="Baskerville Old Face" w:cs="Baskerville Old Face"/>
                <w:color w:val="000000" w:themeColor="text1"/>
                <w:sz w:val="24"/>
                <w:szCs w:val="24"/>
              </w:rPr>
              <w:t>28/03/19</w:t>
            </w:r>
          </w:p>
        </w:tc>
      </w:tr>
      <w:tr w:rsidR="00716F5E" w:rsidTr="00B45F90">
        <w:tc>
          <w:tcPr>
            <w:tcW w:w="4513" w:type="dxa"/>
          </w:tcPr>
          <w:p w:rsidR="00716F5E" w:rsidRDefault="00716F5E" w:rsidP="00B45F90">
            <w:pPr>
              <w:rPr>
                <w:rFonts w:ascii="Baskerville Old Face" w:eastAsia="Baskerville Old Face" w:hAnsi="Baskerville Old Face" w:cs="Baskerville Old Face"/>
                <w:color w:val="000000" w:themeColor="text1"/>
                <w:sz w:val="24"/>
                <w:szCs w:val="24"/>
              </w:rPr>
            </w:pPr>
          </w:p>
          <w:p w:rsidR="00716F5E" w:rsidRDefault="00716F5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 xml:space="preserve">Name of Observer: </w:t>
            </w:r>
            <w:r>
              <w:rPr>
                <w:rFonts w:ascii="Baskerville Old Face" w:eastAsia="Baskerville Old Face" w:hAnsi="Baskerville Old Face" w:cs="Baskerville Old Face"/>
                <w:color w:val="000000" w:themeColor="text1"/>
                <w:sz w:val="24"/>
                <w:szCs w:val="24"/>
              </w:rPr>
              <w:t>Rhian Jenkins</w:t>
            </w:r>
          </w:p>
        </w:tc>
        <w:tc>
          <w:tcPr>
            <w:tcW w:w="4513" w:type="dxa"/>
          </w:tcPr>
          <w:p w:rsidR="00716F5E" w:rsidRDefault="00716F5E" w:rsidP="00B45F90">
            <w:pPr>
              <w:rPr>
                <w:rFonts w:ascii="Baskerville Old Face" w:eastAsia="Baskerville Old Face" w:hAnsi="Baskerville Old Face" w:cs="Baskerville Old Face"/>
                <w:color w:val="000000" w:themeColor="text1"/>
                <w:sz w:val="24"/>
                <w:szCs w:val="24"/>
              </w:rPr>
            </w:pPr>
          </w:p>
          <w:p w:rsidR="00716F5E" w:rsidRDefault="00716F5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 xml:space="preserve">Number in class: </w:t>
            </w:r>
            <w:r>
              <w:rPr>
                <w:rFonts w:ascii="Baskerville Old Face" w:eastAsia="Baskerville Old Face" w:hAnsi="Baskerville Old Face" w:cs="Baskerville Old Face"/>
                <w:color w:val="000000" w:themeColor="text1"/>
                <w:sz w:val="24"/>
                <w:szCs w:val="24"/>
              </w:rPr>
              <w:t>7</w:t>
            </w:r>
          </w:p>
        </w:tc>
      </w:tr>
      <w:tr w:rsidR="00716F5E" w:rsidTr="00B45F90">
        <w:tc>
          <w:tcPr>
            <w:tcW w:w="4513" w:type="dxa"/>
          </w:tcPr>
          <w:p w:rsidR="00716F5E" w:rsidRDefault="00716F5E" w:rsidP="00B45F90">
            <w:pPr>
              <w:rPr>
                <w:rFonts w:ascii="Baskerville Old Face" w:eastAsia="Baskerville Old Face" w:hAnsi="Baskerville Old Face" w:cs="Baskerville Old Face"/>
                <w:color w:val="000000" w:themeColor="text1"/>
                <w:sz w:val="24"/>
                <w:szCs w:val="24"/>
              </w:rPr>
            </w:pPr>
          </w:p>
          <w:p w:rsidR="00716F5E" w:rsidRDefault="00716F5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Student level:</w:t>
            </w:r>
            <w:r>
              <w:rPr>
                <w:rFonts w:ascii="Baskerville Old Face" w:eastAsia="Baskerville Old Face" w:hAnsi="Baskerville Old Face" w:cs="Baskerville Old Face"/>
                <w:color w:val="000000" w:themeColor="text1"/>
                <w:sz w:val="24"/>
                <w:szCs w:val="24"/>
              </w:rPr>
              <w:t xml:space="preserve"> 6</w:t>
            </w:r>
          </w:p>
        </w:tc>
        <w:tc>
          <w:tcPr>
            <w:tcW w:w="4513" w:type="dxa"/>
          </w:tcPr>
          <w:p w:rsidR="00716F5E" w:rsidRDefault="00716F5E" w:rsidP="00B45F90">
            <w:pPr>
              <w:rPr>
                <w:rFonts w:ascii="Baskerville Old Face" w:eastAsia="Baskerville Old Face" w:hAnsi="Baskerville Old Face" w:cs="Baskerville Old Face"/>
                <w:color w:val="000000" w:themeColor="text1"/>
                <w:sz w:val="24"/>
                <w:szCs w:val="24"/>
              </w:rPr>
            </w:pPr>
          </w:p>
          <w:p w:rsidR="00716F5E" w:rsidRDefault="00716F5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 xml:space="preserve">Location: </w:t>
            </w:r>
            <w:r>
              <w:rPr>
                <w:rFonts w:ascii="Baskerville Old Face" w:eastAsia="Baskerville Old Face" w:hAnsi="Baskerville Old Face" w:cs="Baskerville Old Face"/>
                <w:color w:val="000000" w:themeColor="text1"/>
                <w:sz w:val="24"/>
                <w:szCs w:val="24"/>
              </w:rPr>
              <w:t>FF001, SA1 campus</w:t>
            </w:r>
          </w:p>
        </w:tc>
      </w:tr>
      <w:tr w:rsidR="00716F5E" w:rsidTr="00B45F90">
        <w:tc>
          <w:tcPr>
            <w:tcW w:w="4513" w:type="dxa"/>
          </w:tcPr>
          <w:p w:rsidR="00716F5E" w:rsidRDefault="00716F5E" w:rsidP="00B45F90">
            <w:pPr>
              <w:rPr>
                <w:rFonts w:ascii="Baskerville Old Face" w:eastAsia="Baskerville Old Face" w:hAnsi="Baskerville Old Face" w:cs="Baskerville Old Face"/>
                <w:color w:val="000000" w:themeColor="text1"/>
                <w:sz w:val="24"/>
                <w:szCs w:val="24"/>
              </w:rPr>
            </w:pPr>
          </w:p>
          <w:p w:rsidR="00716F5E" w:rsidRDefault="00716F5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 xml:space="preserve">Topic: </w:t>
            </w:r>
            <w:r>
              <w:rPr>
                <w:rFonts w:ascii="Baskerville Old Face" w:eastAsia="Baskerville Old Face" w:hAnsi="Baskerville Old Face" w:cs="Baskerville Old Face"/>
                <w:color w:val="000000" w:themeColor="text1"/>
                <w:sz w:val="24"/>
                <w:szCs w:val="24"/>
              </w:rPr>
              <w:t xml:space="preserve">Sustainable innovation at the new UWTSD development, SA1 </w:t>
            </w:r>
          </w:p>
        </w:tc>
        <w:tc>
          <w:tcPr>
            <w:tcW w:w="4513" w:type="dxa"/>
          </w:tcPr>
          <w:p w:rsidR="00716F5E" w:rsidRDefault="00716F5E" w:rsidP="00B45F90">
            <w:pPr>
              <w:rPr>
                <w:rFonts w:ascii="Baskerville Old Face" w:eastAsia="Baskerville Old Face" w:hAnsi="Baskerville Old Face" w:cs="Baskerville Old Face"/>
                <w:color w:val="000000" w:themeColor="text1"/>
                <w:sz w:val="24"/>
                <w:szCs w:val="24"/>
              </w:rPr>
            </w:pPr>
          </w:p>
          <w:p w:rsidR="00716F5E" w:rsidRDefault="00716F5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Start Time:</w:t>
            </w:r>
            <w:r>
              <w:rPr>
                <w:rFonts w:ascii="Baskerville Old Face" w:eastAsia="Baskerville Old Face" w:hAnsi="Baskerville Old Face" w:cs="Baskerville Old Face"/>
                <w:color w:val="000000" w:themeColor="text1"/>
                <w:sz w:val="24"/>
                <w:szCs w:val="24"/>
              </w:rPr>
              <w:t xml:space="preserve"> 9.00am  </w:t>
            </w:r>
            <w:r w:rsidRPr="49D11E10">
              <w:rPr>
                <w:rFonts w:ascii="Baskerville Old Face" w:eastAsia="Baskerville Old Face" w:hAnsi="Baskerville Old Face" w:cs="Baskerville Old Face"/>
                <w:color w:val="000000" w:themeColor="text1"/>
                <w:sz w:val="24"/>
                <w:szCs w:val="24"/>
              </w:rPr>
              <w:t xml:space="preserve"> Finish Time:</w:t>
            </w:r>
            <w:r>
              <w:rPr>
                <w:rFonts w:ascii="Baskerville Old Face" w:eastAsia="Baskerville Old Face" w:hAnsi="Baskerville Old Face" w:cs="Baskerville Old Face"/>
                <w:color w:val="000000" w:themeColor="text1"/>
                <w:sz w:val="24"/>
                <w:szCs w:val="24"/>
              </w:rPr>
              <w:t xml:space="preserve"> 11.00am</w:t>
            </w:r>
          </w:p>
        </w:tc>
      </w:tr>
      <w:tr w:rsidR="00716F5E" w:rsidTr="00B45F90">
        <w:tc>
          <w:tcPr>
            <w:tcW w:w="9026" w:type="dxa"/>
            <w:gridSpan w:val="2"/>
          </w:tcPr>
          <w:p w:rsidR="00716F5E" w:rsidRDefault="00716F5E" w:rsidP="00B45F90">
            <w:pPr>
              <w:rPr>
                <w:rFonts w:ascii="Baskerville Old Face" w:eastAsia="Baskerville Old Face" w:hAnsi="Baskerville Old Face" w:cs="Baskerville Old Face"/>
                <w:b/>
                <w:bCs/>
                <w:color w:val="000000" w:themeColor="text1"/>
                <w:sz w:val="24"/>
                <w:szCs w:val="24"/>
              </w:rPr>
            </w:pPr>
          </w:p>
          <w:p w:rsidR="00716F5E" w:rsidRDefault="00716F5E" w:rsidP="00B45F90">
            <w:pPr>
              <w:rPr>
                <w:rFonts w:ascii="Baskerville Old Face" w:eastAsia="Baskerville Old Face" w:hAnsi="Baskerville Old Face" w:cs="Baskerville Old Face"/>
                <w:b/>
                <w:bCs/>
                <w:color w:val="000000" w:themeColor="text1"/>
                <w:sz w:val="24"/>
                <w:szCs w:val="24"/>
              </w:rPr>
            </w:pPr>
            <w:r w:rsidRPr="49D11E10">
              <w:rPr>
                <w:rFonts w:ascii="Baskerville Old Face" w:eastAsia="Baskerville Old Face" w:hAnsi="Baskerville Old Face" w:cs="Baskerville Old Face"/>
                <w:b/>
                <w:bCs/>
                <w:color w:val="000000" w:themeColor="text1"/>
                <w:sz w:val="24"/>
                <w:szCs w:val="24"/>
              </w:rPr>
              <w:t>Teaching Characteristics:</w:t>
            </w:r>
          </w:p>
          <w:p w:rsidR="00716F5E" w:rsidRDefault="00716F5E" w:rsidP="00B45F90">
            <w:pPr>
              <w:rPr>
                <w:rFonts w:ascii="Baskerville Old Face" w:eastAsia="Baskerville Old Face" w:hAnsi="Baskerville Old Face" w:cs="Baskerville Old Face"/>
                <w:color w:val="000000" w:themeColor="text1"/>
                <w:sz w:val="24"/>
                <w:szCs w:val="24"/>
              </w:rPr>
            </w:pPr>
            <w:r>
              <w:rPr>
                <w:rFonts w:ascii="Baskerville Old Face" w:eastAsia="Baskerville Old Face" w:hAnsi="Baskerville Old Face" w:cs="Baskerville Old Face"/>
                <w:color w:val="000000" w:themeColor="text1"/>
                <w:sz w:val="24"/>
                <w:szCs w:val="24"/>
              </w:rPr>
              <w:t>Lara has a firm, professional command of the class. She is assertive but encouraging at the same time. She instils a quiet confidence in her students but they also know that she is firm and fair.</w:t>
            </w:r>
          </w:p>
        </w:tc>
      </w:tr>
      <w:tr w:rsidR="00716F5E" w:rsidTr="00B45F90">
        <w:tc>
          <w:tcPr>
            <w:tcW w:w="9026" w:type="dxa"/>
            <w:gridSpan w:val="2"/>
          </w:tcPr>
          <w:p w:rsidR="00716F5E" w:rsidRDefault="00716F5E" w:rsidP="00B45F90">
            <w:pPr>
              <w:rPr>
                <w:rFonts w:ascii="Baskerville Old Face" w:eastAsia="Baskerville Old Face" w:hAnsi="Baskerville Old Face" w:cs="Baskerville Old Face"/>
                <w:color w:val="000000" w:themeColor="text1"/>
                <w:sz w:val="24"/>
                <w:szCs w:val="24"/>
              </w:rPr>
            </w:pPr>
          </w:p>
        </w:tc>
      </w:tr>
      <w:tr w:rsidR="00716F5E" w:rsidTr="00B45F90">
        <w:tc>
          <w:tcPr>
            <w:tcW w:w="4513" w:type="dxa"/>
          </w:tcPr>
          <w:p w:rsidR="00716F5E" w:rsidRDefault="00716F5E" w:rsidP="00B45F90">
            <w:pPr>
              <w:rPr>
                <w:rFonts w:ascii="Baskerville Old Face" w:eastAsia="Baskerville Old Face" w:hAnsi="Baskerville Old Face" w:cs="Baskerville Old Face"/>
                <w:color w:val="000000" w:themeColor="text1"/>
                <w:sz w:val="24"/>
                <w:szCs w:val="24"/>
              </w:rPr>
            </w:pPr>
          </w:p>
        </w:tc>
        <w:tc>
          <w:tcPr>
            <w:tcW w:w="4513" w:type="dxa"/>
          </w:tcPr>
          <w:p w:rsidR="00716F5E" w:rsidRDefault="00716F5E" w:rsidP="00B45F90">
            <w:pPr>
              <w:rPr>
                <w:rFonts w:ascii="Baskerville Old Face" w:eastAsia="Baskerville Old Face" w:hAnsi="Baskerville Old Face" w:cs="Baskerville Old Face"/>
                <w:sz w:val="24"/>
                <w:szCs w:val="24"/>
              </w:rPr>
            </w:pPr>
          </w:p>
        </w:tc>
      </w:tr>
      <w:tr w:rsidR="00716F5E" w:rsidTr="00B45F90">
        <w:tc>
          <w:tcPr>
            <w:tcW w:w="4513" w:type="dxa"/>
          </w:tcPr>
          <w:p w:rsidR="00716F5E" w:rsidRDefault="00716F5E" w:rsidP="00B45F90">
            <w:pPr>
              <w:rPr>
                <w:rFonts w:ascii="Baskerville Old Face" w:eastAsia="Baskerville Old Face" w:hAnsi="Baskerville Old Face" w:cs="Baskerville Old Face"/>
                <w:color w:val="000000" w:themeColor="text1"/>
                <w:sz w:val="24"/>
                <w:szCs w:val="24"/>
              </w:rPr>
            </w:pPr>
          </w:p>
        </w:tc>
        <w:tc>
          <w:tcPr>
            <w:tcW w:w="4513" w:type="dxa"/>
          </w:tcPr>
          <w:p w:rsidR="00716F5E" w:rsidRDefault="00716F5E" w:rsidP="00B45F90">
            <w:pPr>
              <w:rPr>
                <w:rFonts w:ascii="Baskerville Old Face" w:eastAsia="Baskerville Old Face" w:hAnsi="Baskerville Old Face" w:cs="Baskerville Old Face"/>
                <w:sz w:val="24"/>
                <w:szCs w:val="24"/>
              </w:rPr>
            </w:pPr>
          </w:p>
        </w:tc>
      </w:tr>
      <w:tr w:rsidR="00716F5E" w:rsidTr="00B45F90">
        <w:tc>
          <w:tcPr>
            <w:tcW w:w="9026" w:type="dxa"/>
            <w:gridSpan w:val="2"/>
          </w:tcPr>
          <w:p w:rsidR="00716F5E" w:rsidRDefault="00716F5E" w:rsidP="00B45F90">
            <w:pPr>
              <w:spacing w:after="0"/>
              <w:jc w:val="both"/>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b/>
                <w:bCs/>
                <w:color w:val="000000" w:themeColor="text1"/>
                <w:sz w:val="24"/>
                <w:szCs w:val="24"/>
              </w:rPr>
              <w:t>Technique and Aids:</w:t>
            </w:r>
            <w:r w:rsidRPr="49D11E10">
              <w:rPr>
                <w:rFonts w:ascii="Baskerville Old Face" w:eastAsia="Baskerville Old Face" w:hAnsi="Baskerville Old Face" w:cs="Baskerville Old Face"/>
                <w:color w:val="000000" w:themeColor="text1"/>
                <w:sz w:val="24"/>
                <w:szCs w:val="24"/>
              </w:rPr>
              <w:t xml:space="preserve">  </w:t>
            </w:r>
            <w:r>
              <w:rPr>
                <w:rFonts w:ascii="Baskerville Old Face" w:eastAsia="Baskerville Old Face" w:hAnsi="Baskerville Old Face" w:cs="Baskerville Old Face"/>
                <w:color w:val="000000" w:themeColor="text1"/>
                <w:sz w:val="24"/>
                <w:szCs w:val="24"/>
              </w:rPr>
              <w:t xml:space="preserve">For this session, the students were leading the presentations. However </w:t>
            </w:r>
            <w:r w:rsidRPr="49D11E10">
              <w:rPr>
                <w:rFonts w:ascii="Baskerville Old Face" w:eastAsia="Baskerville Old Face" w:hAnsi="Baskerville Old Face" w:cs="Baskerville Old Face"/>
                <w:color w:val="000000" w:themeColor="text1"/>
                <w:sz w:val="24"/>
                <w:szCs w:val="24"/>
              </w:rPr>
              <w:t xml:space="preserve">Lara is </w:t>
            </w:r>
            <w:r>
              <w:rPr>
                <w:rFonts w:ascii="Baskerville Old Face" w:eastAsia="Baskerville Old Face" w:hAnsi="Baskerville Old Face" w:cs="Baskerville Old Face"/>
                <w:color w:val="000000" w:themeColor="text1"/>
                <w:sz w:val="24"/>
                <w:szCs w:val="24"/>
              </w:rPr>
              <w:t>clearly</w:t>
            </w:r>
            <w:r w:rsidRPr="49D11E10">
              <w:rPr>
                <w:rFonts w:ascii="Baskerville Old Face" w:eastAsia="Baskerville Old Face" w:hAnsi="Baskerville Old Face" w:cs="Baskerville Old Face"/>
                <w:color w:val="000000" w:themeColor="text1"/>
                <w:sz w:val="24"/>
                <w:szCs w:val="24"/>
              </w:rPr>
              <w:t xml:space="preserve"> familiar with </w:t>
            </w:r>
            <w:r>
              <w:rPr>
                <w:rFonts w:ascii="Baskerville Old Face" w:eastAsia="Baskerville Old Face" w:hAnsi="Baskerville Old Face" w:cs="Baskerville Old Face"/>
                <w:color w:val="000000" w:themeColor="text1"/>
                <w:sz w:val="24"/>
                <w:szCs w:val="24"/>
              </w:rPr>
              <w:t>various teaching techniques such as leading debates and question and answer sessions. She is also very encouraging of students when they are struggling or nervous in a presentation setting.</w:t>
            </w:r>
          </w:p>
          <w:p w:rsidR="00716F5E" w:rsidRDefault="00716F5E" w:rsidP="00B45F90">
            <w:pPr>
              <w:jc w:val="both"/>
              <w:rPr>
                <w:rFonts w:ascii="Baskerville Old Face" w:eastAsia="Baskerville Old Face" w:hAnsi="Baskerville Old Face" w:cs="Baskerville Old Face"/>
                <w:color w:val="000000" w:themeColor="text1"/>
                <w:sz w:val="24"/>
                <w:szCs w:val="24"/>
              </w:rPr>
            </w:pPr>
          </w:p>
        </w:tc>
      </w:tr>
      <w:tr w:rsidR="00716F5E" w:rsidTr="00B45F90">
        <w:tc>
          <w:tcPr>
            <w:tcW w:w="9026" w:type="dxa"/>
            <w:gridSpan w:val="2"/>
          </w:tcPr>
          <w:p w:rsidR="00716F5E" w:rsidRPr="008332AA" w:rsidRDefault="00716F5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b/>
                <w:bCs/>
                <w:color w:val="000000" w:themeColor="text1"/>
                <w:sz w:val="24"/>
                <w:szCs w:val="24"/>
              </w:rPr>
              <w:t xml:space="preserve">Student Responses:  </w:t>
            </w:r>
            <w:r w:rsidRPr="008332AA">
              <w:rPr>
                <w:rFonts w:ascii="Baskerville Old Face" w:eastAsia="Baskerville Old Face" w:hAnsi="Baskerville Old Face" w:cs="Baskerville Old Face"/>
                <w:bCs/>
                <w:color w:val="000000" w:themeColor="text1"/>
                <w:sz w:val="24"/>
                <w:szCs w:val="24"/>
              </w:rPr>
              <w:t xml:space="preserve">In this </w:t>
            </w:r>
            <w:r>
              <w:rPr>
                <w:rFonts w:ascii="Baskerville Old Face" w:eastAsia="Baskerville Old Face" w:hAnsi="Baskerville Old Face" w:cs="Baskerville Old Face"/>
                <w:bCs/>
                <w:color w:val="000000" w:themeColor="text1"/>
                <w:sz w:val="24"/>
                <w:szCs w:val="24"/>
              </w:rPr>
              <w:t xml:space="preserve">observation, </w:t>
            </w:r>
            <w:r w:rsidRPr="008332AA">
              <w:rPr>
                <w:rFonts w:ascii="Baskerville Old Face" w:eastAsia="Baskerville Old Face" w:hAnsi="Baskerville Old Face" w:cs="Baskerville Old Face"/>
                <w:bCs/>
                <w:color w:val="000000" w:themeColor="text1"/>
                <w:sz w:val="24"/>
                <w:szCs w:val="24"/>
              </w:rPr>
              <w:t>students</w:t>
            </w:r>
            <w:r>
              <w:rPr>
                <w:rFonts w:ascii="Baskerville Old Face" w:eastAsia="Baskerville Old Face" w:hAnsi="Baskerville Old Face" w:cs="Baskerville Old Face"/>
                <w:b/>
                <w:bCs/>
                <w:color w:val="000000" w:themeColor="text1"/>
                <w:sz w:val="24"/>
                <w:szCs w:val="24"/>
              </w:rPr>
              <w:t xml:space="preserve"> </w:t>
            </w:r>
            <w:r w:rsidRPr="008332AA">
              <w:rPr>
                <w:rFonts w:ascii="Baskerville Old Face" w:eastAsia="Baskerville Old Face" w:hAnsi="Baskerville Old Face" w:cs="Baskerville Old Face"/>
                <w:bCs/>
                <w:color w:val="000000" w:themeColor="text1"/>
                <w:sz w:val="24"/>
                <w:szCs w:val="24"/>
              </w:rPr>
              <w:t xml:space="preserve">were being assessed on a piece of work that had been progressing throughout the academic year. These final presentations demonstrated that students had responded in a very positive way to Lara’s formative feedback and </w:t>
            </w:r>
            <w:r>
              <w:rPr>
                <w:rFonts w:ascii="Baskerville Old Face" w:eastAsia="Baskerville Old Face" w:hAnsi="Baskerville Old Face" w:cs="Baskerville Old Face"/>
                <w:bCs/>
                <w:color w:val="000000" w:themeColor="text1"/>
                <w:sz w:val="24"/>
                <w:szCs w:val="24"/>
              </w:rPr>
              <w:t xml:space="preserve">guidance. I had been present for many of those feedback sessions and so had observed that encouragement previously. It is a lot easier clearly when you have a small group but </w:t>
            </w:r>
            <w:r>
              <w:rPr>
                <w:rFonts w:ascii="Baskerville Old Face" w:eastAsia="Baskerville Old Face" w:hAnsi="Baskerville Old Face" w:cs="Baskerville Old Face"/>
                <w:bCs/>
                <w:color w:val="000000" w:themeColor="text1"/>
                <w:sz w:val="24"/>
                <w:szCs w:val="24"/>
              </w:rPr>
              <w:lastRenderedPageBreak/>
              <w:t>nevertheless, the results of the assignments showed that students had taken on board many of Lara’s suggestions and had benefited in terms of overall performance.</w:t>
            </w:r>
          </w:p>
          <w:p w:rsidR="00716F5E" w:rsidRDefault="00716F5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color w:val="000000" w:themeColor="text1"/>
                <w:sz w:val="24"/>
                <w:szCs w:val="24"/>
              </w:rPr>
              <w:t>.</w:t>
            </w:r>
          </w:p>
        </w:tc>
      </w:tr>
      <w:tr w:rsidR="00716F5E" w:rsidTr="00B45F90">
        <w:trPr>
          <w:trHeight w:val="50"/>
        </w:trPr>
        <w:tc>
          <w:tcPr>
            <w:tcW w:w="4513" w:type="dxa"/>
          </w:tcPr>
          <w:p w:rsidR="00716F5E" w:rsidRDefault="00716F5E" w:rsidP="00B45F90">
            <w:pPr>
              <w:rPr>
                <w:rFonts w:ascii="Baskerville Old Face" w:eastAsia="Baskerville Old Face" w:hAnsi="Baskerville Old Face" w:cs="Baskerville Old Face"/>
                <w:color w:val="000000" w:themeColor="text1"/>
                <w:sz w:val="24"/>
                <w:szCs w:val="24"/>
              </w:rPr>
            </w:pPr>
          </w:p>
        </w:tc>
        <w:tc>
          <w:tcPr>
            <w:tcW w:w="4513" w:type="dxa"/>
          </w:tcPr>
          <w:p w:rsidR="00716F5E" w:rsidRDefault="00716F5E" w:rsidP="00B45F90">
            <w:pPr>
              <w:rPr>
                <w:rFonts w:ascii="Baskerville Old Face" w:eastAsia="Baskerville Old Face" w:hAnsi="Baskerville Old Face" w:cs="Baskerville Old Face"/>
                <w:sz w:val="24"/>
                <w:szCs w:val="24"/>
              </w:rPr>
            </w:pPr>
          </w:p>
        </w:tc>
      </w:tr>
      <w:tr w:rsidR="00716F5E" w:rsidTr="00B45F90">
        <w:tc>
          <w:tcPr>
            <w:tcW w:w="9026" w:type="dxa"/>
            <w:gridSpan w:val="2"/>
          </w:tcPr>
          <w:p w:rsidR="00716F5E" w:rsidRDefault="00716F5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b/>
                <w:bCs/>
                <w:color w:val="000000" w:themeColor="text1"/>
                <w:sz w:val="24"/>
                <w:szCs w:val="24"/>
              </w:rPr>
              <w:t xml:space="preserve">General: </w:t>
            </w:r>
            <w:r>
              <w:rPr>
                <w:rFonts w:ascii="Baskerville Old Face" w:eastAsia="Baskerville Old Face" w:hAnsi="Baskerville Old Face" w:cs="Baskerville Old Face"/>
                <w:b/>
                <w:bCs/>
                <w:color w:val="000000" w:themeColor="text1"/>
                <w:sz w:val="24"/>
                <w:szCs w:val="24"/>
              </w:rPr>
              <w:t xml:space="preserve"> </w:t>
            </w:r>
            <w:r w:rsidRPr="008332AA">
              <w:rPr>
                <w:rFonts w:ascii="Baskerville Old Face" w:eastAsia="Baskerville Old Face" w:hAnsi="Baskerville Old Face" w:cs="Baskerville Old Face"/>
                <w:bCs/>
                <w:color w:val="000000" w:themeColor="text1"/>
                <w:sz w:val="24"/>
                <w:szCs w:val="24"/>
              </w:rPr>
              <w:t>In general terms Lara is extremely organised and that comes across in her teaching. Students see her as a ‘safe pair of hands’ and respond to her course management.</w:t>
            </w:r>
          </w:p>
        </w:tc>
      </w:tr>
      <w:tr w:rsidR="00716F5E" w:rsidTr="00B45F90">
        <w:tc>
          <w:tcPr>
            <w:tcW w:w="4513" w:type="dxa"/>
          </w:tcPr>
          <w:p w:rsidR="00716F5E" w:rsidRDefault="00716F5E" w:rsidP="00B45F90">
            <w:pPr>
              <w:rPr>
                <w:rFonts w:ascii="Baskerville Old Face" w:eastAsia="Baskerville Old Face" w:hAnsi="Baskerville Old Face" w:cs="Baskerville Old Face"/>
                <w:color w:val="000000" w:themeColor="text1"/>
                <w:sz w:val="24"/>
                <w:szCs w:val="24"/>
              </w:rPr>
            </w:pPr>
          </w:p>
        </w:tc>
        <w:tc>
          <w:tcPr>
            <w:tcW w:w="4513" w:type="dxa"/>
          </w:tcPr>
          <w:p w:rsidR="00716F5E" w:rsidRDefault="00716F5E" w:rsidP="00B45F90">
            <w:pPr>
              <w:rPr>
                <w:rFonts w:ascii="Baskerville Old Face" w:eastAsia="Baskerville Old Face" w:hAnsi="Baskerville Old Face" w:cs="Baskerville Old Face"/>
                <w:sz w:val="24"/>
                <w:szCs w:val="24"/>
              </w:rPr>
            </w:pPr>
          </w:p>
        </w:tc>
      </w:tr>
      <w:tr w:rsidR="00716F5E" w:rsidTr="00B45F90">
        <w:tc>
          <w:tcPr>
            <w:tcW w:w="9026" w:type="dxa"/>
            <w:gridSpan w:val="2"/>
          </w:tcPr>
          <w:p w:rsidR="00716F5E" w:rsidRPr="008332AA" w:rsidRDefault="00716F5E" w:rsidP="00B45F90">
            <w:pPr>
              <w:jc w:val="both"/>
              <w:rPr>
                <w:rFonts w:ascii="Baskerville Old Face" w:eastAsia="Baskerville Old Face" w:hAnsi="Baskerville Old Face" w:cs="Baskerville Old Face"/>
                <w:b/>
                <w:color w:val="000000" w:themeColor="text1"/>
                <w:sz w:val="24"/>
                <w:szCs w:val="24"/>
              </w:rPr>
            </w:pPr>
            <w:r w:rsidRPr="49D11E10">
              <w:rPr>
                <w:rFonts w:ascii="Baskerville Old Face" w:eastAsia="Baskerville Old Face" w:hAnsi="Baskerville Old Face" w:cs="Baskerville Old Face"/>
                <w:b/>
                <w:bCs/>
                <w:color w:val="000000" w:themeColor="text1"/>
                <w:sz w:val="24"/>
                <w:szCs w:val="24"/>
              </w:rPr>
              <w:t>Examples of good practice:</w:t>
            </w:r>
            <w:r>
              <w:rPr>
                <w:rFonts w:ascii="Baskerville Old Face" w:eastAsia="Baskerville Old Face" w:hAnsi="Baskerville Old Face" w:cs="Baskerville Old Face"/>
                <w:bCs/>
                <w:color w:val="000000" w:themeColor="text1"/>
                <w:sz w:val="24"/>
                <w:szCs w:val="24"/>
              </w:rPr>
              <w:t xml:space="preserve"> Lara was instrumental in running the Journal Club which was an additional session students were encouraged to attend in their lunch break. The idea being that students and their peers would hold discussions on environmental themes and academic articles. Students honed their research abilities as a result and reported that it encouraged a more confident research ethic. While Lara did not initially introduce this concept, she was nevertheless key in establishing it as a successful idea. The students themselves ran the sessions but Lara was the facilitator.</w:t>
            </w:r>
          </w:p>
          <w:p w:rsidR="00716F5E" w:rsidRDefault="00716F5E" w:rsidP="00B45F90">
            <w:pPr>
              <w:rPr>
                <w:rFonts w:ascii="Baskerville Old Face" w:eastAsia="Baskerville Old Face" w:hAnsi="Baskerville Old Face" w:cs="Baskerville Old Face"/>
                <w:color w:val="000000" w:themeColor="text1"/>
                <w:sz w:val="24"/>
                <w:szCs w:val="24"/>
              </w:rPr>
            </w:pPr>
          </w:p>
          <w:p w:rsidR="00716F5E" w:rsidRDefault="00716F5E" w:rsidP="00B45F90">
            <w:pPr>
              <w:rPr>
                <w:rFonts w:ascii="Baskerville Old Face" w:eastAsia="Baskerville Old Face" w:hAnsi="Baskerville Old Face" w:cs="Baskerville Old Face"/>
                <w:color w:val="000000" w:themeColor="text1"/>
                <w:sz w:val="24"/>
                <w:szCs w:val="24"/>
              </w:rPr>
            </w:pPr>
            <w:r w:rsidRPr="49D11E10">
              <w:rPr>
                <w:rFonts w:ascii="Baskerville Old Face" w:eastAsia="Baskerville Old Face" w:hAnsi="Baskerville Old Face" w:cs="Baskerville Old Face"/>
                <w:b/>
                <w:bCs/>
                <w:color w:val="000000" w:themeColor="text1"/>
                <w:sz w:val="24"/>
                <w:szCs w:val="24"/>
              </w:rPr>
              <w:t>Action points:</w:t>
            </w:r>
          </w:p>
        </w:tc>
      </w:tr>
      <w:tr w:rsidR="00716F5E" w:rsidTr="00B45F90">
        <w:tc>
          <w:tcPr>
            <w:tcW w:w="9026" w:type="dxa"/>
            <w:gridSpan w:val="2"/>
          </w:tcPr>
          <w:p w:rsidR="00716F5E" w:rsidRDefault="00716F5E" w:rsidP="00B45F90">
            <w:pPr>
              <w:rPr>
                <w:rFonts w:ascii="Baskerville Old Face" w:eastAsia="Baskerville Old Face" w:hAnsi="Baskerville Old Face" w:cs="Baskerville Old Face"/>
                <w:color w:val="000000" w:themeColor="text1"/>
                <w:sz w:val="24"/>
                <w:szCs w:val="24"/>
              </w:rPr>
            </w:pPr>
          </w:p>
          <w:p w:rsidR="00716F5E" w:rsidRDefault="00716F5E" w:rsidP="00B45F90">
            <w:pPr>
              <w:jc w:val="both"/>
              <w:rPr>
                <w:rFonts w:ascii="Baskerville Old Face" w:eastAsia="Baskerville Old Face" w:hAnsi="Baskerville Old Face" w:cs="Baskerville Old Face"/>
                <w:color w:val="000000" w:themeColor="text1"/>
                <w:sz w:val="24"/>
                <w:szCs w:val="24"/>
              </w:rPr>
            </w:pPr>
            <w:r>
              <w:rPr>
                <w:rFonts w:ascii="Baskerville Old Face" w:eastAsia="Baskerville Old Face" w:hAnsi="Baskerville Old Face" w:cs="Baskerville Old Face"/>
                <w:color w:val="000000" w:themeColor="text1"/>
                <w:sz w:val="24"/>
                <w:szCs w:val="24"/>
              </w:rPr>
              <w:t xml:space="preserve">Lars has an extremely empathetic nature and on so many fronts, students respond well to that. The only thing I would say as a suggestion moving forward is to try to maintain that professional tutor stance to avoid being drawn in to student issues. I see that this could potentially weigh Lara down if student were to take advantage of her kind persona. </w:t>
            </w:r>
          </w:p>
          <w:p w:rsidR="00716F5E" w:rsidRDefault="00716F5E" w:rsidP="00716F5E">
            <w:pPr>
              <w:pStyle w:val="ListParagraph"/>
              <w:numPr>
                <w:ilvl w:val="0"/>
                <w:numId w:val="6"/>
              </w:numPr>
              <w:jc w:val="both"/>
              <w:rPr>
                <w:rFonts w:ascii="Baskerville Old Face" w:eastAsia="Baskerville Old Face" w:hAnsi="Baskerville Old Face" w:cs="Baskerville Old Face"/>
                <w:color w:val="000000" w:themeColor="text1"/>
                <w:sz w:val="24"/>
                <w:szCs w:val="24"/>
              </w:rPr>
            </w:pPr>
            <w:r>
              <w:rPr>
                <w:rFonts w:ascii="Baskerville Old Face" w:eastAsia="Baskerville Old Face" w:hAnsi="Baskerville Old Face" w:cs="Baskerville Old Face"/>
                <w:color w:val="000000" w:themeColor="text1"/>
                <w:sz w:val="24"/>
                <w:szCs w:val="24"/>
              </w:rPr>
              <w:t>Maintain that professionalism that she does demonstrate and direct students to the relevant staff member/support unit rather than taking personal responsibility for every problem directed at her.</w:t>
            </w:r>
          </w:p>
          <w:p w:rsidR="00716F5E" w:rsidRPr="00331B16" w:rsidRDefault="00716F5E" w:rsidP="00716F5E">
            <w:pPr>
              <w:pStyle w:val="ListParagraph"/>
              <w:numPr>
                <w:ilvl w:val="0"/>
                <w:numId w:val="6"/>
              </w:numPr>
              <w:jc w:val="both"/>
              <w:rPr>
                <w:rFonts w:ascii="Baskerville Old Face" w:eastAsia="Baskerville Old Face" w:hAnsi="Baskerville Old Face" w:cs="Baskerville Old Face"/>
                <w:color w:val="000000" w:themeColor="text1"/>
                <w:sz w:val="24"/>
                <w:szCs w:val="24"/>
              </w:rPr>
            </w:pPr>
            <w:r>
              <w:rPr>
                <w:rFonts w:ascii="Baskerville Old Face" w:eastAsia="Baskerville Old Face" w:hAnsi="Baskerville Old Face" w:cs="Baskerville Old Face"/>
                <w:color w:val="000000" w:themeColor="text1"/>
                <w:sz w:val="24"/>
                <w:szCs w:val="24"/>
              </w:rPr>
              <w:t xml:space="preserve">As </w:t>
            </w:r>
            <w:r w:rsidRPr="00331B16">
              <w:rPr>
                <w:rFonts w:ascii="Baskerville Old Face" w:eastAsia="Baskerville Old Face" w:hAnsi="Baskerville Old Face" w:cs="Baskerville Old Face"/>
                <w:color w:val="000000" w:themeColor="text1"/>
                <w:sz w:val="24"/>
                <w:szCs w:val="24"/>
              </w:rPr>
              <w:t>PD, I</w:t>
            </w:r>
            <w:r>
              <w:rPr>
                <w:rFonts w:ascii="Baskerville Old Face" w:eastAsia="Baskerville Old Face" w:hAnsi="Baskerville Old Face" w:cs="Baskerville Old Face"/>
                <w:color w:val="000000" w:themeColor="text1"/>
                <w:sz w:val="24"/>
                <w:szCs w:val="24"/>
              </w:rPr>
              <w:t xml:space="preserve"> think she can do that through an induction briefing that stipulates a clear chain of command for students.</w:t>
            </w:r>
          </w:p>
          <w:p w:rsidR="00716F5E" w:rsidRDefault="00716F5E" w:rsidP="00B45F90">
            <w:pPr>
              <w:rPr>
                <w:rFonts w:ascii="Baskerville Old Face" w:eastAsia="Baskerville Old Face" w:hAnsi="Baskerville Old Face" w:cs="Baskerville Old Face"/>
                <w:color w:val="000000" w:themeColor="text1"/>
                <w:sz w:val="24"/>
                <w:szCs w:val="24"/>
              </w:rPr>
            </w:pPr>
          </w:p>
          <w:p w:rsidR="00716F5E" w:rsidRDefault="00716F5E" w:rsidP="00B45F90">
            <w:pPr>
              <w:rPr>
                <w:rFonts w:ascii="Baskerville Old Face" w:eastAsia="Baskerville Old Face" w:hAnsi="Baskerville Old Face" w:cs="Baskerville Old Face"/>
                <w:color w:val="000000" w:themeColor="text1"/>
                <w:sz w:val="24"/>
                <w:szCs w:val="24"/>
              </w:rPr>
            </w:pPr>
          </w:p>
          <w:p w:rsidR="00716F5E" w:rsidRDefault="00716F5E" w:rsidP="00B45F90">
            <w:pPr>
              <w:rPr>
                <w:rFonts w:ascii="Baskerville Old Face" w:eastAsia="Baskerville Old Face" w:hAnsi="Baskerville Old Face" w:cs="Baskerville Old Face"/>
                <w:b/>
                <w:bCs/>
                <w:color w:val="000000" w:themeColor="text1"/>
                <w:sz w:val="24"/>
                <w:szCs w:val="24"/>
              </w:rPr>
            </w:pPr>
            <w:r w:rsidRPr="49D11E10">
              <w:rPr>
                <w:rFonts w:ascii="Baskerville Old Face" w:eastAsia="Baskerville Old Face" w:hAnsi="Baskerville Old Face" w:cs="Baskerville Old Face"/>
                <w:b/>
                <w:bCs/>
                <w:color w:val="000000" w:themeColor="text1"/>
                <w:sz w:val="24"/>
                <w:szCs w:val="24"/>
              </w:rPr>
              <w:t>Observer</w:t>
            </w:r>
            <w:r>
              <w:rPr>
                <w:rFonts w:ascii="Baskerville Old Face" w:eastAsia="Baskerville Old Face" w:hAnsi="Baskerville Old Face" w:cs="Baskerville Old Face"/>
                <w:b/>
                <w:bCs/>
                <w:color w:val="000000" w:themeColor="text1"/>
                <w:sz w:val="24"/>
                <w:szCs w:val="24"/>
              </w:rPr>
              <w:t xml:space="preserve">: </w:t>
            </w:r>
            <w:r w:rsidRPr="49D11E10">
              <w:rPr>
                <w:rFonts w:ascii="Baskerville Old Face" w:eastAsia="Baskerville Old Face" w:hAnsi="Baskerville Old Face" w:cs="Baskerville Old Face"/>
                <w:b/>
                <w:bCs/>
                <w:color w:val="000000" w:themeColor="text1"/>
                <w:sz w:val="24"/>
                <w:szCs w:val="24"/>
              </w:rPr>
              <w:t xml:space="preserve">              </w:t>
            </w:r>
            <w:r>
              <w:rPr>
                <w:rFonts w:ascii="Baskerville Old Face" w:eastAsia="Baskerville Old Face" w:hAnsi="Baskerville Old Face" w:cs="Baskerville Old Face"/>
                <w:b/>
                <w:bCs/>
                <w:color w:val="000000" w:themeColor="text1"/>
                <w:sz w:val="24"/>
                <w:szCs w:val="24"/>
              </w:rPr>
              <w:t>Rhian Jenkins</w:t>
            </w:r>
            <w:r w:rsidRPr="49D11E10">
              <w:rPr>
                <w:rFonts w:ascii="Baskerville Old Face" w:eastAsia="Baskerville Old Face" w:hAnsi="Baskerville Old Face" w:cs="Baskerville Old Face"/>
                <w:b/>
                <w:bCs/>
                <w:color w:val="000000" w:themeColor="text1"/>
                <w:sz w:val="24"/>
                <w:szCs w:val="24"/>
              </w:rPr>
              <w:t xml:space="preserve">                                 Date </w:t>
            </w:r>
            <w:r>
              <w:rPr>
                <w:rFonts w:ascii="Baskerville Old Face" w:eastAsia="Baskerville Old Face" w:hAnsi="Baskerville Old Face" w:cs="Baskerville Old Face"/>
                <w:b/>
                <w:bCs/>
                <w:color w:val="000000" w:themeColor="text1"/>
                <w:sz w:val="24"/>
                <w:szCs w:val="24"/>
              </w:rPr>
              <w:t>29/03/19</w:t>
            </w:r>
          </w:p>
          <w:p w:rsidR="00716F5E" w:rsidRDefault="00716F5E" w:rsidP="00B45F90">
            <w:pPr>
              <w:rPr>
                <w:rFonts w:ascii="Baskerville Old Face" w:eastAsia="Baskerville Old Face" w:hAnsi="Baskerville Old Face" w:cs="Baskerville Old Face"/>
                <w:color w:val="000000" w:themeColor="text1"/>
                <w:sz w:val="24"/>
                <w:szCs w:val="24"/>
              </w:rPr>
            </w:pPr>
          </w:p>
          <w:p w:rsidR="00716F5E" w:rsidRDefault="00716F5E" w:rsidP="00B45F90">
            <w:pPr>
              <w:rPr>
                <w:rFonts w:ascii="Baskerville Old Face" w:eastAsia="Baskerville Old Face" w:hAnsi="Baskerville Old Face" w:cs="Baskerville Old Face"/>
                <w:color w:val="000000" w:themeColor="text1"/>
                <w:sz w:val="24"/>
                <w:szCs w:val="24"/>
              </w:rPr>
            </w:pPr>
          </w:p>
          <w:p w:rsidR="00716F5E" w:rsidRDefault="00716F5E" w:rsidP="00B45F90">
            <w:pPr>
              <w:rPr>
                <w:rFonts w:ascii="Baskerville Old Face" w:eastAsia="Baskerville Old Face" w:hAnsi="Baskerville Old Face" w:cs="Baskerville Old Face"/>
                <w:color w:val="000000" w:themeColor="text1"/>
                <w:sz w:val="24"/>
                <w:szCs w:val="24"/>
              </w:rPr>
            </w:pPr>
            <w:proofErr w:type="spellStart"/>
            <w:r w:rsidRPr="49D11E10">
              <w:rPr>
                <w:rFonts w:ascii="Baskerville Old Face" w:eastAsia="Baskerville Old Face" w:hAnsi="Baskerville Old Face" w:cs="Baskerville Old Face"/>
                <w:b/>
                <w:bCs/>
                <w:color w:val="000000" w:themeColor="text1"/>
                <w:sz w:val="24"/>
                <w:szCs w:val="24"/>
              </w:rPr>
              <w:t>Oberservee</w:t>
            </w:r>
            <w:proofErr w:type="spellEnd"/>
            <w:r w:rsidRPr="49D11E10">
              <w:rPr>
                <w:rFonts w:ascii="Baskerville Old Face" w:eastAsia="Baskerville Old Face" w:hAnsi="Baskerville Old Face" w:cs="Baskerville Old Face"/>
                <w:b/>
                <w:bCs/>
                <w:color w:val="000000" w:themeColor="text1"/>
                <w:sz w:val="24"/>
                <w:szCs w:val="24"/>
              </w:rPr>
              <w:t xml:space="preserve">  </w:t>
            </w:r>
            <w:r>
              <w:rPr>
                <w:rFonts w:ascii="Baskerville Old Face" w:eastAsia="Baskerville Old Face" w:hAnsi="Baskerville Old Face" w:cs="Baskerville Old Face"/>
                <w:b/>
                <w:bCs/>
                <w:color w:val="000000" w:themeColor="text1"/>
                <w:sz w:val="24"/>
                <w:szCs w:val="24"/>
              </w:rPr>
              <w:t>Lara Hopkinson</w:t>
            </w:r>
            <w:r w:rsidRPr="49D11E10">
              <w:rPr>
                <w:rFonts w:ascii="Baskerville Old Face" w:eastAsia="Baskerville Old Face" w:hAnsi="Baskerville Old Face" w:cs="Baskerville Old Face"/>
                <w:b/>
                <w:bCs/>
                <w:color w:val="000000" w:themeColor="text1"/>
                <w:sz w:val="24"/>
                <w:szCs w:val="24"/>
              </w:rPr>
              <w:t xml:space="preserve">                 </w:t>
            </w:r>
            <w:r>
              <w:rPr>
                <w:rFonts w:ascii="Baskerville Old Face" w:eastAsia="Baskerville Old Face" w:hAnsi="Baskerville Old Face" w:cs="Baskerville Old Face"/>
                <w:b/>
                <w:bCs/>
                <w:color w:val="000000" w:themeColor="text1"/>
                <w:sz w:val="24"/>
                <w:szCs w:val="24"/>
              </w:rPr>
              <w:t xml:space="preserve">                       </w:t>
            </w:r>
            <w:r w:rsidRPr="49D11E10">
              <w:rPr>
                <w:rFonts w:ascii="Baskerville Old Face" w:eastAsia="Baskerville Old Face" w:hAnsi="Baskerville Old Face" w:cs="Baskerville Old Face"/>
                <w:b/>
                <w:bCs/>
                <w:color w:val="000000" w:themeColor="text1"/>
                <w:sz w:val="24"/>
                <w:szCs w:val="24"/>
              </w:rPr>
              <w:t xml:space="preserve">Date </w:t>
            </w:r>
            <w:r>
              <w:rPr>
                <w:rFonts w:ascii="Baskerville Old Face" w:eastAsia="Baskerville Old Face" w:hAnsi="Baskerville Old Face" w:cs="Baskerville Old Face"/>
                <w:b/>
                <w:bCs/>
                <w:color w:val="000000" w:themeColor="text1"/>
                <w:sz w:val="24"/>
                <w:szCs w:val="24"/>
              </w:rPr>
              <w:t>30/03/2019</w:t>
            </w:r>
          </w:p>
          <w:p w:rsidR="00716F5E" w:rsidRDefault="00716F5E" w:rsidP="00B45F90">
            <w:pPr>
              <w:rPr>
                <w:rFonts w:ascii="Baskerville Old Face" w:eastAsia="Baskerville Old Face" w:hAnsi="Baskerville Old Face" w:cs="Baskerville Old Face"/>
                <w:color w:val="000000" w:themeColor="text1"/>
                <w:sz w:val="24"/>
                <w:szCs w:val="24"/>
              </w:rPr>
            </w:pPr>
          </w:p>
          <w:p w:rsidR="00716F5E" w:rsidRDefault="00716F5E" w:rsidP="00B45F90">
            <w:pPr>
              <w:rPr>
                <w:rFonts w:ascii="Baskerville Old Face" w:eastAsia="Baskerville Old Face" w:hAnsi="Baskerville Old Face" w:cs="Baskerville Old Face"/>
                <w:color w:val="000000" w:themeColor="text1"/>
                <w:sz w:val="24"/>
                <w:szCs w:val="24"/>
              </w:rPr>
            </w:pPr>
          </w:p>
          <w:p w:rsidR="00716F5E" w:rsidRDefault="00716F5E" w:rsidP="00B45F90">
            <w:pPr>
              <w:rPr>
                <w:rFonts w:ascii="Baskerville Old Face" w:eastAsia="Baskerville Old Face" w:hAnsi="Baskerville Old Face" w:cs="Baskerville Old Face"/>
                <w:color w:val="000000" w:themeColor="text1"/>
                <w:sz w:val="24"/>
                <w:szCs w:val="24"/>
              </w:rPr>
            </w:pPr>
          </w:p>
        </w:tc>
      </w:tr>
    </w:tbl>
    <w:p w:rsidR="0013407F" w:rsidRDefault="0013407F"/>
    <w:p w:rsidR="0013407F" w:rsidRDefault="0013407F" w:rsidP="0013407F">
      <w:pPr>
        <w:pStyle w:val="Heading1"/>
      </w:pPr>
      <w:bookmarkStart w:id="15" w:name="_Toc22310699"/>
      <w:r>
        <w:lastRenderedPageBreak/>
        <w:t>Reflective evaluation of three events – event number 1</w:t>
      </w:r>
      <w:bookmarkEnd w:id="15"/>
    </w:p>
    <w:p w:rsidR="0013407F" w:rsidRDefault="0013407F" w:rsidP="0013407F">
      <w:r>
        <w:t>RSAW Conference: The Value of the Architect.</w:t>
      </w:r>
    </w:p>
    <w:p w:rsidR="0013407F" w:rsidRDefault="0013407F" w:rsidP="0013407F">
      <w:r>
        <w:t xml:space="preserve">Date: 30 November 2018 </w:t>
      </w:r>
    </w:p>
    <w:p w:rsidR="0013407F" w:rsidRDefault="0013407F" w:rsidP="0013407F">
      <w:r>
        <w:t>Venue: Cornerstone, Charles Street, Cardiff, CF10 2GA</w:t>
      </w:r>
    </w:p>
    <w:p w:rsidR="0013407F" w:rsidRDefault="0013407F" w:rsidP="0013407F">
      <w:pPr>
        <w:jc w:val="both"/>
      </w:pPr>
      <w:r w:rsidRPr="00082B72">
        <w:rPr>
          <w:b/>
        </w:rPr>
        <w:t>Overview and content</w:t>
      </w:r>
      <w:r>
        <w:t>: This event was the 25</w:t>
      </w:r>
      <w:r w:rsidRPr="00123CD5">
        <w:rPr>
          <w:vertAlign w:val="superscript"/>
        </w:rPr>
        <w:t>th</w:t>
      </w:r>
      <w:r>
        <w:t xml:space="preserve"> annual conference, and following a recent significant issue (the </w:t>
      </w:r>
      <w:proofErr w:type="spellStart"/>
      <w:r>
        <w:t>Grenfall</w:t>
      </w:r>
      <w:proofErr w:type="spellEnd"/>
      <w:r>
        <w:t xml:space="preserve"> Tower fire and the associated scrutiny after the event), the focus was on the value of the architect in today’s challenging economic and environmental conditions.  Representatives were present from each of the Home Nations (and the Republic of Ireland) to share their views on improvements for teaching and learning for the architecture profession, both within under- and post-graduate provision, as well as considering continuing professional development.  There was also a considerable focus on sustainable development, linking in Wales to the Wellbeing of Future Generations Act 2015, the impact this has on the public sector, and the associated relevance to private sector supply chains and project groups that are involved in public sector works, and action to work towards the 7 wellbeing goals within the Act.  In relation to sustainable development, there was also a ‘taster’ of a soon to be published report on RIBA Ethics and Sustainable Development.  An indication of the need for change within the institution was also outlined.</w:t>
      </w:r>
    </w:p>
    <w:p w:rsidR="0013407F" w:rsidRDefault="0013407F" w:rsidP="0013407F">
      <w:pPr>
        <w:jc w:val="both"/>
      </w:pPr>
      <w:r w:rsidRPr="00181314">
        <w:rPr>
          <w:b/>
        </w:rPr>
        <w:t>Reflection</w:t>
      </w:r>
      <w:r>
        <w:t>: For me, this was an interesting and thought provoking event.  My own teaching load includes one module at undergraduate level on our BSc Architecture course, related to the Modern World and issues of sustainability.  I was able to take away two key quotes from this event.  The first of these is “social and environmental considerations are at the heart of the institute and profession”.  As a non-architect teaching on an Architecture course, the first quote helps to justify the relevance of a fresh (and non-architectural) viewpoint on sustainability for our students.  Due to my other teaching and background, I am able to provide insight in relation to key issues of the day and how sustainability is important within the architectural profession that is based upon the built environment more widely, but to understand that viewpoint helps to validate my position (K1).  In addition, the link to the Wellbeing of Future Generations Act 2015 on the profession is also vital to know, especially given that the large majority of our students are home based and intend to remain in Wales, as well as the Welsh constitutional commitment to sustainable development (A5).  The second quote is “brilliant architects don’t just make money, they add value”.  Within the built environment sphere, there is a great deal of negativity around the profession of architecture, and this is particularly so within other aspects of the construction sector.  This quote, to me, helps to reinforce the role that an architect plays within any construction team, and therefore the benefit they can provide more widely (V3).  This is imperative for my wider teaching across the built environment portfolio within the school, especially to assist fostering a more collaborative approach, which has been discussed in the sector for decades, and outlined specifically within the Latham report</w:t>
      </w:r>
      <w:sdt>
        <w:sdtPr>
          <w:id w:val="-1680338845"/>
          <w:citation/>
        </w:sdtPr>
        <w:sdtContent>
          <w:r>
            <w:fldChar w:fldCharType="begin"/>
          </w:r>
          <w:r>
            <w:instrText xml:space="preserve">CITATION Micry \l 2057 </w:instrText>
          </w:r>
          <w:r>
            <w:fldChar w:fldCharType="separate"/>
          </w:r>
          <w:r w:rsidR="00B45F90">
            <w:rPr>
              <w:noProof/>
            </w:rPr>
            <w:t xml:space="preserve"> </w:t>
          </w:r>
          <w:r w:rsidR="00B45F90" w:rsidRPr="00B45F90">
            <w:rPr>
              <w:noProof/>
            </w:rPr>
            <w:t>(Latham, 1994)</w:t>
          </w:r>
          <w:r>
            <w:fldChar w:fldCharType="end"/>
          </w:r>
        </w:sdtContent>
      </w:sdt>
      <w:r>
        <w:t xml:space="preserve"> (V4).  </w:t>
      </w:r>
    </w:p>
    <w:p w:rsidR="0013407F" w:rsidRDefault="0013407F" w:rsidP="0013407F">
      <w:r>
        <w:br w:type="page"/>
      </w:r>
    </w:p>
    <w:p w:rsidR="009C1C4E" w:rsidRDefault="0013407F" w:rsidP="0013407F">
      <w:pPr>
        <w:pStyle w:val="Heading1"/>
      </w:pPr>
      <w:bookmarkStart w:id="16" w:name="_Toc22310700"/>
      <w:r>
        <w:lastRenderedPageBreak/>
        <w:t>Reflective evaluation of three events – event number 2</w:t>
      </w:r>
      <w:bookmarkEnd w:id="16"/>
    </w:p>
    <w:p w:rsidR="0013407F" w:rsidRDefault="0013407F" w:rsidP="0013407F">
      <w:r>
        <w:t xml:space="preserve">The Wellbeing of Future Generations Act 2015 and the Built Environment Sector in </w:t>
      </w:r>
      <w:proofErr w:type="gramStart"/>
      <w:r>
        <w:t>Wales</w:t>
      </w:r>
      <w:proofErr w:type="gramEnd"/>
      <w:r>
        <w:t xml:space="preserve"> conference.</w:t>
      </w:r>
    </w:p>
    <w:p w:rsidR="0013407F" w:rsidRDefault="0013407F" w:rsidP="0013407F">
      <w:r>
        <w:t xml:space="preserve">Date: 24 January 2019 </w:t>
      </w:r>
    </w:p>
    <w:p w:rsidR="0013407F" w:rsidRDefault="0013407F" w:rsidP="0013407F">
      <w:r>
        <w:t>Venue: SWALEC Stadium, Sofia Gardens, Cardiff, CF11 9XR</w:t>
      </w:r>
    </w:p>
    <w:p w:rsidR="0013407F" w:rsidRDefault="0013407F" w:rsidP="0013407F">
      <w:pPr>
        <w:jc w:val="both"/>
      </w:pPr>
      <w:r w:rsidRPr="00082B72">
        <w:rPr>
          <w:b/>
        </w:rPr>
        <w:t>Overview and content</w:t>
      </w:r>
      <w:r>
        <w:t>: This conference was organised by Constructing Excellence in Wales and aimed at providing detail and knowledge on the Wellbeing of Future Generations Act (2015) in Wales and its applicability to private companies within the built environment sector.  It is important to note that the focus was on private companies, as the Act places a duty on the public sector in Wales only.  The event was split into a mix of information plus workshop</w:t>
      </w:r>
      <w:r w:rsidRPr="00DE7B1A">
        <w:t xml:space="preserve"> </w:t>
      </w:r>
      <w:r>
        <w:t>sessions, attempting to obtain input from the varied audience on the practicality of some of the issues raised within the built environment sector.  The event began with information provision, including details on the science of climate change and how this is decreasing in schools, the people problem, and how the built environment can use the United Nations Sustainable Development Goals to aid change.  The first workshop session was about defining construction and how the sector can use the wellbeing goals and objectives effectively.  The afternoon session was led by a keynote address from the Future Generations Commissioner, followed by practice-based approaches to integrate across various parts of the sector.</w:t>
      </w:r>
    </w:p>
    <w:p w:rsidR="0013407F" w:rsidRDefault="0013407F" w:rsidP="0013407F">
      <w:r w:rsidRPr="00181314">
        <w:rPr>
          <w:b/>
        </w:rPr>
        <w:t>Reflection</w:t>
      </w:r>
      <w:r>
        <w:t xml:space="preserve">: The main lesson that I took from this event was that integration of sustainability, circular economy and Wellbeing of Future Generations Act teaching into built environment courses is essential to be able to make change.  Given that my teaching is linked to these topic areas, this validates my current role within my school and team (A1, A2, </w:t>
      </w:r>
      <w:proofErr w:type="gramStart"/>
      <w:r>
        <w:t>A5</w:t>
      </w:r>
      <w:proofErr w:type="gramEnd"/>
      <w:r>
        <w:t>).  In the second workshop session, one key aspect considered was for projects to reconsider cost – so to move away from the financial cost of a project and consider cost in terms of greenhouse gas emissions, or quality, or regulations.  I found this particularly thought provoking as generally, cost is king and is what drives projects to be developed in the way they are.  The practical approaches (provided by a number of organisations including Transport for Wales, Balfour Beatty and BRE Wales), assisted in the context of driving this type of change within projects for both large and small-scale (K1).  It could be argued that this is “preaching to the converted”, as the audience within the room is more likely to be willing to consider such changes rather than standard clients across Wales and more widely across the world.  However the overwhelming confirmation that these issues need to be discussed, in detail, and across all parts of the sector, was very clear (K2, K5).  From a more practical perspective, one project that I am aware of that is likely to begin in the near future at UWTSD is the development of a Box Village within the SA1 campus area.  One of the speakers (from Welsh Government) suggested that a Future Generations framework be developed for projects, to consider the key issues and ensure that these are implemented at project level.  This has led me to consider suggesting this for the Box Village to those concerned (V3, V4).</w:t>
      </w:r>
    </w:p>
    <w:p w:rsidR="0013407F" w:rsidRDefault="0013407F">
      <w:r>
        <w:br w:type="page"/>
      </w:r>
    </w:p>
    <w:p w:rsidR="0013407F" w:rsidRDefault="0013407F" w:rsidP="0013407F">
      <w:pPr>
        <w:pStyle w:val="Heading1"/>
      </w:pPr>
      <w:bookmarkStart w:id="17" w:name="_Toc22310701"/>
      <w:r>
        <w:lastRenderedPageBreak/>
        <w:t>Reflective evaluation of three events – event number 3</w:t>
      </w:r>
      <w:bookmarkEnd w:id="17"/>
    </w:p>
    <w:p w:rsidR="0013407F" w:rsidRDefault="0013407F" w:rsidP="0013407F">
      <w:r>
        <w:t>Integrating the Circular Economy into your project</w:t>
      </w:r>
    </w:p>
    <w:p w:rsidR="0013407F" w:rsidRDefault="0013407F" w:rsidP="0013407F">
      <w:r>
        <w:t xml:space="preserve">Date: 13 June 2019 </w:t>
      </w:r>
    </w:p>
    <w:p w:rsidR="0013407F" w:rsidRDefault="0013407F" w:rsidP="0013407F">
      <w:r>
        <w:t xml:space="preserve">Venue: Holiday Inn Cardiff North, Merthyr Road, </w:t>
      </w:r>
      <w:proofErr w:type="spellStart"/>
      <w:r>
        <w:t>Tongwynlais</w:t>
      </w:r>
      <w:proofErr w:type="spellEnd"/>
      <w:r>
        <w:t>, CF15 7LH</w:t>
      </w:r>
    </w:p>
    <w:p w:rsidR="0013407F" w:rsidRDefault="0013407F" w:rsidP="0013407F">
      <w:pPr>
        <w:jc w:val="both"/>
      </w:pPr>
      <w:r w:rsidRPr="00082B72">
        <w:rPr>
          <w:b/>
        </w:rPr>
        <w:t>Overview and content</w:t>
      </w:r>
      <w:r>
        <w:t xml:space="preserve">: This event was organised by the Chartered Institute of Building.  The delivery was by a single project manager, so it had quite a personal perspective.  The key aim was to discuss circular economy, what it means and its practicalities and how this can apply to the construction industry, which has a reputation for being incredibly wasteful and resource intensive.  Definitions of the circular and linear economy were provided, as were the carbon footprints of various materials.  Some useful text books were suggested to the audience (who were professionals involved in the sector in some way).  The remainder of the discussion focused on a live project of the </w:t>
      </w:r>
      <w:proofErr w:type="spellStart"/>
      <w:r>
        <w:t>Pentre</w:t>
      </w:r>
      <w:proofErr w:type="spellEnd"/>
      <w:r>
        <w:t xml:space="preserve"> </w:t>
      </w:r>
      <w:proofErr w:type="spellStart"/>
      <w:r>
        <w:t>Hafod</w:t>
      </w:r>
      <w:proofErr w:type="spellEnd"/>
      <w:r>
        <w:t xml:space="preserve"> secondary school in Swansea, and how circular economy principles were integrated into the project, along with some of the challenges to do this.  In particular the issue of cost driving the decision making, which is a fundamental and generally does not assist in sustainability / circular economy issues being used within a project.  Low cost features were discussed more positively.  The introduction of innovative materials that are more aligned to the circular economy were also presented.  There was also discussion of how BIM can help going forward.</w:t>
      </w:r>
    </w:p>
    <w:p w:rsidR="0013407F" w:rsidRDefault="0013407F" w:rsidP="0013407F">
      <w:r w:rsidRPr="00181314">
        <w:rPr>
          <w:b/>
        </w:rPr>
        <w:t>Reflection</w:t>
      </w:r>
      <w:r>
        <w:t>: The key message taken from this event was the validating of my future PhD study on the link between the use of Building Information Modelling (BIM) and the reduction of waste for the sector (K1, K2).  The speaker suggested that BIM was underused and has a lot of potential especially in relation to the demolition / dismantling of a building.  More specifically, how BIM can link to proving labels within the building of specific materials used, so that these can be considered for reuse / specific recycling practices (K1).  This is a key consideration in dismantling of a building (as opposed to demolition, whereby resources are not capable of being reused due to the techniques used), and how, due to lifespan issues of any building, this information needs to be easily accessible and in a format that can be used in years to come.  This is the aim of BIM, to be the main repository of information for a building from inception through to end of life.  For teaching, this is incredibly important, as I always attempt to ensure my teaching is research-led (A1, A5); this will be my personal research, so to show that it is valid from a practical perspective (i.e. the industry that I am assisting to teach their professionals) is excellent (V3).  Also of great use was some of the innovative materials that were outlined as part of the talk, in particular a flooring material that was made from recycled plastics and rubber, but that does not require any adhesive to lay it.  Therefore meaning that at the end of its useful life, this material can simply be peeled up and removed, without the concern of additional materials causing contamination for reuse and recycling.  From a personal perspective, the event was very focus on recycling.  As someone who understands the waste hierarchy, more emphasis on reuse (for a practical perspective within the industry) would have been nice to see.</w:t>
      </w:r>
    </w:p>
    <w:p w:rsidR="0013407F" w:rsidRDefault="0013407F">
      <w:r>
        <w:br w:type="page"/>
      </w:r>
    </w:p>
    <w:p w:rsidR="0013407F" w:rsidRDefault="0013407F" w:rsidP="0013407F">
      <w:pPr>
        <w:pStyle w:val="Heading1"/>
      </w:pPr>
      <w:bookmarkStart w:id="18" w:name="_Toc22310702"/>
      <w:r>
        <w:lastRenderedPageBreak/>
        <w:t>Assessment of my development as a reflective practitioner</w:t>
      </w:r>
      <w:bookmarkEnd w:id="18"/>
    </w:p>
    <w:p w:rsidR="0013407F" w:rsidRDefault="0013407F" w:rsidP="0013407F">
      <w:pPr>
        <w:jc w:val="both"/>
      </w:pPr>
      <w:r>
        <w:t>I have found undertaking this programme an interesting and thought-provoking process.  I strongly believe that I plan and develop learning in an inclusive way, as well as taking into account the more challenging pedagogy of Education for Sustainable Development throughout everything I teach.  The fact that a lot of my teaching lends itself to this pedagogical approach is just an added bonus.  In terms of considering the ‘key strands’ of this approach, I feel comfortable that I utilise the newest research / news possible, sourced from only credible and verifiable sources, and deliver this in manner suitable for the group and level of study (L4-7 inclusive).  Where it is feasible, I enable ‘whole-brain’ thinking by firstly providing fact and then enabling the students to consider these facts in practice.  And the use of external experts to provide specific ‘case study’ information has always been critical in terms of keeping up to date with current innovations and uses of best practice.  Where possible, I utilise a theoretical approach backed up with practice based approach, especially in relation to teaching about renewable technology (where viewing this technology in action is the best way for the students to appreciate its impact, both positive and negative).  And I also encourage students to reflect on the learning given, to evaluate this in relation to their own personal and professional development.  Where this results in suggesting changes, these are taken forward (where it is practical to do so), facilitating a Dewey-style approach to learning, whereby my own teaching becomes a “cycle of experience”</w:t>
      </w:r>
      <w:sdt>
        <w:sdtPr>
          <w:id w:val="-1953622265"/>
          <w:citation/>
        </w:sdtPr>
        <w:sdtContent>
          <w:r>
            <w:fldChar w:fldCharType="begin"/>
          </w:r>
          <w:r>
            <w:instrText xml:space="preserve"> CITATION Aub16 \l 2057 </w:instrText>
          </w:r>
          <w:r>
            <w:fldChar w:fldCharType="separate"/>
          </w:r>
          <w:r w:rsidR="00B45F90">
            <w:rPr>
              <w:noProof/>
            </w:rPr>
            <w:t xml:space="preserve"> </w:t>
          </w:r>
          <w:r w:rsidR="00B45F90" w:rsidRPr="00B45F90">
            <w:rPr>
              <w:noProof/>
            </w:rPr>
            <w:t>(Aubrey &amp; Riley, 2016)</w:t>
          </w:r>
          <w:r>
            <w:fldChar w:fldCharType="end"/>
          </w:r>
        </w:sdtContent>
      </w:sdt>
      <w:r>
        <w:t>, facilitated by comments from the students.</w:t>
      </w:r>
    </w:p>
    <w:p w:rsidR="0013407F" w:rsidRDefault="0013407F" w:rsidP="0013407F">
      <w:pPr>
        <w:jc w:val="both"/>
      </w:pPr>
      <w:r>
        <w:t xml:space="preserve">I also realise that as an educational practitioner, I still have a lot to learn.  In terms of the UK Professional Standards Framework, I feel comfortable in the Areas of Activity (A1-A5), and will continue to utilise available CPD through my institution (and more widely) to ensure my practice is at the forefront of current thinking.  In relation to this, I would also like to attempt publishing research on educational delivery, especially in relation to architectural education.  In terms of Core Knowledge, I feel that I can develop further in K3 (how students learn) and K6 (the implications of quality assurance and enhancement for further academic and professional practice related to teaching).  Despite having been in academia for over 20 years, I have been lecturing professionally (in a full time capacity) for only 4 years, and so welcome the opportunity to become a fully rounded practitioner.  As an individual I am committing to develop K1 (core knowledge) further by undertaking a PhD via part time study.  I am also able to enhance K4 (use and value of appropriate learning technologies) by becoming more aware of the facilities available to me at my own institution.  In relation to Professional Values, it would be advantageous for me to develop further in relation to V1 (respecting individual learners and communities), especially in relation to K3, and also V4 (the wider implications for professionalism in teaching) </w:t>
      </w:r>
      <w:sdt>
        <w:sdtPr>
          <w:id w:val="984432999"/>
          <w:citation/>
        </w:sdtPr>
        <w:sdtContent>
          <w:r>
            <w:fldChar w:fldCharType="begin"/>
          </w:r>
          <w:r>
            <w:instrText xml:space="preserve"> CITATION Adv11 \l 2057 </w:instrText>
          </w:r>
          <w:r>
            <w:fldChar w:fldCharType="separate"/>
          </w:r>
          <w:r w:rsidR="00B45F90" w:rsidRPr="00B45F90">
            <w:rPr>
              <w:noProof/>
            </w:rPr>
            <w:t>(Advance HE, 2011)</w:t>
          </w:r>
          <w:r>
            <w:fldChar w:fldCharType="end"/>
          </w:r>
        </w:sdtContent>
      </w:sdt>
      <w:r>
        <w:t xml:space="preserve">.    </w:t>
      </w:r>
    </w:p>
    <w:p w:rsidR="0013407F" w:rsidRDefault="0013407F" w:rsidP="0013407F"/>
    <w:sectPr w:rsidR="001340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5107B"/>
    <w:multiLevelType w:val="hybridMultilevel"/>
    <w:tmpl w:val="D00CF438"/>
    <w:lvl w:ilvl="0" w:tplc="A5D8B800">
      <w:start w:val="1"/>
      <w:numFmt w:val="bullet"/>
      <w:lvlText w:val=""/>
      <w:lvlJc w:val="left"/>
      <w:pPr>
        <w:ind w:left="720" w:hanging="360"/>
      </w:pPr>
      <w:rPr>
        <w:rFonts w:ascii="Symbol" w:hAnsi="Symbol" w:hint="default"/>
      </w:rPr>
    </w:lvl>
    <w:lvl w:ilvl="1" w:tplc="723E159C">
      <w:start w:val="1"/>
      <w:numFmt w:val="bullet"/>
      <w:lvlText w:val="o"/>
      <w:lvlJc w:val="left"/>
      <w:pPr>
        <w:ind w:left="1440" w:hanging="360"/>
      </w:pPr>
      <w:rPr>
        <w:rFonts w:ascii="Courier New" w:hAnsi="Courier New" w:hint="default"/>
      </w:rPr>
    </w:lvl>
    <w:lvl w:ilvl="2" w:tplc="81A4E21E">
      <w:start w:val="1"/>
      <w:numFmt w:val="bullet"/>
      <w:lvlText w:val=""/>
      <w:lvlJc w:val="left"/>
      <w:pPr>
        <w:ind w:left="2160" w:hanging="360"/>
      </w:pPr>
      <w:rPr>
        <w:rFonts w:ascii="Wingdings" w:hAnsi="Wingdings" w:hint="default"/>
      </w:rPr>
    </w:lvl>
    <w:lvl w:ilvl="3" w:tplc="5E125D0A">
      <w:start w:val="1"/>
      <w:numFmt w:val="bullet"/>
      <w:lvlText w:val=""/>
      <w:lvlJc w:val="left"/>
      <w:pPr>
        <w:ind w:left="2880" w:hanging="360"/>
      </w:pPr>
      <w:rPr>
        <w:rFonts w:ascii="Symbol" w:hAnsi="Symbol" w:hint="default"/>
      </w:rPr>
    </w:lvl>
    <w:lvl w:ilvl="4" w:tplc="E430AC1E">
      <w:start w:val="1"/>
      <w:numFmt w:val="bullet"/>
      <w:lvlText w:val="o"/>
      <w:lvlJc w:val="left"/>
      <w:pPr>
        <w:ind w:left="3600" w:hanging="360"/>
      </w:pPr>
      <w:rPr>
        <w:rFonts w:ascii="Courier New" w:hAnsi="Courier New" w:hint="default"/>
      </w:rPr>
    </w:lvl>
    <w:lvl w:ilvl="5" w:tplc="9EB61FCA">
      <w:start w:val="1"/>
      <w:numFmt w:val="bullet"/>
      <w:lvlText w:val=""/>
      <w:lvlJc w:val="left"/>
      <w:pPr>
        <w:ind w:left="4320" w:hanging="360"/>
      </w:pPr>
      <w:rPr>
        <w:rFonts w:ascii="Wingdings" w:hAnsi="Wingdings" w:hint="default"/>
      </w:rPr>
    </w:lvl>
    <w:lvl w:ilvl="6" w:tplc="FDD096EC">
      <w:start w:val="1"/>
      <w:numFmt w:val="bullet"/>
      <w:lvlText w:val=""/>
      <w:lvlJc w:val="left"/>
      <w:pPr>
        <w:ind w:left="5040" w:hanging="360"/>
      </w:pPr>
      <w:rPr>
        <w:rFonts w:ascii="Symbol" w:hAnsi="Symbol" w:hint="default"/>
      </w:rPr>
    </w:lvl>
    <w:lvl w:ilvl="7" w:tplc="83525010">
      <w:start w:val="1"/>
      <w:numFmt w:val="bullet"/>
      <w:lvlText w:val="o"/>
      <w:lvlJc w:val="left"/>
      <w:pPr>
        <w:ind w:left="5760" w:hanging="360"/>
      </w:pPr>
      <w:rPr>
        <w:rFonts w:ascii="Courier New" w:hAnsi="Courier New" w:hint="default"/>
      </w:rPr>
    </w:lvl>
    <w:lvl w:ilvl="8" w:tplc="D3B44A40">
      <w:start w:val="1"/>
      <w:numFmt w:val="bullet"/>
      <w:lvlText w:val=""/>
      <w:lvlJc w:val="left"/>
      <w:pPr>
        <w:ind w:left="6480" w:hanging="360"/>
      </w:pPr>
      <w:rPr>
        <w:rFonts w:ascii="Wingdings" w:hAnsi="Wingdings" w:hint="default"/>
      </w:rPr>
    </w:lvl>
  </w:abstractNum>
  <w:abstractNum w:abstractNumId="1" w15:restartNumberingAfterBreak="0">
    <w:nsid w:val="26AF3E8A"/>
    <w:multiLevelType w:val="hybridMultilevel"/>
    <w:tmpl w:val="E9D8C5C0"/>
    <w:lvl w:ilvl="0" w:tplc="0906A72C">
      <w:start w:val="1"/>
      <w:numFmt w:val="bullet"/>
      <w:lvlText w:val=""/>
      <w:lvlJc w:val="left"/>
      <w:pPr>
        <w:ind w:left="720" w:hanging="360"/>
      </w:pPr>
      <w:rPr>
        <w:rFonts w:ascii="Symbol" w:hAnsi="Symbol" w:hint="default"/>
      </w:rPr>
    </w:lvl>
    <w:lvl w:ilvl="1" w:tplc="F19A38AE">
      <w:start w:val="1"/>
      <w:numFmt w:val="bullet"/>
      <w:lvlText w:val="o"/>
      <w:lvlJc w:val="left"/>
      <w:pPr>
        <w:ind w:left="1440" w:hanging="360"/>
      </w:pPr>
      <w:rPr>
        <w:rFonts w:ascii="Courier New" w:hAnsi="Courier New" w:hint="default"/>
      </w:rPr>
    </w:lvl>
    <w:lvl w:ilvl="2" w:tplc="C4D0DCAE">
      <w:start w:val="1"/>
      <w:numFmt w:val="bullet"/>
      <w:lvlText w:val=""/>
      <w:lvlJc w:val="left"/>
      <w:pPr>
        <w:ind w:left="2160" w:hanging="360"/>
      </w:pPr>
      <w:rPr>
        <w:rFonts w:ascii="Wingdings" w:hAnsi="Wingdings" w:hint="default"/>
      </w:rPr>
    </w:lvl>
    <w:lvl w:ilvl="3" w:tplc="892017A8">
      <w:start w:val="1"/>
      <w:numFmt w:val="bullet"/>
      <w:lvlText w:val=""/>
      <w:lvlJc w:val="left"/>
      <w:pPr>
        <w:ind w:left="2880" w:hanging="360"/>
      </w:pPr>
      <w:rPr>
        <w:rFonts w:ascii="Symbol" w:hAnsi="Symbol" w:hint="default"/>
      </w:rPr>
    </w:lvl>
    <w:lvl w:ilvl="4" w:tplc="0FD24320">
      <w:start w:val="1"/>
      <w:numFmt w:val="bullet"/>
      <w:lvlText w:val="o"/>
      <w:lvlJc w:val="left"/>
      <w:pPr>
        <w:ind w:left="3600" w:hanging="360"/>
      </w:pPr>
      <w:rPr>
        <w:rFonts w:ascii="Courier New" w:hAnsi="Courier New" w:hint="default"/>
      </w:rPr>
    </w:lvl>
    <w:lvl w:ilvl="5" w:tplc="901AE018">
      <w:start w:val="1"/>
      <w:numFmt w:val="bullet"/>
      <w:lvlText w:val=""/>
      <w:lvlJc w:val="left"/>
      <w:pPr>
        <w:ind w:left="4320" w:hanging="360"/>
      </w:pPr>
      <w:rPr>
        <w:rFonts w:ascii="Wingdings" w:hAnsi="Wingdings" w:hint="default"/>
      </w:rPr>
    </w:lvl>
    <w:lvl w:ilvl="6" w:tplc="B5EEE88C">
      <w:start w:val="1"/>
      <w:numFmt w:val="bullet"/>
      <w:lvlText w:val=""/>
      <w:lvlJc w:val="left"/>
      <w:pPr>
        <w:ind w:left="5040" w:hanging="360"/>
      </w:pPr>
      <w:rPr>
        <w:rFonts w:ascii="Symbol" w:hAnsi="Symbol" w:hint="default"/>
      </w:rPr>
    </w:lvl>
    <w:lvl w:ilvl="7" w:tplc="C7D241EA">
      <w:start w:val="1"/>
      <w:numFmt w:val="bullet"/>
      <w:lvlText w:val="o"/>
      <w:lvlJc w:val="left"/>
      <w:pPr>
        <w:ind w:left="5760" w:hanging="360"/>
      </w:pPr>
      <w:rPr>
        <w:rFonts w:ascii="Courier New" w:hAnsi="Courier New" w:hint="default"/>
      </w:rPr>
    </w:lvl>
    <w:lvl w:ilvl="8" w:tplc="29F0426C">
      <w:start w:val="1"/>
      <w:numFmt w:val="bullet"/>
      <w:lvlText w:val=""/>
      <w:lvlJc w:val="left"/>
      <w:pPr>
        <w:ind w:left="6480" w:hanging="360"/>
      </w:pPr>
      <w:rPr>
        <w:rFonts w:ascii="Wingdings" w:hAnsi="Wingdings" w:hint="default"/>
      </w:rPr>
    </w:lvl>
  </w:abstractNum>
  <w:abstractNum w:abstractNumId="2" w15:restartNumberingAfterBreak="0">
    <w:nsid w:val="4EC11044"/>
    <w:multiLevelType w:val="hybridMultilevel"/>
    <w:tmpl w:val="70FE1ABC"/>
    <w:lvl w:ilvl="0" w:tplc="07E888FC">
      <w:start w:val="1"/>
      <w:numFmt w:val="bullet"/>
      <w:lvlText w:val=""/>
      <w:lvlJc w:val="left"/>
      <w:pPr>
        <w:ind w:left="720" w:hanging="360"/>
      </w:pPr>
      <w:rPr>
        <w:rFonts w:ascii="Symbol" w:hAnsi="Symbol" w:hint="default"/>
      </w:rPr>
    </w:lvl>
    <w:lvl w:ilvl="1" w:tplc="8B6E8686">
      <w:start w:val="1"/>
      <w:numFmt w:val="bullet"/>
      <w:lvlText w:val="o"/>
      <w:lvlJc w:val="left"/>
      <w:pPr>
        <w:ind w:left="1440" w:hanging="360"/>
      </w:pPr>
      <w:rPr>
        <w:rFonts w:ascii="Courier New" w:hAnsi="Courier New" w:hint="default"/>
      </w:rPr>
    </w:lvl>
    <w:lvl w:ilvl="2" w:tplc="5DD887E2">
      <w:start w:val="1"/>
      <w:numFmt w:val="bullet"/>
      <w:lvlText w:val=""/>
      <w:lvlJc w:val="left"/>
      <w:pPr>
        <w:ind w:left="2160" w:hanging="360"/>
      </w:pPr>
      <w:rPr>
        <w:rFonts w:ascii="Wingdings" w:hAnsi="Wingdings" w:hint="default"/>
      </w:rPr>
    </w:lvl>
    <w:lvl w:ilvl="3" w:tplc="7A269610">
      <w:start w:val="1"/>
      <w:numFmt w:val="bullet"/>
      <w:lvlText w:val=""/>
      <w:lvlJc w:val="left"/>
      <w:pPr>
        <w:ind w:left="2880" w:hanging="360"/>
      </w:pPr>
      <w:rPr>
        <w:rFonts w:ascii="Symbol" w:hAnsi="Symbol" w:hint="default"/>
      </w:rPr>
    </w:lvl>
    <w:lvl w:ilvl="4" w:tplc="64F68AAA">
      <w:start w:val="1"/>
      <w:numFmt w:val="bullet"/>
      <w:lvlText w:val="o"/>
      <w:lvlJc w:val="left"/>
      <w:pPr>
        <w:ind w:left="3600" w:hanging="360"/>
      </w:pPr>
      <w:rPr>
        <w:rFonts w:ascii="Courier New" w:hAnsi="Courier New" w:hint="default"/>
      </w:rPr>
    </w:lvl>
    <w:lvl w:ilvl="5" w:tplc="3E08245E">
      <w:start w:val="1"/>
      <w:numFmt w:val="bullet"/>
      <w:lvlText w:val=""/>
      <w:lvlJc w:val="left"/>
      <w:pPr>
        <w:ind w:left="4320" w:hanging="360"/>
      </w:pPr>
      <w:rPr>
        <w:rFonts w:ascii="Wingdings" w:hAnsi="Wingdings" w:hint="default"/>
      </w:rPr>
    </w:lvl>
    <w:lvl w:ilvl="6" w:tplc="8902964C">
      <w:start w:val="1"/>
      <w:numFmt w:val="bullet"/>
      <w:lvlText w:val=""/>
      <w:lvlJc w:val="left"/>
      <w:pPr>
        <w:ind w:left="5040" w:hanging="360"/>
      </w:pPr>
      <w:rPr>
        <w:rFonts w:ascii="Symbol" w:hAnsi="Symbol" w:hint="default"/>
      </w:rPr>
    </w:lvl>
    <w:lvl w:ilvl="7" w:tplc="7DBE6856">
      <w:start w:val="1"/>
      <w:numFmt w:val="bullet"/>
      <w:lvlText w:val="o"/>
      <w:lvlJc w:val="left"/>
      <w:pPr>
        <w:ind w:left="5760" w:hanging="360"/>
      </w:pPr>
      <w:rPr>
        <w:rFonts w:ascii="Courier New" w:hAnsi="Courier New" w:hint="default"/>
      </w:rPr>
    </w:lvl>
    <w:lvl w:ilvl="8" w:tplc="32A2C2F8">
      <w:start w:val="1"/>
      <w:numFmt w:val="bullet"/>
      <w:lvlText w:val=""/>
      <w:lvlJc w:val="left"/>
      <w:pPr>
        <w:ind w:left="6480" w:hanging="360"/>
      </w:pPr>
      <w:rPr>
        <w:rFonts w:ascii="Wingdings" w:hAnsi="Wingdings" w:hint="default"/>
      </w:rPr>
    </w:lvl>
  </w:abstractNum>
  <w:abstractNum w:abstractNumId="3" w15:restartNumberingAfterBreak="0">
    <w:nsid w:val="605A1EE9"/>
    <w:multiLevelType w:val="hybridMultilevel"/>
    <w:tmpl w:val="F0129D3E"/>
    <w:lvl w:ilvl="0" w:tplc="F0161132">
      <w:start w:val="1"/>
      <w:numFmt w:val="bullet"/>
      <w:lvlText w:val=""/>
      <w:lvlJc w:val="left"/>
      <w:pPr>
        <w:ind w:left="720" w:hanging="360"/>
      </w:pPr>
      <w:rPr>
        <w:rFonts w:ascii="Symbol" w:hAnsi="Symbol" w:hint="default"/>
      </w:rPr>
    </w:lvl>
    <w:lvl w:ilvl="1" w:tplc="1E3EB91A">
      <w:start w:val="1"/>
      <w:numFmt w:val="bullet"/>
      <w:lvlText w:val="o"/>
      <w:lvlJc w:val="left"/>
      <w:pPr>
        <w:ind w:left="1440" w:hanging="360"/>
      </w:pPr>
      <w:rPr>
        <w:rFonts w:ascii="Courier New" w:hAnsi="Courier New" w:hint="default"/>
      </w:rPr>
    </w:lvl>
    <w:lvl w:ilvl="2" w:tplc="92D44B40">
      <w:start w:val="1"/>
      <w:numFmt w:val="bullet"/>
      <w:lvlText w:val=""/>
      <w:lvlJc w:val="left"/>
      <w:pPr>
        <w:ind w:left="2160" w:hanging="360"/>
      </w:pPr>
      <w:rPr>
        <w:rFonts w:ascii="Wingdings" w:hAnsi="Wingdings" w:hint="default"/>
      </w:rPr>
    </w:lvl>
    <w:lvl w:ilvl="3" w:tplc="548849DA">
      <w:start w:val="1"/>
      <w:numFmt w:val="bullet"/>
      <w:lvlText w:val=""/>
      <w:lvlJc w:val="left"/>
      <w:pPr>
        <w:ind w:left="2880" w:hanging="360"/>
      </w:pPr>
      <w:rPr>
        <w:rFonts w:ascii="Symbol" w:hAnsi="Symbol" w:hint="default"/>
      </w:rPr>
    </w:lvl>
    <w:lvl w:ilvl="4" w:tplc="BAA6E0DE">
      <w:start w:val="1"/>
      <w:numFmt w:val="bullet"/>
      <w:lvlText w:val="o"/>
      <w:lvlJc w:val="left"/>
      <w:pPr>
        <w:ind w:left="3600" w:hanging="360"/>
      </w:pPr>
      <w:rPr>
        <w:rFonts w:ascii="Courier New" w:hAnsi="Courier New" w:hint="default"/>
      </w:rPr>
    </w:lvl>
    <w:lvl w:ilvl="5" w:tplc="4F7478D6">
      <w:start w:val="1"/>
      <w:numFmt w:val="bullet"/>
      <w:lvlText w:val=""/>
      <w:lvlJc w:val="left"/>
      <w:pPr>
        <w:ind w:left="4320" w:hanging="360"/>
      </w:pPr>
      <w:rPr>
        <w:rFonts w:ascii="Wingdings" w:hAnsi="Wingdings" w:hint="default"/>
      </w:rPr>
    </w:lvl>
    <w:lvl w:ilvl="6" w:tplc="398E6752">
      <w:start w:val="1"/>
      <w:numFmt w:val="bullet"/>
      <w:lvlText w:val=""/>
      <w:lvlJc w:val="left"/>
      <w:pPr>
        <w:ind w:left="5040" w:hanging="360"/>
      </w:pPr>
      <w:rPr>
        <w:rFonts w:ascii="Symbol" w:hAnsi="Symbol" w:hint="default"/>
      </w:rPr>
    </w:lvl>
    <w:lvl w:ilvl="7" w:tplc="0D62C962">
      <w:start w:val="1"/>
      <w:numFmt w:val="bullet"/>
      <w:lvlText w:val="o"/>
      <w:lvlJc w:val="left"/>
      <w:pPr>
        <w:ind w:left="5760" w:hanging="360"/>
      </w:pPr>
      <w:rPr>
        <w:rFonts w:ascii="Courier New" w:hAnsi="Courier New" w:hint="default"/>
      </w:rPr>
    </w:lvl>
    <w:lvl w:ilvl="8" w:tplc="7198546C">
      <w:start w:val="1"/>
      <w:numFmt w:val="bullet"/>
      <w:lvlText w:val=""/>
      <w:lvlJc w:val="left"/>
      <w:pPr>
        <w:ind w:left="6480" w:hanging="360"/>
      </w:pPr>
      <w:rPr>
        <w:rFonts w:ascii="Wingdings" w:hAnsi="Wingdings" w:hint="default"/>
      </w:rPr>
    </w:lvl>
  </w:abstractNum>
  <w:abstractNum w:abstractNumId="4" w15:restartNumberingAfterBreak="0">
    <w:nsid w:val="617925BA"/>
    <w:multiLevelType w:val="hybridMultilevel"/>
    <w:tmpl w:val="3A38D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8F60C5"/>
    <w:multiLevelType w:val="hybridMultilevel"/>
    <w:tmpl w:val="72EC30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1"/>
  </w:num>
  <w:num w:numId="4">
    <w:abstractNumId w:val="3"/>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33D6"/>
    <w:rsid w:val="000175B2"/>
    <w:rsid w:val="0004588A"/>
    <w:rsid w:val="00052FD7"/>
    <w:rsid w:val="00054242"/>
    <w:rsid w:val="00086162"/>
    <w:rsid w:val="000D5B2F"/>
    <w:rsid w:val="000E3843"/>
    <w:rsid w:val="000F752D"/>
    <w:rsid w:val="0013407F"/>
    <w:rsid w:val="00137CEE"/>
    <w:rsid w:val="00143B02"/>
    <w:rsid w:val="001521A5"/>
    <w:rsid w:val="00160F43"/>
    <w:rsid w:val="00164502"/>
    <w:rsid w:val="0018127E"/>
    <w:rsid w:val="001824EB"/>
    <w:rsid w:val="00197B8A"/>
    <w:rsid w:val="001A3836"/>
    <w:rsid w:val="001B4896"/>
    <w:rsid w:val="001B4D98"/>
    <w:rsid w:val="001C568C"/>
    <w:rsid w:val="001E3BDF"/>
    <w:rsid w:val="00212094"/>
    <w:rsid w:val="00215640"/>
    <w:rsid w:val="00250DD7"/>
    <w:rsid w:val="00252E7E"/>
    <w:rsid w:val="00261D90"/>
    <w:rsid w:val="0026441F"/>
    <w:rsid w:val="00272844"/>
    <w:rsid w:val="00273DE9"/>
    <w:rsid w:val="002840EE"/>
    <w:rsid w:val="002868AE"/>
    <w:rsid w:val="0029375D"/>
    <w:rsid w:val="00297E4A"/>
    <w:rsid w:val="002A7D33"/>
    <w:rsid w:val="002B054C"/>
    <w:rsid w:val="002B1CA8"/>
    <w:rsid w:val="002D5AD4"/>
    <w:rsid w:val="002D6B26"/>
    <w:rsid w:val="002F0740"/>
    <w:rsid w:val="002F27F6"/>
    <w:rsid w:val="00303C38"/>
    <w:rsid w:val="00327F12"/>
    <w:rsid w:val="003333E4"/>
    <w:rsid w:val="00347CBA"/>
    <w:rsid w:val="00366B7F"/>
    <w:rsid w:val="003C20D0"/>
    <w:rsid w:val="003E1E03"/>
    <w:rsid w:val="004121EB"/>
    <w:rsid w:val="00423C38"/>
    <w:rsid w:val="00461E0B"/>
    <w:rsid w:val="004801C3"/>
    <w:rsid w:val="004901B9"/>
    <w:rsid w:val="004B7000"/>
    <w:rsid w:val="004D450C"/>
    <w:rsid w:val="004D5C06"/>
    <w:rsid w:val="00501787"/>
    <w:rsid w:val="005102A9"/>
    <w:rsid w:val="00511ED3"/>
    <w:rsid w:val="00514450"/>
    <w:rsid w:val="00526808"/>
    <w:rsid w:val="00537442"/>
    <w:rsid w:val="005A2C88"/>
    <w:rsid w:val="005B571E"/>
    <w:rsid w:val="005C28DA"/>
    <w:rsid w:val="00622624"/>
    <w:rsid w:val="00622743"/>
    <w:rsid w:val="0062314E"/>
    <w:rsid w:val="0064670B"/>
    <w:rsid w:val="006513DD"/>
    <w:rsid w:val="006C4DC2"/>
    <w:rsid w:val="006D247E"/>
    <w:rsid w:val="006E32ED"/>
    <w:rsid w:val="00711E69"/>
    <w:rsid w:val="00716F5E"/>
    <w:rsid w:val="00733C2E"/>
    <w:rsid w:val="007775DB"/>
    <w:rsid w:val="007A767C"/>
    <w:rsid w:val="007B4F50"/>
    <w:rsid w:val="007C4507"/>
    <w:rsid w:val="007D32EC"/>
    <w:rsid w:val="007F0893"/>
    <w:rsid w:val="007F2B54"/>
    <w:rsid w:val="00805944"/>
    <w:rsid w:val="008076AE"/>
    <w:rsid w:val="00824164"/>
    <w:rsid w:val="008377A5"/>
    <w:rsid w:val="00852FD2"/>
    <w:rsid w:val="00855131"/>
    <w:rsid w:val="00870A5F"/>
    <w:rsid w:val="008721F0"/>
    <w:rsid w:val="0087346E"/>
    <w:rsid w:val="00875360"/>
    <w:rsid w:val="00882964"/>
    <w:rsid w:val="008A11B1"/>
    <w:rsid w:val="00912091"/>
    <w:rsid w:val="00931D76"/>
    <w:rsid w:val="009958F3"/>
    <w:rsid w:val="009C1C4E"/>
    <w:rsid w:val="009D2C4F"/>
    <w:rsid w:val="009F3F97"/>
    <w:rsid w:val="00A53A63"/>
    <w:rsid w:val="00A75F57"/>
    <w:rsid w:val="00A97206"/>
    <w:rsid w:val="00AB4A7B"/>
    <w:rsid w:val="00AB5836"/>
    <w:rsid w:val="00AB6638"/>
    <w:rsid w:val="00AC07A6"/>
    <w:rsid w:val="00AC2038"/>
    <w:rsid w:val="00AD3745"/>
    <w:rsid w:val="00AE3377"/>
    <w:rsid w:val="00AF78E4"/>
    <w:rsid w:val="00B03B57"/>
    <w:rsid w:val="00B047FC"/>
    <w:rsid w:val="00B24D22"/>
    <w:rsid w:val="00B45F90"/>
    <w:rsid w:val="00B55E04"/>
    <w:rsid w:val="00B5614E"/>
    <w:rsid w:val="00B561AF"/>
    <w:rsid w:val="00B715BC"/>
    <w:rsid w:val="00B938C1"/>
    <w:rsid w:val="00BA4A4A"/>
    <w:rsid w:val="00BB70A2"/>
    <w:rsid w:val="00BD2BDD"/>
    <w:rsid w:val="00BE40A9"/>
    <w:rsid w:val="00C22BB7"/>
    <w:rsid w:val="00C32580"/>
    <w:rsid w:val="00C5670F"/>
    <w:rsid w:val="00C965FA"/>
    <w:rsid w:val="00CB1C22"/>
    <w:rsid w:val="00CB31EB"/>
    <w:rsid w:val="00CB7CEF"/>
    <w:rsid w:val="00CE4256"/>
    <w:rsid w:val="00CE4FB3"/>
    <w:rsid w:val="00D068F1"/>
    <w:rsid w:val="00D11180"/>
    <w:rsid w:val="00D50756"/>
    <w:rsid w:val="00D879F6"/>
    <w:rsid w:val="00D90083"/>
    <w:rsid w:val="00DA0BF4"/>
    <w:rsid w:val="00DA2992"/>
    <w:rsid w:val="00DC3D72"/>
    <w:rsid w:val="00DE44C1"/>
    <w:rsid w:val="00E06DFC"/>
    <w:rsid w:val="00E0758F"/>
    <w:rsid w:val="00E345FF"/>
    <w:rsid w:val="00E546C2"/>
    <w:rsid w:val="00E567CC"/>
    <w:rsid w:val="00E60CDC"/>
    <w:rsid w:val="00E73682"/>
    <w:rsid w:val="00EA5466"/>
    <w:rsid w:val="00EB1C40"/>
    <w:rsid w:val="00EC13A5"/>
    <w:rsid w:val="00EC1D9F"/>
    <w:rsid w:val="00ED4DA4"/>
    <w:rsid w:val="00EE2D81"/>
    <w:rsid w:val="00EF17B0"/>
    <w:rsid w:val="00F0141B"/>
    <w:rsid w:val="00F279A5"/>
    <w:rsid w:val="00F423DB"/>
    <w:rsid w:val="00F50D6C"/>
    <w:rsid w:val="00F63489"/>
    <w:rsid w:val="00F86DE6"/>
    <w:rsid w:val="00F900AA"/>
    <w:rsid w:val="00F933D6"/>
    <w:rsid w:val="00FB6F97"/>
    <w:rsid w:val="00FD63F9"/>
    <w:rsid w:val="00FE10A7"/>
    <w:rsid w:val="00FE7119"/>
    <w:rsid w:val="00FF1268"/>
    <w:rsid w:val="00FF4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646AE"/>
  <w15:chartTrackingRefBased/>
  <w15:docId w15:val="{4AABF541-DE90-4378-9718-2985A03D6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D2C4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B45F9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588A"/>
    <w:pPr>
      <w:ind w:left="720"/>
      <w:contextualSpacing/>
    </w:pPr>
  </w:style>
  <w:style w:type="character" w:customStyle="1" w:styleId="Heading1Char">
    <w:name w:val="Heading 1 Char"/>
    <w:basedOn w:val="DefaultParagraphFont"/>
    <w:link w:val="Heading1"/>
    <w:uiPriority w:val="9"/>
    <w:rsid w:val="009D2C4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D2C4F"/>
  </w:style>
  <w:style w:type="paragraph" w:styleId="TOC1">
    <w:name w:val="toc 1"/>
    <w:basedOn w:val="Normal"/>
    <w:next w:val="Normal"/>
    <w:autoRedefine/>
    <w:uiPriority w:val="39"/>
    <w:unhideWhenUsed/>
    <w:rsid w:val="00B45F90"/>
    <w:pPr>
      <w:spacing w:after="100"/>
    </w:pPr>
  </w:style>
  <w:style w:type="character" w:styleId="Hyperlink">
    <w:name w:val="Hyperlink"/>
    <w:basedOn w:val="DefaultParagraphFont"/>
    <w:uiPriority w:val="99"/>
    <w:unhideWhenUsed/>
    <w:rsid w:val="00B45F90"/>
    <w:rPr>
      <w:color w:val="0563C1" w:themeColor="hyperlink"/>
      <w:u w:val="single"/>
    </w:rPr>
  </w:style>
  <w:style w:type="character" w:customStyle="1" w:styleId="Heading2Char">
    <w:name w:val="Heading 2 Char"/>
    <w:basedOn w:val="DefaultParagraphFont"/>
    <w:link w:val="Heading2"/>
    <w:uiPriority w:val="9"/>
    <w:rsid w:val="00B45F90"/>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B45F9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5681715">
      <w:bodyDiv w:val="1"/>
      <w:marLeft w:val="0"/>
      <w:marRight w:val="0"/>
      <w:marTop w:val="0"/>
      <w:marBottom w:val="0"/>
      <w:divBdr>
        <w:top w:val="none" w:sz="0" w:space="0" w:color="auto"/>
        <w:left w:val="none" w:sz="0" w:space="0" w:color="auto"/>
        <w:bottom w:val="none" w:sz="0" w:space="0" w:color="auto"/>
        <w:right w:val="none" w:sz="0" w:space="0" w:color="auto"/>
      </w:divBdr>
    </w:div>
    <w:div w:id="205874941">
      <w:bodyDiv w:val="1"/>
      <w:marLeft w:val="0"/>
      <w:marRight w:val="0"/>
      <w:marTop w:val="0"/>
      <w:marBottom w:val="0"/>
      <w:divBdr>
        <w:top w:val="none" w:sz="0" w:space="0" w:color="auto"/>
        <w:left w:val="none" w:sz="0" w:space="0" w:color="auto"/>
        <w:bottom w:val="none" w:sz="0" w:space="0" w:color="auto"/>
        <w:right w:val="none" w:sz="0" w:space="0" w:color="auto"/>
      </w:divBdr>
    </w:div>
    <w:div w:id="207570563">
      <w:bodyDiv w:val="1"/>
      <w:marLeft w:val="0"/>
      <w:marRight w:val="0"/>
      <w:marTop w:val="0"/>
      <w:marBottom w:val="0"/>
      <w:divBdr>
        <w:top w:val="none" w:sz="0" w:space="0" w:color="auto"/>
        <w:left w:val="none" w:sz="0" w:space="0" w:color="auto"/>
        <w:bottom w:val="none" w:sz="0" w:space="0" w:color="auto"/>
        <w:right w:val="none" w:sz="0" w:space="0" w:color="auto"/>
      </w:divBdr>
    </w:div>
    <w:div w:id="219437657">
      <w:bodyDiv w:val="1"/>
      <w:marLeft w:val="0"/>
      <w:marRight w:val="0"/>
      <w:marTop w:val="0"/>
      <w:marBottom w:val="0"/>
      <w:divBdr>
        <w:top w:val="none" w:sz="0" w:space="0" w:color="auto"/>
        <w:left w:val="none" w:sz="0" w:space="0" w:color="auto"/>
        <w:bottom w:val="none" w:sz="0" w:space="0" w:color="auto"/>
        <w:right w:val="none" w:sz="0" w:space="0" w:color="auto"/>
      </w:divBdr>
    </w:div>
    <w:div w:id="232668027">
      <w:bodyDiv w:val="1"/>
      <w:marLeft w:val="0"/>
      <w:marRight w:val="0"/>
      <w:marTop w:val="0"/>
      <w:marBottom w:val="0"/>
      <w:divBdr>
        <w:top w:val="none" w:sz="0" w:space="0" w:color="auto"/>
        <w:left w:val="none" w:sz="0" w:space="0" w:color="auto"/>
        <w:bottom w:val="none" w:sz="0" w:space="0" w:color="auto"/>
        <w:right w:val="none" w:sz="0" w:space="0" w:color="auto"/>
      </w:divBdr>
    </w:div>
    <w:div w:id="278996511">
      <w:bodyDiv w:val="1"/>
      <w:marLeft w:val="0"/>
      <w:marRight w:val="0"/>
      <w:marTop w:val="0"/>
      <w:marBottom w:val="0"/>
      <w:divBdr>
        <w:top w:val="none" w:sz="0" w:space="0" w:color="auto"/>
        <w:left w:val="none" w:sz="0" w:space="0" w:color="auto"/>
        <w:bottom w:val="none" w:sz="0" w:space="0" w:color="auto"/>
        <w:right w:val="none" w:sz="0" w:space="0" w:color="auto"/>
      </w:divBdr>
    </w:div>
    <w:div w:id="297340811">
      <w:bodyDiv w:val="1"/>
      <w:marLeft w:val="0"/>
      <w:marRight w:val="0"/>
      <w:marTop w:val="0"/>
      <w:marBottom w:val="0"/>
      <w:divBdr>
        <w:top w:val="none" w:sz="0" w:space="0" w:color="auto"/>
        <w:left w:val="none" w:sz="0" w:space="0" w:color="auto"/>
        <w:bottom w:val="none" w:sz="0" w:space="0" w:color="auto"/>
        <w:right w:val="none" w:sz="0" w:space="0" w:color="auto"/>
      </w:divBdr>
    </w:div>
    <w:div w:id="382294456">
      <w:bodyDiv w:val="1"/>
      <w:marLeft w:val="0"/>
      <w:marRight w:val="0"/>
      <w:marTop w:val="0"/>
      <w:marBottom w:val="0"/>
      <w:divBdr>
        <w:top w:val="none" w:sz="0" w:space="0" w:color="auto"/>
        <w:left w:val="none" w:sz="0" w:space="0" w:color="auto"/>
        <w:bottom w:val="none" w:sz="0" w:space="0" w:color="auto"/>
        <w:right w:val="none" w:sz="0" w:space="0" w:color="auto"/>
      </w:divBdr>
    </w:div>
    <w:div w:id="419177090">
      <w:bodyDiv w:val="1"/>
      <w:marLeft w:val="0"/>
      <w:marRight w:val="0"/>
      <w:marTop w:val="0"/>
      <w:marBottom w:val="0"/>
      <w:divBdr>
        <w:top w:val="none" w:sz="0" w:space="0" w:color="auto"/>
        <w:left w:val="none" w:sz="0" w:space="0" w:color="auto"/>
        <w:bottom w:val="none" w:sz="0" w:space="0" w:color="auto"/>
        <w:right w:val="none" w:sz="0" w:space="0" w:color="auto"/>
      </w:divBdr>
    </w:div>
    <w:div w:id="483401271">
      <w:bodyDiv w:val="1"/>
      <w:marLeft w:val="0"/>
      <w:marRight w:val="0"/>
      <w:marTop w:val="0"/>
      <w:marBottom w:val="0"/>
      <w:divBdr>
        <w:top w:val="none" w:sz="0" w:space="0" w:color="auto"/>
        <w:left w:val="none" w:sz="0" w:space="0" w:color="auto"/>
        <w:bottom w:val="none" w:sz="0" w:space="0" w:color="auto"/>
        <w:right w:val="none" w:sz="0" w:space="0" w:color="auto"/>
      </w:divBdr>
    </w:div>
    <w:div w:id="498623952">
      <w:bodyDiv w:val="1"/>
      <w:marLeft w:val="0"/>
      <w:marRight w:val="0"/>
      <w:marTop w:val="0"/>
      <w:marBottom w:val="0"/>
      <w:divBdr>
        <w:top w:val="none" w:sz="0" w:space="0" w:color="auto"/>
        <w:left w:val="none" w:sz="0" w:space="0" w:color="auto"/>
        <w:bottom w:val="none" w:sz="0" w:space="0" w:color="auto"/>
        <w:right w:val="none" w:sz="0" w:space="0" w:color="auto"/>
      </w:divBdr>
    </w:div>
    <w:div w:id="569462928">
      <w:bodyDiv w:val="1"/>
      <w:marLeft w:val="0"/>
      <w:marRight w:val="0"/>
      <w:marTop w:val="0"/>
      <w:marBottom w:val="0"/>
      <w:divBdr>
        <w:top w:val="none" w:sz="0" w:space="0" w:color="auto"/>
        <w:left w:val="none" w:sz="0" w:space="0" w:color="auto"/>
        <w:bottom w:val="none" w:sz="0" w:space="0" w:color="auto"/>
        <w:right w:val="none" w:sz="0" w:space="0" w:color="auto"/>
      </w:divBdr>
    </w:div>
    <w:div w:id="579603787">
      <w:bodyDiv w:val="1"/>
      <w:marLeft w:val="0"/>
      <w:marRight w:val="0"/>
      <w:marTop w:val="0"/>
      <w:marBottom w:val="0"/>
      <w:divBdr>
        <w:top w:val="none" w:sz="0" w:space="0" w:color="auto"/>
        <w:left w:val="none" w:sz="0" w:space="0" w:color="auto"/>
        <w:bottom w:val="none" w:sz="0" w:space="0" w:color="auto"/>
        <w:right w:val="none" w:sz="0" w:space="0" w:color="auto"/>
      </w:divBdr>
    </w:div>
    <w:div w:id="597761886">
      <w:bodyDiv w:val="1"/>
      <w:marLeft w:val="0"/>
      <w:marRight w:val="0"/>
      <w:marTop w:val="0"/>
      <w:marBottom w:val="0"/>
      <w:divBdr>
        <w:top w:val="none" w:sz="0" w:space="0" w:color="auto"/>
        <w:left w:val="none" w:sz="0" w:space="0" w:color="auto"/>
        <w:bottom w:val="none" w:sz="0" w:space="0" w:color="auto"/>
        <w:right w:val="none" w:sz="0" w:space="0" w:color="auto"/>
      </w:divBdr>
    </w:div>
    <w:div w:id="654797023">
      <w:bodyDiv w:val="1"/>
      <w:marLeft w:val="0"/>
      <w:marRight w:val="0"/>
      <w:marTop w:val="0"/>
      <w:marBottom w:val="0"/>
      <w:divBdr>
        <w:top w:val="none" w:sz="0" w:space="0" w:color="auto"/>
        <w:left w:val="none" w:sz="0" w:space="0" w:color="auto"/>
        <w:bottom w:val="none" w:sz="0" w:space="0" w:color="auto"/>
        <w:right w:val="none" w:sz="0" w:space="0" w:color="auto"/>
      </w:divBdr>
    </w:div>
    <w:div w:id="667487398">
      <w:bodyDiv w:val="1"/>
      <w:marLeft w:val="0"/>
      <w:marRight w:val="0"/>
      <w:marTop w:val="0"/>
      <w:marBottom w:val="0"/>
      <w:divBdr>
        <w:top w:val="none" w:sz="0" w:space="0" w:color="auto"/>
        <w:left w:val="none" w:sz="0" w:space="0" w:color="auto"/>
        <w:bottom w:val="none" w:sz="0" w:space="0" w:color="auto"/>
        <w:right w:val="none" w:sz="0" w:space="0" w:color="auto"/>
      </w:divBdr>
    </w:div>
    <w:div w:id="705525781">
      <w:bodyDiv w:val="1"/>
      <w:marLeft w:val="0"/>
      <w:marRight w:val="0"/>
      <w:marTop w:val="0"/>
      <w:marBottom w:val="0"/>
      <w:divBdr>
        <w:top w:val="none" w:sz="0" w:space="0" w:color="auto"/>
        <w:left w:val="none" w:sz="0" w:space="0" w:color="auto"/>
        <w:bottom w:val="none" w:sz="0" w:space="0" w:color="auto"/>
        <w:right w:val="none" w:sz="0" w:space="0" w:color="auto"/>
      </w:divBdr>
    </w:div>
    <w:div w:id="725186305">
      <w:bodyDiv w:val="1"/>
      <w:marLeft w:val="0"/>
      <w:marRight w:val="0"/>
      <w:marTop w:val="0"/>
      <w:marBottom w:val="0"/>
      <w:divBdr>
        <w:top w:val="none" w:sz="0" w:space="0" w:color="auto"/>
        <w:left w:val="none" w:sz="0" w:space="0" w:color="auto"/>
        <w:bottom w:val="none" w:sz="0" w:space="0" w:color="auto"/>
        <w:right w:val="none" w:sz="0" w:space="0" w:color="auto"/>
      </w:divBdr>
    </w:div>
    <w:div w:id="754981536">
      <w:bodyDiv w:val="1"/>
      <w:marLeft w:val="0"/>
      <w:marRight w:val="0"/>
      <w:marTop w:val="0"/>
      <w:marBottom w:val="0"/>
      <w:divBdr>
        <w:top w:val="none" w:sz="0" w:space="0" w:color="auto"/>
        <w:left w:val="none" w:sz="0" w:space="0" w:color="auto"/>
        <w:bottom w:val="none" w:sz="0" w:space="0" w:color="auto"/>
        <w:right w:val="none" w:sz="0" w:space="0" w:color="auto"/>
      </w:divBdr>
    </w:div>
    <w:div w:id="768431711">
      <w:bodyDiv w:val="1"/>
      <w:marLeft w:val="0"/>
      <w:marRight w:val="0"/>
      <w:marTop w:val="0"/>
      <w:marBottom w:val="0"/>
      <w:divBdr>
        <w:top w:val="none" w:sz="0" w:space="0" w:color="auto"/>
        <w:left w:val="none" w:sz="0" w:space="0" w:color="auto"/>
        <w:bottom w:val="none" w:sz="0" w:space="0" w:color="auto"/>
        <w:right w:val="none" w:sz="0" w:space="0" w:color="auto"/>
      </w:divBdr>
    </w:div>
    <w:div w:id="859978335">
      <w:bodyDiv w:val="1"/>
      <w:marLeft w:val="0"/>
      <w:marRight w:val="0"/>
      <w:marTop w:val="0"/>
      <w:marBottom w:val="0"/>
      <w:divBdr>
        <w:top w:val="none" w:sz="0" w:space="0" w:color="auto"/>
        <w:left w:val="none" w:sz="0" w:space="0" w:color="auto"/>
        <w:bottom w:val="none" w:sz="0" w:space="0" w:color="auto"/>
        <w:right w:val="none" w:sz="0" w:space="0" w:color="auto"/>
      </w:divBdr>
    </w:div>
    <w:div w:id="925382690">
      <w:bodyDiv w:val="1"/>
      <w:marLeft w:val="0"/>
      <w:marRight w:val="0"/>
      <w:marTop w:val="0"/>
      <w:marBottom w:val="0"/>
      <w:divBdr>
        <w:top w:val="none" w:sz="0" w:space="0" w:color="auto"/>
        <w:left w:val="none" w:sz="0" w:space="0" w:color="auto"/>
        <w:bottom w:val="none" w:sz="0" w:space="0" w:color="auto"/>
        <w:right w:val="none" w:sz="0" w:space="0" w:color="auto"/>
      </w:divBdr>
    </w:div>
    <w:div w:id="1036855676">
      <w:bodyDiv w:val="1"/>
      <w:marLeft w:val="0"/>
      <w:marRight w:val="0"/>
      <w:marTop w:val="0"/>
      <w:marBottom w:val="0"/>
      <w:divBdr>
        <w:top w:val="none" w:sz="0" w:space="0" w:color="auto"/>
        <w:left w:val="none" w:sz="0" w:space="0" w:color="auto"/>
        <w:bottom w:val="none" w:sz="0" w:space="0" w:color="auto"/>
        <w:right w:val="none" w:sz="0" w:space="0" w:color="auto"/>
      </w:divBdr>
    </w:div>
    <w:div w:id="1053579105">
      <w:bodyDiv w:val="1"/>
      <w:marLeft w:val="0"/>
      <w:marRight w:val="0"/>
      <w:marTop w:val="0"/>
      <w:marBottom w:val="0"/>
      <w:divBdr>
        <w:top w:val="none" w:sz="0" w:space="0" w:color="auto"/>
        <w:left w:val="none" w:sz="0" w:space="0" w:color="auto"/>
        <w:bottom w:val="none" w:sz="0" w:space="0" w:color="auto"/>
        <w:right w:val="none" w:sz="0" w:space="0" w:color="auto"/>
      </w:divBdr>
    </w:div>
    <w:div w:id="1081410477">
      <w:bodyDiv w:val="1"/>
      <w:marLeft w:val="0"/>
      <w:marRight w:val="0"/>
      <w:marTop w:val="0"/>
      <w:marBottom w:val="0"/>
      <w:divBdr>
        <w:top w:val="none" w:sz="0" w:space="0" w:color="auto"/>
        <w:left w:val="none" w:sz="0" w:space="0" w:color="auto"/>
        <w:bottom w:val="none" w:sz="0" w:space="0" w:color="auto"/>
        <w:right w:val="none" w:sz="0" w:space="0" w:color="auto"/>
      </w:divBdr>
    </w:div>
    <w:div w:id="1124346822">
      <w:bodyDiv w:val="1"/>
      <w:marLeft w:val="0"/>
      <w:marRight w:val="0"/>
      <w:marTop w:val="0"/>
      <w:marBottom w:val="0"/>
      <w:divBdr>
        <w:top w:val="none" w:sz="0" w:space="0" w:color="auto"/>
        <w:left w:val="none" w:sz="0" w:space="0" w:color="auto"/>
        <w:bottom w:val="none" w:sz="0" w:space="0" w:color="auto"/>
        <w:right w:val="none" w:sz="0" w:space="0" w:color="auto"/>
      </w:divBdr>
    </w:div>
    <w:div w:id="1139884917">
      <w:bodyDiv w:val="1"/>
      <w:marLeft w:val="0"/>
      <w:marRight w:val="0"/>
      <w:marTop w:val="0"/>
      <w:marBottom w:val="0"/>
      <w:divBdr>
        <w:top w:val="none" w:sz="0" w:space="0" w:color="auto"/>
        <w:left w:val="none" w:sz="0" w:space="0" w:color="auto"/>
        <w:bottom w:val="none" w:sz="0" w:space="0" w:color="auto"/>
        <w:right w:val="none" w:sz="0" w:space="0" w:color="auto"/>
      </w:divBdr>
    </w:div>
    <w:div w:id="1166360684">
      <w:bodyDiv w:val="1"/>
      <w:marLeft w:val="0"/>
      <w:marRight w:val="0"/>
      <w:marTop w:val="0"/>
      <w:marBottom w:val="0"/>
      <w:divBdr>
        <w:top w:val="none" w:sz="0" w:space="0" w:color="auto"/>
        <w:left w:val="none" w:sz="0" w:space="0" w:color="auto"/>
        <w:bottom w:val="none" w:sz="0" w:space="0" w:color="auto"/>
        <w:right w:val="none" w:sz="0" w:space="0" w:color="auto"/>
      </w:divBdr>
    </w:div>
    <w:div w:id="1168328650">
      <w:bodyDiv w:val="1"/>
      <w:marLeft w:val="0"/>
      <w:marRight w:val="0"/>
      <w:marTop w:val="0"/>
      <w:marBottom w:val="0"/>
      <w:divBdr>
        <w:top w:val="none" w:sz="0" w:space="0" w:color="auto"/>
        <w:left w:val="none" w:sz="0" w:space="0" w:color="auto"/>
        <w:bottom w:val="none" w:sz="0" w:space="0" w:color="auto"/>
        <w:right w:val="none" w:sz="0" w:space="0" w:color="auto"/>
      </w:divBdr>
    </w:div>
    <w:div w:id="1259407961">
      <w:bodyDiv w:val="1"/>
      <w:marLeft w:val="0"/>
      <w:marRight w:val="0"/>
      <w:marTop w:val="0"/>
      <w:marBottom w:val="0"/>
      <w:divBdr>
        <w:top w:val="none" w:sz="0" w:space="0" w:color="auto"/>
        <w:left w:val="none" w:sz="0" w:space="0" w:color="auto"/>
        <w:bottom w:val="none" w:sz="0" w:space="0" w:color="auto"/>
        <w:right w:val="none" w:sz="0" w:space="0" w:color="auto"/>
      </w:divBdr>
    </w:div>
    <w:div w:id="1270047921">
      <w:bodyDiv w:val="1"/>
      <w:marLeft w:val="0"/>
      <w:marRight w:val="0"/>
      <w:marTop w:val="0"/>
      <w:marBottom w:val="0"/>
      <w:divBdr>
        <w:top w:val="none" w:sz="0" w:space="0" w:color="auto"/>
        <w:left w:val="none" w:sz="0" w:space="0" w:color="auto"/>
        <w:bottom w:val="none" w:sz="0" w:space="0" w:color="auto"/>
        <w:right w:val="none" w:sz="0" w:space="0" w:color="auto"/>
      </w:divBdr>
    </w:div>
    <w:div w:id="1335110159">
      <w:bodyDiv w:val="1"/>
      <w:marLeft w:val="0"/>
      <w:marRight w:val="0"/>
      <w:marTop w:val="0"/>
      <w:marBottom w:val="0"/>
      <w:divBdr>
        <w:top w:val="none" w:sz="0" w:space="0" w:color="auto"/>
        <w:left w:val="none" w:sz="0" w:space="0" w:color="auto"/>
        <w:bottom w:val="none" w:sz="0" w:space="0" w:color="auto"/>
        <w:right w:val="none" w:sz="0" w:space="0" w:color="auto"/>
      </w:divBdr>
    </w:div>
    <w:div w:id="1348750291">
      <w:bodyDiv w:val="1"/>
      <w:marLeft w:val="0"/>
      <w:marRight w:val="0"/>
      <w:marTop w:val="0"/>
      <w:marBottom w:val="0"/>
      <w:divBdr>
        <w:top w:val="none" w:sz="0" w:space="0" w:color="auto"/>
        <w:left w:val="none" w:sz="0" w:space="0" w:color="auto"/>
        <w:bottom w:val="none" w:sz="0" w:space="0" w:color="auto"/>
        <w:right w:val="none" w:sz="0" w:space="0" w:color="auto"/>
      </w:divBdr>
    </w:div>
    <w:div w:id="1365713923">
      <w:bodyDiv w:val="1"/>
      <w:marLeft w:val="0"/>
      <w:marRight w:val="0"/>
      <w:marTop w:val="0"/>
      <w:marBottom w:val="0"/>
      <w:divBdr>
        <w:top w:val="none" w:sz="0" w:space="0" w:color="auto"/>
        <w:left w:val="none" w:sz="0" w:space="0" w:color="auto"/>
        <w:bottom w:val="none" w:sz="0" w:space="0" w:color="auto"/>
        <w:right w:val="none" w:sz="0" w:space="0" w:color="auto"/>
      </w:divBdr>
    </w:div>
    <w:div w:id="1379469893">
      <w:bodyDiv w:val="1"/>
      <w:marLeft w:val="0"/>
      <w:marRight w:val="0"/>
      <w:marTop w:val="0"/>
      <w:marBottom w:val="0"/>
      <w:divBdr>
        <w:top w:val="none" w:sz="0" w:space="0" w:color="auto"/>
        <w:left w:val="none" w:sz="0" w:space="0" w:color="auto"/>
        <w:bottom w:val="none" w:sz="0" w:space="0" w:color="auto"/>
        <w:right w:val="none" w:sz="0" w:space="0" w:color="auto"/>
      </w:divBdr>
    </w:div>
    <w:div w:id="1399131214">
      <w:bodyDiv w:val="1"/>
      <w:marLeft w:val="0"/>
      <w:marRight w:val="0"/>
      <w:marTop w:val="0"/>
      <w:marBottom w:val="0"/>
      <w:divBdr>
        <w:top w:val="none" w:sz="0" w:space="0" w:color="auto"/>
        <w:left w:val="none" w:sz="0" w:space="0" w:color="auto"/>
        <w:bottom w:val="none" w:sz="0" w:space="0" w:color="auto"/>
        <w:right w:val="none" w:sz="0" w:space="0" w:color="auto"/>
      </w:divBdr>
    </w:div>
    <w:div w:id="1412004922">
      <w:bodyDiv w:val="1"/>
      <w:marLeft w:val="0"/>
      <w:marRight w:val="0"/>
      <w:marTop w:val="0"/>
      <w:marBottom w:val="0"/>
      <w:divBdr>
        <w:top w:val="none" w:sz="0" w:space="0" w:color="auto"/>
        <w:left w:val="none" w:sz="0" w:space="0" w:color="auto"/>
        <w:bottom w:val="none" w:sz="0" w:space="0" w:color="auto"/>
        <w:right w:val="none" w:sz="0" w:space="0" w:color="auto"/>
      </w:divBdr>
    </w:div>
    <w:div w:id="1418483116">
      <w:bodyDiv w:val="1"/>
      <w:marLeft w:val="0"/>
      <w:marRight w:val="0"/>
      <w:marTop w:val="0"/>
      <w:marBottom w:val="0"/>
      <w:divBdr>
        <w:top w:val="none" w:sz="0" w:space="0" w:color="auto"/>
        <w:left w:val="none" w:sz="0" w:space="0" w:color="auto"/>
        <w:bottom w:val="none" w:sz="0" w:space="0" w:color="auto"/>
        <w:right w:val="none" w:sz="0" w:space="0" w:color="auto"/>
      </w:divBdr>
    </w:div>
    <w:div w:id="1424450872">
      <w:bodyDiv w:val="1"/>
      <w:marLeft w:val="0"/>
      <w:marRight w:val="0"/>
      <w:marTop w:val="0"/>
      <w:marBottom w:val="0"/>
      <w:divBdr>
        <w:top w:val="none" w:sz="0" w:space="0" w:color="auto"/>
        <w:left w:val="none" w:sz="0" w:space="0" w:color="auto"/>
        <w:bottom w:val="none" w:sz="0" w:space="0" w:color="auto"/>
        <w:right w:val="none" w:sz="0" w:space="0" w:color="auto"/>
      </w:divBdr>
    </w:div>
    <w:div w:id="1429234183">
      <w:bodyDiv w:val="1"/>
      <w:marLeft w:val="0"/>
      <w:marRight w:val="0"/>
      <w:marTop w:val="0"/>
      <w:marBottom w:val="0"/>
      <w:divBdr>
        <w:top w:val="none" w:sz="0" w:space="0" w:color="auto"/>
        <w:left w:val="none" w:sz="0" w:space="0" w:color="auto"/>
        <w:bottom w:val="none" w:sz="0" w:space="0" w:color="auto"/>
        <w:right w:val="none" w:sz="0" w:space="0" w:color="auto"/>
      </w:divBdr>
    </w:div>
    <w:div w:id="1461807162">
      <w:bodyDiv w:val="1"/>
      <w:marLeft w:val="0"/>
      <w:marRight w:val="0"/>
      <w:marTop w:val="0"/>
      <w:marBottom w:val="0"/>
      <w:divBdr>
        <w:top w:val="none" w:sz="0" w:space="0" w:color="auto"/>
        <w:left w:val="none" w:sz="0" w:space="0" w:color="auto"/>
        <w:bottom w:val="none" w:sz="0" w:space="0" w:color="auto"/>
        <w:right w:val="none" w:sz="0" w:space="0" w:color="auto"/>
      </w:divBdr>
    </w:div>
    <w:div w:id="1536116496">
      <w:bodyDiv w:val="1"/>
      <w:marLeft w:val="0"/>
      <w:marRight w:val="0"/>
      <w:marTop w:val="0"/>
      <w:marBottom w:val="0"/>
      <w:divBdr>
        <w:top w:val="none" w:sz="0" w:space="0" w:color="auto"/>
        <w:left w:val="none" w:sz="0" w:space="0" w:color="auto"/>
        <w:bottom w:val="none" w:sz="0" w:space="0" w:color="auto"/>
        <w:right w:val="none" w:sz="0" w:space="0" w:color="auto"/>
      </w:divBdr>
    </w:div>
    <w:div w:id="1562406475">
      <w:bodyDiv w:val="1"/>
      <w:marLeft w:val="0"/>
      <w:marRight w:val="0"/>
      <w:marTop w:val="0"/>
      <w:marBottom w:val="0"/>
      <w:divBdr>
        <w:top w:val="none" w:sz="0" w:space="0" w:color="auto"/>
        <w:left w:val="none" w:sz="0" w:space="0" w:color="auto"/>
        <w:bottom w:val="none" w:sz="0" w:space="0" w:color="auto"/>
        <w:right w:val="none" w:sz="0" w:space="0" w:color="auto"/>
      </w:divBdr>
    </w:div>
    <w:div w:id="1571424534">
      <w:bodyDiv w:val="1"/>
      <w:marLeft w:val="0"/>
      <w:marRight w:val="0"/>
      <w:marTop w:val="0"/>
      <w:marBottom w:val="0"/>
      <w:divBdr>
        <w:top w:val="none" w:sz="0" w:space="0" w:color="auto"/>
        <w:left w:val="none" w:sz="0" w:space="0" w:color="auto"/>
        <w:bottom w:val="none" w:sz="0" w:space="0" w:color="auto"/>
        <w:right w:val="none" w:sz="0" w:space="0" w:color="auto"/>
      </w:divBdr>
    </w:div>
    <w:div w:id="1658680333">
      <w:bodyDiv w:val="1"/>
      <w:marLeft w:val="0"/>
      <w:marRight w:val="0"/>
      <w:marTop w:val="0"/>
      <w:marBottom w:val="0"/>
      <w:divBdr>
        <w:top w:val="none" w:sz="0" w:space="0" w:color="auto"/>
        <w:left w:val="none" w:sz="0" w:space="0" w:color="auto"/>
        <w:bottom w:val="none" w:sz="0" w:space="0" w:color="auto"/>
        <w:right w:val="none" w:sz="0" w:space="0" w:color="auto"/>
      </w:divBdr>
    </w:div>
    <w:div w:id="1674525400">
      <w:bodyDiv w:val="1"/>
      <w:marLeft w:val="0"/>
      <w:marRight w:val="0"/>
      <w:marTop w:val="0"/>
      <w:marBottom w:val="0"/>
      <w:divBdr>
        <w:top w:val="none" w:sz="0" w:space="0" w:color="auto"/>
        <w:left w:val="none" w:sz="0" w:space="0" w:color="auto"/>
        <w:bottom w:val="none" w:sz="0" w:space="0" w:color="auto"/>
        <w:right w:val="none" w:sz="0" w:space="0" w:color="auto"/>
      </w:divBdr>
    </w:div>
    <w:div w:id="1701976401">
      <w:bodyDiv w:val="1"/>
      <w:marLeft w:val="0"/>
      <w:marRight w:val="0"/>
      <w:marTop w:val="0"/>
      <w:marBottom w:val="0"/>
      <w:divBdr>
        <w:top w:val="none" w:sz="0" w:space="0" w:color="auto"/>
        <w:left w:val="none" w:sz="0" w:space="0" w:color="auto"/>
        <w:bottom w:val="none" w:sz="0" w:space="0" w:color="auto"/>
        <w:right w:val="none" w:sz="0" w:space="0" w:color="auto"/>
      </w:divBdr>
    </w:div>
    <w:div w:id="1786581720">
      <w:bodyDiv w:val="1"/>
      <w:marLeft w:val="0"/>
      <w:marRight w:val="0"/>
      <w:marTop w:val="0"/>
      <w:marBottom w:val="0"/>
      <w:divBdr>
        <w:top w:val="none" w:sz="0" w:space="0" w:color="auto"/>
        <w:left w:val="none" w:sz="0" w:space="0" w:color="auto"/>
        <w:bottom w:val="none" w:sz="0" w:space="0" w:color="auto"/>
        <w:right w:val="none" w:sz="0" w:space="0" w:color="auto"/>
      </w:divBdr>
    </w:div>
    <w:div w:id="1810857100">
      <w:bodyDiv w:val="1"/>
      <w:marLeft w:val="0"/>
      <w:marRight w:val="0"/>
      <w:marTop w:val="0"/>
      <w:marBottom w:val="0"/>
      <w:divBdr>
        <w:top w:val="none" w:sz="0" w:space="0" w:color="auto"/>
        <w:left w:val="none" w:sz="0" w:space="0" w:color="auto"/>
        <w:bottom w:val="none" w:sz="0" w:space="0" w:color="auto"/>
        <w:right w:val="none" w:sz="0" w:space="0" w:color="auto"/>
      </w:divBdr>
    </w:div>
    <w:div w:id="1822186270">
      <w:bodyDiv w:val="1"/>
      <w:marLeft w:val="0"/>
      <w:marRight w:val="0"/>
      <w:marTop w:val="0"/>
      <w:marBottom w:val="0"/>
      <w:divBdr>
        <w:top w:val="none" w:sz="0" w:space="0" w:color="auto"/>
        <w:left w:val="none" w:sz="0" w:space="0" w:color="auto"/>
        <w:bottom w:val="none" w:sz="0" w:space="0" w:color="auto"/>
        <w:right w:val="none" w:sz="0" w:space="0" w:color="auto"/>
      </w:divBdr>
    </w:div>
    <w:div w:id="1822381749">
      <w:bodyDiv w:val="1"/>
      <w:marLeft w:val="0"/>
      <w:marRight w:val="0"/>
      <w:marTop w:val="0"/>
      <w:marBottom w:val="0"/>
      <w:divBdr>
        <w:top w:val="none" w:sz="0" w:space="0" w:color="auto"/>
        <w:left w:val="none" w:sz="0" w:space="0" w:color="auto"/>
        <w:bottom w:val="none" w:sz="0" w:space="0" w:color="auto"/>
        <w:right w:val="none" w:sz="0" w:space="0" w:color="auto"/>
      </w:divBdr>
    </w:div>
    <w:div w:id="1848057945">
      <w:bodyDiv w:val="1"/>
      <w:marLeft w:val="0"/>
      <w:marRight w:val="0"/>
      <w:marTop w:val="0"/>
      <w:marBottom w:val="0"/>
      <w:divBdr>
        <w:top w:val="none" w:sz="0" w:space="0" w:color="auto"/>
        <w:left w:val="none" w:sz="0" w:space="0" w:color="auto"/>
        <w:bottom w:val="none" w:sz="0" w:space="0" w:color="auto"/>
        <w:right w:val="none" w:sz="0" w:space="0" w:color="auto"/>
      </w:divBdr>
    </w:div>
    <w:div w:id="1874070798">
      <w:bodyDiv w:val="1"/>
      <w:marLeft w:val="0"/>
      <w:marRight w:val="0"/>
      <w:marTop w:val="0"/>
      <w:marBottom w:val="0"/>
      <w:divBdr>
        <w:top w:val="none" w:sz="0" w:space="0" w:color="auto"/>
        <w:left w:val="none" w:sz="0" w:space="0" w:color="auto"/>
        <w:bottom w:val="none" w:sz="0" w:space="0" w:color="auto"/>
        <w:right w:val="none" w:sz="0" w:space="0" w:color="auto"/>
      </w:divBdr>
    </w:div>
    <w:div w:id="1875147334">
      <w:bodyDiv w:val="1"/>
      <w:marLeft w:val="0"/>
      <w:marRight w:val="0"/>
      <w:marTop w:val="0"/>
      <w:marBottom w:val="0"/>
      <w:divBdr>
        <w:top w:val="none" w:sz="0" w:space="0" w:color="auto"/>
        <w:left w:val="none" w:sz="0" w:space="0" w:color="auto"/>
        <w:bottom w:val="none" w:sz="0" w:space="0" w:color="auto"/>
        <w:right w:val="none" w:sz="0" w:space="0" w:color="auto"/>
      </w:divBdr>
    </w:div>
    <w:div w:id="1924946692">
      <w:bodyDiv w:val="1"/>
      <w:marLeft w:val="0"/>
      <w:marRight w:val="0"/>
      <w:marTop w:val="0"/>
      <w:marBottom w:val="0"/>
      <w:divBdr>
        <w:top w:val="none" w:sz="0" w:space="0" w:color="auto"/>
        <w:left w:val="none" w:sz="0" w:space="0" w:color="auto"/>
        <w:bottom w:val="none" w:sz="0" w:space="0" w:color="auto"/>
        <w:right w:val="none" w:sz="0" w:space="0" w:color="auto"/>
      </w:divBdr>
    </w:div>
    <w:div w:id="1973749313">
      <w:bodyDiv w:val="1"/>
      <w:marLeft w:val="0"/>
      <w:marRight w:val="0"/>
      <w:marTop w:val="0"/>
      <w:marBottom w:val="0"/>
      <w:divBdr>
        <w:top w:val="none" w:sz="0" w:space="0" w:color="auto"/>
        <w:left w:val="none" w:sz="0" w:space="0" w:color="auto"/>
        <w:bottom w:val="none" w:sz="0" w:space="0" w:color="auto"/>
        <w:right w:val="none" w:sz="0" w:space="0" w:color="auto"/>
      </w:divBdr>
    </w:div>
    <w:div w:id="1981381974">
      <w:bodyDiv w:val="1"/>
      <w:marLeft w:val="0"/>
      <w:marRight w:val="0"/>
      <w:marTop w:val="0"/>
      <w:marBottom w:val="0"/>
      <w:divBdr>
        <w:top w:val="none" w:sz="0" w:space="0" w:color="auto"/>
        <w:left w:val="none" w:sz="0" w:space="0" w:color="auto"/>
        <w:bottom w:val="none" w:sz="0" w:space="0" w:color="auto"/>
        <w:right w:val="none" w:sz="0" w:space="0" w:color="auto"/>
      </w:divBdr>
    </w:div>
    <w:div w:id="2056660078">
      <w:bodyDiv w:val="1"/>
      <w:marLeft w:val="0"/>
      <w:marRight w:val="0"/>
      <w:marTop w:val="0"/>
      <w:marBottom w:val="0"/>
      <w:divBdr>
        <w:top w:val="none" w:sz="0" w:space="0" w:color="auto"/>
        <w:left w:val="none" w:sz="0" w:space="0" w:color="auto"/>
        <w:bottom w:val="none" w:sz="0" w:space="0" w:color="auto"/>
        <w:right w:val="none" w:sz="0" w:space="0" w:color="auto"/>
      </w:divBdr>
    </w:div>
    <w:div w:id="2059695630">
      <w:bodyDiv w:val="1"/>
      <w:marLeft w:val="0"/>
      <w:marRight w:val="0"/>
      <w:marTop w:val="0"/>
      <w:marBottom w:val="0"/>
      <w:divBdr>
        <w:top w:val="none" w:sz="0" w:space="0" w:color="auto"/>
        <w:left w:val="none" w:sz="0" w:space="0" w:color="auto"/>
        <w:bottom w:val="none" w:sz="0" w:space="0" w:color="auto"/>
        <w:right w:val="none" w:sz="0" w:space="0" w:color="auto"/>
      </w:divBdr>
    </w:div>
    <w:div w:id="2066023941">
      <w:bodyDiv w:val="1"/>
      <w:marLeft w:val="0"/>
      <w:marRight w:val="0"/>
      <w:marTop w:val="0"/>
      <w:marBottom w:val="0"/>
      <w:divBdr>
        <w:top w:val="none" w:sz="0" w:space="0" w:color="auto"/>
        <w:left w:val="none" w:sz="0" w:space="0" w:color="auto"/>
        <w:bottom w:val="none" w:sz="0" w:space="0" w:color="auto"/>
        <w:right w:val="none" w:sz="0" w:space="0" w:color="auto"/>
      </w:divBdr>
    </w:div>
    <w:div w:id="2089039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tyles" Target="styles.xml"/><Relationship Id="rId7" Type="http://schemas.openxmlformats.org/officeDocument/2006/relationships/oleObject" Target="embeddings/oleObject1.bin"/><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Naz15</b:Tag>
    <b:SourceType>JournalArticle</b:SourceType>
    <b:Guid>{8EAEB889-C18D-4837-BA86-2C872B3A35FF}</b:Guid>
    <b:Title>Narrative ways of architecture education: A case study</b:Title>
    <b:Year>2015</b:Year>
    <b:Author>
      <b:Author>
        <b:NameList>
          <b:Person>
            <b:Last>Nazidizaji</b:Last>
            <b:First>Sajjid</b:First>
          </b:Person>
          <b:Person>
            <b:Last>Tome</b:Last>
            <b:First>Ana</b:First>
          </b:Person>
          <b:Person>
            <b:Last>Regaterio</b:Last>
            <b:First>Francisco</b:First>
          </b:Person>
          <b:Person>
            <b:Last>Ghalati</b:Last>
            <b:Middle>Keshtkar</b:Middle>
            <b:First>Ahmadreza</b:First>
          </b:Person>
        </b:NameList>
      </b:Author>
    </b:Author>
    <b:JournalName>Procedia - Social and Behavioural Sciences</b:JournalName>
    <b:Pages>1640 - 1646</b:Pages>
    <b:Volume>197</b:Volume>
    <b:RefOrder>2</b:RefOrder>
  </b:Source>
  <b:Source>
    <b:Tag>Wil19</b:Tag>
    <b:SourceType>JournalArticle</b:SourceType>
    <b:Guid>{72E4F686-71AD-4708-A5C0-553730FC8299}</b:Guid>
    <b:Author>
      <b:Author>
        <b:NameList>
          <b:Person>
            <b:Last>Hurst</b:Last>
            <b:First>Will</b:First>
          </b:Person>
        </b:NameList>
      </b:Author>
    </b:Author>
    <b:Title>RIBA declares climate emergency</b:Title>
    <b:JournalName>Architects Journal</b:JournalName>
    <b:Year>2019</b:Year>
    <b:Issue>27 June 2019</b:Issue>
    <b:RefOrder>4</b:RefOrder>
  </b:Source>
  <b:Source>
    <b:Tag>Int18</b:Tag>
    <b:SourceType>InternetSite</b:SourceType>
    <b:Guid>{1DBDF8CC-CF43-48C6-B767-686CFDA8825A}</b:Guid>
    <b:Title>UIA Declaration UN-Habitat General Assembly</b:Title>
    <b:Year>2018</b:Year>
    <b:Author>
      <b:Author>
        <b:Corporate>International Union of Architects</b:Corporate>
      </b:Author>
    </b:Author>
    <b:YearAccessed>2019</b:YearAccessed>
    <b:MonthAccessed>August</b:MonthAccessed>
    <b:DayAccessed>21</b:DayAccessed>
    <b:URL>https://www.uia-architectes.org/webApi/en/news/uia-declaration-un-habitat-general-assembly.html</b:URL>
    <b:RefOrder>3</b:RefOrder>
  </b:Source>
  <b:Source>
    <b:Tag>Tal11</b:Tag>
    <b:SourceType>JournalArticle</b:SourceType>
    <b:Guid>{372EB3ED-7692-435A-943C-749294512FA3}</b:Guid>
    <b:Title>Sustainability in architectural education: A comparison of Iran and Australia</b:Title>
    <b:Year>2011</b:Year>
    <b:JournalName>Renewable Energy</b:JournalName>
    <b:Pages>2021 - 2025</b:Pages>
    <b:Volume>36</b:Volume>
    <b:Author>
      <b:Author>
        <b:NameList>
          <b:Person>
            <b:Last>Taleghani</b:Last>
            <b:First>Mohammad</b:First>
          </b:Person>
          <b:Person>
            <b:Last>Ansari</b:Last>
            <b:Middle>Reza</b:Middle>
            <b:First>Hamid</b:First>
          </b:Person>
          <b:Person>
            <b:Last>Jennings</b:Last>
            <b:First>Philip</b:First>
          </b:Person>
        </b:NameList>
      </b:Author>
    </b:Author>
    <b:RefOrder>5</b:RefOrder>
  </b:Source>
  <b:Source>
    <b:Tag>Aub16</b:Tag>
    <b:SourceType>Book</b:SourceType>
    <b:Guid>{11967C0A-FCC2-4A40-95E0-7F3130BF96FC}</b:Guid>
    <b:Title>Understanding and using educational theories</b:Title>
    <b:Year>2016</b:Year>
    <b:City>London</b:City>
    <b:Publisher>Sage</b:Publisher>
    <b:Author>
      <b:Author>
        <b:NameList>
          <b:Person>
            <b:Last>Aubrey</b:Last>
            <b:First>Karl</b:First>
          </b:Person>
          <b:Person>
            <b:Last>Riley</b:Last>
            <b:First>Alison</b:First>
          </b:Person>
        </b:NameList>
      </b:Author>
    </b:Author>
    <b:RefOrder>12</b:RefOrder>
  </b:Source>
  <b:Source>
    <b:Tag>RIB14</b:Tag>
    <b:SourceType>Report</b:SourceType>
    <b:Guid>{0DDEE131-97E2-4B7B-A60D-45C3983718A4}</b:Guid>
    <b:Title>RIBA Appointments: Skills Survey Report 2014</b:Title>
    <b:Year>2014</b:Year>
    <b:City>London</b:City>
    <b:Publisher>RIBA Appointments</b:Publisher>
    <b:Author>
      <b:Author>
        <b:Corporate>RIBA</b:Corporate>
      </b:Author>
    </b:Author>
    <b:RefOrder>6</b:RefOrder>
  </b:Source>
  <b:Source>
    <b:Tag>Alt09</b:Tag>
    <b:SourceType>JournalArticle</b:SourceType>
    <b:Guid>{E559B7E0-6036-42A7-83C3-77462C180429}</b:Guid>
    <b:Title>Environmental education for sustainable architecture</b:Title>
    <b:Year>2009</b:Year>
    <b:JournalName>Review of European Studies</b:JournalName>
    <b:Pages>12-21</b:Pages>
    <b:Volume>1</b:Volume>
    <b:Issue>2</b:Issue>
    <b:Author>
      <b:Author>
        <b:NameList>
          <b:Person>
            <b:Last>Altomonte</b:Last>
            <b:First>Sergio</b:First>
          </b:Person>
        </b:NameList>
      </b:Author>
    </b:Author>
    <b:RefOrder>7</b:RefOrder>
  </b:Source>
  <b:Source>
    <b:Tag>Rut06</b:Tag>
    <b:SourceType>ConferenceProceedings</b:SourceType>
    <b:Guid>{A3CF013A-E6ED-4D04-A7F2-351FF43C976F}</b:Guid>
    <b:Title>Educating environmental awareness: creativity in integrated environmental design teaching</b:Title>
    <b:Year>2006</b:Year>
    <b:City>Adelaide</b:City>
    <b:Publisher>40th Annual Conference of the Architectural Science Association ANZAScA</b:Publisher>
    <b:Author>
      <b:Author>
        <b:NameList>
          <b:Person>
            <b:Last>Rutherford</b:Last>
            <b:First>Peter</b:First>
          </b:Person>
          <b:Person>
            <b:Last>Wilson</b:Last>
            <b:First>Robin</b:First>
          </b:Person>
        </b:NameList>
      </b:Author>
    </b:Author>
    <b:RefOrder>8</b:RefOrder>
  </b:Source>
  <b:Source>
    <b:Tag>Ism17</b:Tag>
    <b:SourceType>JournalArticle</b:SourceType>
    <b:Guid>{892D348D-1646-420E-9B46-5AB6EC0C8E6D}</b:Guid>
    <b:Title>Review on integrating sustainability knowledge into architectural education: Practice in the UK and the USA</b:Title>
    <b:Year>2017</b:Year>
    <b:JournalName>Journal of Cleaner Production</b:JournalName>
    <b:Pages>1542-1552</b:Pages>
    <b:Volume>140</b:Volume>
    <b:Author>
      <b:Author>
        <b:NameList>
          <b:Person>
            <b:Last>Ismail</b:Last>
            <b:First>Muhammud</b:First>
          </b:Person>
          <b:Person>
            <b:Last>Keumala</b:Last>
            <b:First>Nila</b:First>
          </b:Person>
          <b:Person>
            <b:Last>Dabdoob</b:Last>
            <b:Middle>Marwan</b:Middle>
            <b:First>Rawia</b:First>
          </b:Person>
        </b:NameList>
      </b:Author>
    </b:Author>
    <b:RefOrder>10</b:RefOrder>
  </b:Source>
  <b:Source>
    <b:Tag>Alt12</b:Tag>
    <b:SourceType>Report</b:SourceType>
    <b:Guid>{6DAFE5C3-B4CF-4894-8626-085B69297A32}</b:Guid>
    <b:Title>Education for Sustainable Environmental Design: The EDUCATE Project, Summary of results</b:Title>
    <b:Year>2012</b:Year>
    <b:Publisher>Department of Architecture and Built Environment, University of Nottingham</b:Publisher>
    <b:City>Nottingham</b:City>
    <b:Author>
      <b:Author>
        <b:NameList>
          <b:Person>
            <b:Last>Altomonte</b:Last>
            <b:First>Sergio</b:First>
          </b:Person>
        </b:NameList>
      </b:Author>
    </b:Author>
    <b:RefOrder>9</b:RefOrder>
  </b:Source>
  <b:Source>
    <b:Tag>Ban05</b:Tag>
    <b:SourceType>JournalArticle</b:SourceType>
    <b:Guid>{6F675C17-DF47-4248-8FBD-38BD28C45790}</b:Guid>
    <b:Title>Approaches to teaching: current opinions and related research</b:Title>
    <b:Year>2005</b:Year>
    <b:JournalName>Nurse Education Today</b:JournalName>
    <b:Pages>502-508</b:Pages>
    <b:Volume>25</b:Volume>
    <b:Issue>7</b:Issue>
    <b:Author>
      <b:Author>
        <b:NameList>
          <b:Person>
            <b:Last>Banning</b:Last>
            <b:First>Maggi</b:First>
          </b:Person>
        </b:NameList>
      </b:Author>
    </b:Author>
    <b:RefOrder>11</b:RefOrder>
  </b:Source>
  <b:Source>
    <b:Tag>Swe19</b:Tag>
    <b:SourceType>BookSection</b:SourceType>
    <b:Guid>{84EA8992-6DD9-4A04-9D2D-91DCAAE7F403}</b:Guid>
    <b:Title>Educating for Sustainability: Concepts and meaning of Education for Sustainability</b:Title>
    <b:Year>2019</b:Year>
    <b:Pages>125-149</b:Pages>
    <b:BookTitle>Intrinsic Capability: Implementing intrinsic sustainable development for an ecological civilisation</b:BookTitle>
    <b:City>Sweden</b:City>
    <b:Publisher>World Scientific</b:Publisher>
    <b:Author>
      <b:Author>
        <b:NameList>
          <b:Person>
            <b:Last>Swee</b:Last>
            <b:First>Christopher</b:First>
          </b:Person>
          <b:Person>
            <b:Last>Beasy</b:Last>
            <b:First>Kim</b:First>
          </b:Person>
        </b:NameList>
      </b:Author>
      <b:Editor>
        <b:NameList>
          <b:Person>
            <b:Last>Birkin</b:Last>
            <b:First>Frank</b:First>
          </b:Person>
          <b:Person>
            <b:Last>Polesie</b:Last>
            <b:First>Thomas</b:First>
          </b:Person>
        </b:NameList>
      </b:Editor>
    </b:Author>
    <b:RefOrder>13</b:RefOrder>
  </b:Source>
  <b:Source>
    <b:Tag>QAA14</b:Tag>
    <b:SourceType>Report</b:SourceType>
    <b:Guid>{E2CD9E2A-656C-4F80-A237-B5B3030F9D6E}</b:Guid>
    <b:Author>
      <b:Author>
        <b:Corporate>QAA</b:Corporate>
      </b:Author>
    </b:Author>
    <b:Title>Education for Sustainable Development: Guidance for UK Higher Education providers</b:Title>
    <b:Year>2014</b:Year>
    <b:City>Gloucester</b:City>
    <b:Publisher>Quality Assurance Agency for Higher Education</b:Publisher>
    <b:RefOrder>14</b:RefOrder>
  </b:Source>
  <b:Source>
    <b:Tag>RIB18</b:Tag>
    <b:SourceType>Report</b:SourceType>
    <b:Guid>{B85EFD2A-1265-4E75-963D-9637F4A023F8}</b:Guid>
    <b:Author>
      <b:Author>
        <b:Corporate>RIBA</b:Corporate>
      </b:Author>
    </b:Author>
    <b:Title>RIBA Ethics and Sustainable Development Commission: Key findings and recommendations</b:Title>
    <b:Year>2018</b:Year>
    <b:Publisher>RIBA</b:Publisher>
    <b:City>London</b:City>
    <b:Pages>1-18</b:Pages>
    <b:RefOrder>15</b:RefOrder>
  </b:Source>
  <b:Source>
    <b:Tag>UWT15</b:Tag>
    <b:SourceType>Report</b:SourceType>
    <b:Guid>{2311666F-CF3A-4082-92F9-597DD9CA3986}</b:Guid>
    <b:Author>
      <b:Author>
        <b:Corporate>UWTSD</b:Corporate>
      </b:Author>
    </b:Author>
    <b:Title>BSc Architecture Definitive Programme Document</b:Title>
    <b:Year>2015</b:Year>
    <b:Publisher>UWTSD</b:Publisher>
    <b:City>Swansea</b:City>
    <b:RefOrder>1</b:RefOrder>
  </b:Source>
  <b:Source>
    <b:Tag>Micry</b:Tag>
    <b:SourceType>Report</b:SourceType>
    <b:Guid>{9D347947-A486-4C1D-9C18-CA058FC0191D}</b:Guid>
    <b:Title>Constructing the Team: Final report of the Government / industry review of procurement and contractual arrangements in the UK Construction Industry</b:Title>
    <b:Year>1994</b:Year>
    <b:City>London</b:City>
    <b:Publisher>HMSO</b:Publisher>
    <b:Author>
      <b:Author>
        <b:NameList>
          <b:Person>
            <b:Last>Latham</b:Last>
            <b:First>Michael</b:First>
          </b:Person>
        </b:NameList>
      </b:Author>
    </b:Author>
    <b:RefOrder>16</b:RefOrder>
  </b:Source>
  <b:Source>
    <b:Tag>Adv11</b:Tag>
    <b:SourceType>Report</b:SourceType>
    <b:Guid>{FF5B514F-8BE7-4B54-98A4-81B338474828}</b:Guid>
    <b:Author>
      <b:Author>
        <b:Corporate>Advance HE</b:Corporate>
      </b:Author>
    </b:Author>
    <b:Title>The UK Professional Standards Framework for teaching and supporting learning in Higher Education</b:Title>
    <b:Year>2011</b:Year>
    <b:Publisher>Advance HE</b:Publisher>
    <b:City>York</b:City>
    <b:RefOrder>17</b:RefOrder>
  </b:Source>
</b:Sources>
</file>

<file path=customXml/itemProps1.xml><?xml version="1.0" encoding="utf-8"?>
<ds:datastoreItem xmlns:ds="http://schemas.openxmlformats.org/officeDocument/2006/customXml" ds:itemID="{8FEEF14D-A6E0-4B90-9D25-99C9E3B58A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22</Pages>
  <Words>8630</Words>
  <Characters>49192</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6</cp:revision>
  <dcterms:created xsi:type="dcterms:W3CDTF">2019-10-18T15:32:00Z</dcterms:created>
  <dcterms:modified xsi:type="dcterms:W3CDTF">2019-10-18T16:04:00Z</dcterms:modified>
</cp:coreProperties>
</file>