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5315B6" w14:textId="77777777" w:rsidR="00424FF4" w:rsidRDefault="00424FF4">
      <w:pPr>
        <w:rPr>
          <w:rFonts w:ascii="Times New Roman" w:hAnsi="Times New Roman" w:cs="Times New Roman"/>
          <w:i/>
          <w:iCs/>
          <w:sz w:val="24"/>
          <w:szCs w:val="24"/>
          <w:u w:val="single"/>
        </w:rPr>
      </w:pPr>
    </w:p>
    <w:p w14:paraId="40D6AE11" w14:textId="0E3A080A" w:rsidR="00AB6593" w:rsidRPr="00F007A4" w:rsidRDefault="00037CAA">
      <w:pPr>
        <w:rPr>
          <w:rFonts w:ascii="Times New Roman" w:hAnsi="Times New Roman" w:cs="Times New Roman"/>
          <w:b/>
          <w:bCs/>
          <w:sz w:val="24"/>
          <w:szCs w:val="24"/>
          <w:u w:val="single"/>
        </w:rPr>
      </w:pPr>
      <w:r w:rsidRPr="00F007A4">
        <w:rPr>
          <w:rFonts w:ascii="Times New Roman" w:hAnsi="Times New Roman" w:cs="Times New Roman"/>
          <w:b/>
          <w:bCs/>
          <w:i/>
          <w:iCs/>
          <w:sz w:val="24"/>
          <w:szCs w:val="24"/>
          <w:u w:val="single"/>
        </w:rPr>
        <w:t>Gesta Normannorum</w:t>
      </w:r>
      <w:r w:rsidRPr="00F007A4">
        <w:rPr>
          <w:rFonts w:ascii="Times New Roman" w:hAnsi="Times New Roman" w:cs="Times New Roman"/>
          <w:b/>
          <w:bCs/>
          <w:sz w:val="24"/>
          <w:szCs w:val="24"/>
          <w:u w:val="single"/>
        </w:rPr>
        <w:t xml:space="preserve"> – Chapter 10</w:t>
      </w:r>
    </w:p>
    <w:p w14:paraId="001E8EA5" w14:textId="77777777" w:rsidR="00743EAD" w:rsidRDefault="00743EAD">
      <w:pPr>
        <w:rPr>
          <w:rFonts w:ascii="Times New Roman" w:hAnsi="Times New Roman" w:cs="Times New Roman"/>
          <w:sz w:val="24"/>
          <w:szCs w:val="24"/>
          <w:u w:val="single"/>
        </w:rPr>
      </w:pPr>
    </w:p>
    <w:p w14:paraId="465B5DA3" w14:textId="695A10F2" w:rsidR="00037CAA" w:rsidRDefault="00E513E6" w:rsidP="00782AA8">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E513E6">
        <w:rPr>
          <w:rFonts w:ascii="Times New Roman" w:hAnsi="Times New Roman" w:cs="Times New Roman"/>
          <w:i/>
          <w:iCs/>
          <w:sz w:val="24"/>
          <w:szCs w:val="24"/>
        </w:rPr>
        <w:t>Gesta Normannorum</w:t>
      </w:r>
      <w:r>
        <w:rPr>
          <w:rFonts w:ascii="Times New Roman" w:hAnsi="Times New Roman" w:cs="Times New Roman"/>
          <w:sz w:val="24"/>
          <w:szCs w:val="24"/>
        </w:rPr>
        <w:t xml:space="preserve">, written by Dudo of St Quentin, documents the </w:t>
      </w:r>
      <w:r w:rsidRPr="00E513E6">
        <w:rPr>
          <w:rFonts w:ascii="Times New Roman" w:hAnsi="Times New Roman" w:cs="Times New Roman"/>
          <w:sz w:val="24"/>
          <w:szCs w:val="24"/>
        </w:rPr>
        <w:t>deeds of the Dukes of Norman</w:t>
      </w:r>
      <w:r>
        <w:rPr>
          <w:rFonts w:ascii="Times New Roman" w:hAnsi="Times New Roman" w:cs="Times New Roman"/>
          <w:sz w:val="24"/>
          <w:szCs w:val="24"/>
        </w:rPr>
        <w:t xml:space="preserve">s through a dynastic </w:t>
      </w:r>
      <w:r w:rsidRPr="00E513E6">
        <w:rPr>
          <w:rFonts w:ascii="Times New Roman" w:hAnsi="Times New Roman" w:cs="Times New Roman"/>
          <w:sz w:val="24"/>
          <w:szCs w:val="24"/>
        </w:rPr>
        <w:t>history</w:t>
      </w:r>
      <w:r>
        <w:rPr>
          <w:rFonts w:ascii="Times New Roman" w:hAnsi="Times New Roman" w:cs="Times New Roman"/>
          <w:sz w:val="24"/>
          <w:szCs w:val="24"/>
        </w:rPr>
        <w:t>.</w:t>
      </w:r>
      <w:r w:rsidRPr="00E513E6">
        <w:rPr>
          <w:rFonts w:ascii="Times New Roman" w:hAnsi="Times New Roman" w:cs="Times New Roman"/>
          <w:sz w:val="24"/>
          <w:szCs w:val="24"/>
        </w:rPr>
        <w:t xml:space="preserve"> It is believed that </w:t>
      </w:r>
      <w:r w:rsidR="00A43F5B" w:rsidRPr="00A43F5B">
        <w:rPr>
          <w:rFonts w:ascii="Times New Roman" w:hAnsi="Times New Roman" w:cs="Times New Roman"/>
          <w:i/>
          <w:iCs/>
          <w:sz w:val="24"/>
          <w:szCs w:val="24"/>
        </w:rPr>
        <w:t>Gesta Normannorum</w:t>
      </w:r>
      <w:r w:rsidRPr="00E513E6">
        <w:rPr>
          <w:rFonts w:ascii="Times New Roman" w:hAnsi="Times New Roman" w:cs="Times New Roman"/>
          <w:sz w:val="24"/>
          <w:szCs w:val="24"/>
        </w:rPr>
        <w:t xml:space="preserve"> was written between the year</w:t>
      </w:r>
      <w:r w:rsidR="00A43F5B">
        <w:rPr>
          <w:rFonts w:ascii="Times New Roman" w:hAnsi="Times New Roman" w:cs="Times New Roman"/>
          <w:sz w:val="24"/>
          <w:szCs w:val="24"/>
        </w:rPr>
        <w:t>s of</w:t>
      </w:r>
      <w:r w:rsidRPr="00E513E6">
        <w:rPr>
          <w:rFonts w:ascii="Times New Roman" w:hAnsi="Times New Roman" w:cs="Times New Roman"/>
          <w:sz w:val="24"/>
          <w:szCs w:val="24"/>
        </w:rPr>
        <w:t xml:space="preserve"> 996 </w:t>
      </w:r>
      <w:r w:rsidR="00A43F5B">
        <w:rPr>
          <w:rFonts w:ascii="Times New Roman" w:hAnsi="Times New Roman" w:cs="Times New Roman"/>
          <w:sz w:val="24"/>
          <w:szCs w:val="24"/>
        </w:rPr>
        <w:t xml:space="preserve">and </w:t>
      </w:r>
      <w:r w:rsidRPr="00E513E6">
        <w:rPr>
          <w:rFonts w:ascii="Times New Roman" w:hAnsi="Times New Roman" w:cs="Times New Roman"/>
          <w:sz w:val="24"/>
          <w:szCs w:val="24"/>
        </w:rPr>
        <w:t>1015</w:t>
      </w:r>
      <w:r w:rsidR="00A43F5B">
        <w:rPr>
          <w:rFonts w:ascii="Times New Roman" w:hAnsi="Times New Roman" w:cs="Times New Roman"/>
          <w:sz w:val="24"/>
          <w:szCs w:val="24"/>
        </w:rPr>
        <w:t xml:space="preserve"> </w:t>
      </w:r>
      <w:r w:rsidR="00A43F5B" w:rsidRPr="00A43F5B">
        <w:rPr>
          <w:rFonts w:ascii="Times New Roman" w:hAnsi="Times New Roman" w:cs="Times New Roman"/>
          <w:sz w:val="24"/>
          <w:szCs w:val="24"/>
        </w:rPr>
        <w:t xml:space="preserve">for Richard </w:t>
      </w:r>
      <w:r w:rsidR="00A43F5B">
        <w:rPr>
          <w:rFonts w:ascii="Times New Roman" w:hAnsi="Times New Roman" w:cs="Times New Roman"/>
          <w:sz w:val="24"/>
          <w:szCs w:val="24"/>
        </w:rPr>
        <w:t xml:space="preserve">I, </w:t>
      </w:r>
      <w:r w:rsidR="00782AA8">
        <w:rPr>
          <w:rFonts w:ascii="Times New Roman" w:hAnsi="Times New Roman" w:cs="Times New Roman"/>
          <w:sz w:val="24"/>
          <w:szCs w:val="24"/>
        </w:rPr>
        <w:t>C</w:t>
      </w:r>
      <w:r w:rsidR="00A43F5B" w:rsidRPr="00A43F5B">
        <w:rPr>
          <w:rFonts w:ascii="Times New Roman" w:hAnsi="Times New Roman" w:cs="Times New Roman"/>
          <w:sz w:val="24"/>
          <w:szCs w:val="24"/>
        </w:rPr>
        <w:t>ount of Ro</w:t>
      </w:r>
      <w:r w:rsidR="00A43F5B">
        <w:rPr>
          <w:rFonts w:ascii="Times New Roman" w:hAnsi="Times New Roman" w:cs="Times New Roman"/>
          <w:sz w:val="24"/>
          <w:szCs w:val="24"/>
        </w:rPr>
        <w:t>uen</w:t>
      </w:r>
      <w:r w:rsidR="00E30526">
        <w:rPr>
          <w:rFonts w:ascii="Times New Roman" w:hAnsi="Times New Roman" w:cs="Times New Roman"/>
          <w:sz w:val="24"/>
          <w:szCs w:val="24"/>
        </w:rPr>
        <w:t xml:space="preserve">, although Felice </w:t>
      </w:r>
      <w:r w:rsidR="00D02DF8">
        <w:rPr>
          <w:rFonts w:ascii="Times New Roman" w:hAnsi="Times New Roman" w:cs="Times New Roman"/>
          <w:sz w:val="24"/>
          <w:szCs w:val="24"/>
        </w:rPr>
        <w:t>Lifshitz states</w:t>
      </w:r>
      <w:r w:rsidR="00DE34DA">
        <w:rPr>
          <w:rFonts w:ascii="Times New Roman" w:hAnsi="Times New Roman" w:cs="Times New Roman"/>
          <w:sz w:val="24"/>
          <w:szCs w:val="24"/>
        </w:rPr>
        <w:t xml:space="preserve"> </w:t>
      </w:r>
      <w:r w:rsidR="00E30526">
        <w:rPr>
          <w:rFonts w:ascii="Times New Roman" w:hAnsi="Times New Roman" w:cs="Times New Roman"/>
          <w:sz w:val="24"/>
          <w:szCs w:val="24"/>
        </w:rPr>
        <w:t xml:space="preserve">it was </w:t>
      </w:r>
      <w:r w:rsidR="00DE34DA">
        <w:rPr>
          <w:rFonts w:ascii="Times New Roman" w:hAnsi="Times New Roman" w:cs="Times New Roman"/>
          <w:sz w:val="24"/>
          <w:szCs w:val="24"/>
        </w:rPr>
        <w:t>first ‘</w:t>
      </w:r>
      <w:r w:rsidR="00E30526">
        <w:rPr>
          <w:rFonts w:ascii="Times New Roman" w:hAnsi="Times New Roman" w:cs="Times New Roman"/>
          <w:sz w:val="24"/>
          <w:szCs w:val="24"/>
        </w:rPr>
        <w:t xml:space="preserve">commissioned in the year </w:t>
      </w:r>
      <w:r w:rsidR="00DE34DA">
        <w:rPr>
          <w:rFonts w:ascii="Times New Roman" w:hAnsi="Times New Roman" w:cs="Times New Roman"/>
          <w:sz w:val="24"/>
          <w:szCs w:val="24"/>
        </w:rPr>
        <w:t>994’, with production starting later</w:t>
      </w:r>
      <w:r w:rsidR="00A112B7">
        <w:rPr>
          <w:rFonts w:ascii="Times New Roman" w:hAnsi="Times New Roman" w:cs="Times New Roman"/>
          <w:sz w:val="24"/>
          <w:szCs w:val="24"/>
        </w:rPr>
        <w:t>.</w:t>
      </w:r>
      <w:r w:rsidR="00DE34DA">
        <w:rPr>
          <w:rStyle w:val="FootnoteReference"/>
          <w:rFonts w:ascii="Times New Roman" w:hAnsi="Times New Roman" w:cs="Times New Roman"/>
          <w:sz w:val="24"/>
          <w:szCs w:val="24"/>
        </w:rPr>
        <w:footnoteReference w:id="1"/>
      </w:r>
      <w:r w:rsidR="00A112B7">
        <w:rPr>
          <w:rFonts w:ascii="Times New Roman" w:hAnsi="Times New Roman" w:cs="Times New Roman"/>
          <w:sz w:val="24"/>
          <w:szCs w:val="24"/>
        </w:rPr>
        <w:t xml:space="preserve"> It is believed Richard wanted to</w:t>
      </w:r>
      <w:r w:rsidR="00A43F5B" w:rsidRPr="00A43F5B">
        <w:rPr>
          <w:rFonts w:ascii="Times New Roman" w:hAnsi="Times New Roman" w:cs="Times New Roman"/>
          <w:sz w:val="24"/>
          <w:szCs w:val="24"/>
        </w:rPr>
        <w:t xml:space="preserve"> honour </w:t>
      </w:r>
      <w:r w:rsidR="00A43F5B">
        <w:rPr>
          <w:rFonts w:ascii="Times New Roman" w:hAnsi="Times New Roman" w:cs="Times New Roman"/>
          <w:sz w:val="24"/>
          <w:szCs w:val="24"/>
        </w:rPr>
        <w:t xml:space="preserve">the legacies </w:t>
      </w:r>
      <w:r w:rsidR="00A112B7">
        <w:rPr>
          <w:rFonts w:ascii="Times New Roman" w:hAnsi="Times New Roman" w:cs="Times New Roman"/>
          <w:sz w:val="24"/>
          <w:szCs w:val="24"/>
        </w:rPr>
        <w:t xml:space="preserve">and ‘celebrate the exploits’ </w:t>
      </w:r>
      <w:r w:rsidR="00A43F5B">
        <w:rPr>
          <w:rFonts w:ascii="Times New Roman" w:hAnsi="Times New Roman" w:cs="Times New Roman"/>
          <w:sz w:val="24"/>
          <w:szCs w:val="24"/>
        </w:rPr>
        <w:t xml:space="preserve">of </w:t>
      </w:r>
      <w:r w:rsidR="00A43F5B" w:rsidRPr="00A43F5B">
        <w:rPr>
          <w:rFonts w:ascii="Times New Roman" w:hAnsi="Times New Roman" w:cs="Times New Roman"/>
          <w:sz w:val="24"/>
          <w:szCs w:val="24"/>
        </w:rPr>
        <w:t>his father</w:t>
      </w:r>
      <w:r w:rsidR="00A43F5B">
        <w:rPr>
          <w:rFonts w:ascii="Times New Roman" w:hAnsi="Times New Roman" w:cs="Times New Roman"/>
          <w:sz w:val="24"/>
          <w:szCs w:val="24"/>
        </w:rPr>
        <w:t>, William Longsword</w:t>
      </w:r>
      <w:r w:rsidR="00A43F5B" w:rsidRPr="00A43F5B">
        <w:rPr>
          <w:rFonts w:ascii="Times New Roman" w:hAnsi="Times New Roman" w:cs="Times New Roman"/>
          <w:sz w:val="24"/>
          <w:szCs w:val="24"/>
        </w:rPr>
        <w:t xml:space="preserve"> and grandfather</w:t>
      </w:r>
      <w:r w:rsidR="00A43F5B">
        <w:rPr>
          <w:rFonts w:ascii="Times New Roman" w:hAnsi="Times New Roman" w:cs="Times New Roman"/>
          <w:sz w:val="24"/>
          <w:szCs w:val="24"/>
        </w:rPr>
        <w:t xml:space="preserve"> Rollo</w:t>
      </w:r>
      <w:r w:rsidR="00D02DF8">
        <w:rPr>
          <w:rFonts w:ascii="Times New Roman" w:hAnsi="Times New Roman" w:cs="Times New Roman"/>
          <w:sz w:val="24"/>
          <w:szCs w:val="24"/>
        </w:rPr>
        <w:t>.</w:t>
      </w:r>
      <w:r w:rsidR="00D02DF8">
        <w:rPr>
          <w:rStyle w:val="FootnoteReference"/>
          <w:rFonts w:ascii="Times New Roman" w:hAnsi="Times New Roman" w:cs="Times New Roman"/>
          <w:sz w:val="24"/>
          <w:szCs w:val="24"/>
        </w:rPr>
        <w:footnoteReference w:id="2"/>
      </w:r>
      <w:r w:rsidR="00D02DF8">
        <w:rPr>
          <w:rFonts w:ascii="Times New Roman" w:hAnsi="Times New Roman" w:cs="Times New Roman"/>
          <w:sz w:val="24"/>
          <w:szCs w:val="24"/>
        </w:rPr>
        <w:t xml:space="preserve"> </w:t>
      </w:r>
      <w:r w:rsidR="00A43F5B">
        <w:rPr>
          <w:rFonts w:ascii="Times New Roman" w:hAnsi="Times New Roman" w:cs="Times New Roman"/>
          <w:sz w:val="24"/>
          <w:szCs w:val="24"/>
        </w:rPr>
        <w:t xml:space="preserve">Dudo was born in France and was a notable historian and writer of his time, as well as the dean of Saint-Quentin, a Roman Catholic </w:t>
      </w:r>
      <w:r w:rsidR="008A5418">
        <w:rPr>
          <w:rFonts w:ascii="Times New Roman" w:hAnsi="Times New Roman" w:cs="Times New Roman"/>
          <w:sz w:val="24"/>
          <w:szCs w:val="24"/>
        </w:rPr>
        <w:t>church</w:t>
      </w:r>
      <w:r w:rsidR="00A43F5B">
        <w:rPr>
          <w:rFonts w:ascii="Times New Roman" w:hAnsi="Times New Roman" w:cs="Times New Roman"/>
          <w:sz w:val="24"/>
          <w:szCs w:val="24"/>
        </w:rPr>
        <w:t xml:space="preserve"> in the North of France.</w:t>
      </w:r>
      <w:r w:rsidR="00A112B7">
        <w:rPr>
          <w:rFonts w:ascii="Times New Roman" w:hAnsi="Times New Roman" w:cs="Times New Roman"/>
          <w:sz w:val="24"/>
          <w:szCs w:val="24"/>
        </w:rPr>
        <w:t xml:space="preserve"> </w:t>
      </w:r>
      <w:r w:rsidR="007702D0">
        <w:rPr>
          <w:rFonts w:ascii="Times New Roman" w:hAnsi="Times New Roman" w:cs="Times New Roman"/>
          <w:sz w:val="24"/>
          <w:szCs w:val="24"/>
        </w:rPr>
        <w:t>Dudo was well</w:t>
      </w:r>
      <w:r w:rsidR="00F67B6B">
        <w:rPr>
          <w:rFonts w:ascii="Times New Roman" w:hAnsi="Times New Roman" w:cs="Times New Roman"/>
          <w:sz w:val="24"/>
          <w:szCs w:val="24"/>
        </w:rPr>
        <w:t xml:space="preserve"> established</w:t>
      </w:r>
      <w:r w:rsidR="007702D0">
        <w:rPr>
          <w:rFonts w:ascii="Times New Roman" w:hAnsi="Times New Roman" w:cs="Times New Roman"/>
          <w:sz w:val="24"/>
          <w:szCs w:val="24"/>
        </w:rPr>
        <w:t xml:space="preserve"> in Normandy and very present within the Norman court</w:t>
      </w:r>
      <w:r w:rsidR="00F67B6B">
        <w:rPr>
          <w:rFonts w:ascii="Times New Roman" w:hAnsi="Times New Roman" w:cs="Times New Roman"/>
          <w:sz w:val="24"/>
          <w:szCs w:val="24"/>
        </w:rPr>
        <w:t>. I</w:t>
      </w:r>
      <w:r w:rsidR="007702D0">
        <w:rPr>
          <w:rFonts w:ascii="Times New Roman" w:hAnsi="Times New Roman" w:cs="Times New Roman"/>
          <w:sz w:val="24"/>
          <w:szCs w:val="24"/>
        </w:rPr>
        <w:t xml:space="preserve">t could be argued </w:t>
      </w:r>
      <w:r w:rsidR="00F67B6B">
        <w:rPr>
          <w:rFonts w:ascii="Times New Roman" w:hAnsi="Times New Roman" w:cs="Times New Roman"/>
          <w:sz w:val="24"/>
          <w:szCs w:val="24"/>
        </w:rPr>
        <w:t xml:space="preserve">that </w:t>
      </w:r>
      <w:r w:rsidR="007702D0">
        <w:rPr>
          <w:rFonts w:ascii="Times New Roman" w:hAnsi="Times New Roman" w:cs="Times New Roman"/>
          <w:sz w:val="24"/>
          <w:szCs w:val="24"/>
        </w:rPr>
        <w:t>due to Dudo’s relationship with Richard I, that his writings</w:t>
      </w:r>
      <w:r w:rsidR="00F04039">
        <w:rPr>
          <w:rFonts w:ascii="Times New Roman" w:hAnsi="Times New Roman" w:cs="Times New Roman"/>
          <w:sz w:val="24"/>
          <w:szCs w:val="24"/>
        </w:rPr>
        <w:t xml:space="preserve">, especially the </w:t>
      </w:r>
      <w:r w:rsidR="00F04039" w:rsidRPr="00F04039">
        <w:rPr>
          <w:rFonts w:ascii="Times New Roman" w:hAnsi="Times New Roman" w:cs="Times New Roman"/>
          <w:i/>
          <w:iCs/>
          <w:sz w:val="24"/>
          <w:szCs w:val="24"/>
        </w:rPr>
        <w:t>Gesta Normannorum</w:t>
      </w:r>
      <w:r w:rsidR="00F67B6B">
        <w:rPr>
          <w:rFonts w:ascii="Times New Roman" w:hAnsi="Times New Roman" w:cs="Times New Roman"/>
          <w:i/>
          <w:iCs/>
          <w:sz w:val="24"/>
          <w:szCs w:val="24"/>
        </w:rPr>
        <w:t>,</w:t>
      </w:r>
      <w:r w:rsidR="00F04039">
        <w:rPr>
          <w:rFonts w:ascii="Times New Roman" w:hAnsi="Times New Roman" w:cs="Times New Roman"/>
          <w:sz w:val="24"/>
          <w:szCs w:val="24"/>
        </w:rPr>
        <w:t xml:space="preserve"> are bias towards the Normans and depict events in a manipulated way</w:t>
      </w:r>
      <w:r w:rsidR="00F67B6B">
        <w:rPr>
          <w:rFonts w:ascii="Times New Roman" w:hAnsi="Times New Roman" w:cs="Times New Roman"/>
          <w:sz w:val="24"/>
          <w:szCs w:val="24"/>
        </w:rPr>
        <w:t xml:space="preserve"> to glorify the deeds of his relatives. By </w:t>
      </w:r>
      <w:r w:rsidR="00446870">
        <w:rPr>
          <w:rFonts w:ascii="Times New Roman" w:hAnsi="Times New Roman" w:cs="Times New Roman"/>
          <w:sz w:val="24"/>
          <w:szCs w:val="24"/>
        </w:rPr>
        <w:t>undertaking</w:t>
      </w:r>
      <w:r w:rsidR="00F67B6B">
        <w:rPr>
          <w:rFonts w:ascii="Times New Roman" w:hAnsi="Times New Roman" w:cs="Times New Roman"/>
          <w:sz w:val="24"/>
          <w:szCs w:val="24"/>
        </w:rPr>
        <w:t xml:space="preserve"> the task of producing the </w:t>
      </w:r>
      <w:r w:rsidR="00F67B6B" w:rsidRPr="00782AA8">
        <w:rPr>
          <w:rFonts w:ascii="Times New Roman" w:hAnsi="Times New Roman" w:cs="Times New Roman"/>
          <w:i/>
          <w:iCs/>
          <w:sz w:val="24"/>
          <w:szCs w:val="24"/>
        </w:rPr>
        <w:t>Gesta Normannorum</w:t>
      </w:r>
      <w:r w:rsidR="00F67B6B">
        <w:rPr>
          <w:rFonts w:ascii="Times New Roman" w:hAnsi="Times New Roman" w:cs="Times New Roman"/>
          <w:sz w:val="24"/>
          <w:szCs w:val="24"/>
        </w:rPr>
        <w:t xml:space="preserve">, Dudo’s main aim was to document three generations of Norman rulers but ultimately romanticise </w:t>
      </w:r>
      <w:r w:rsidR="00446870">
        <w:rPr>
          <w:rFonts w:ascii="Times New Roman" w:hAnsi="Times New Roman" w:cs="Times New Roman"/>
          <w:sz w:val="24"/>
          <w:szCs w:val="24"/>
        </w:rPr>
        <w:t xml:space="preserve">events, which from an outside perspective might have been considered brutish and violent. It is </w:t>
      </w:r>
      <w:r w:rsidR="00782AA8">
        <w:rPr>
          <w:rFonts w:ascii="Times New Roman" w:hAnsi="Times New Roman" w:cs="Times New Roman"/>
          <w:sz w:val="24"/>
          <w:szCs w:val="24"/>
        </w:rPr>
        <w:t xml:space="preserve">speculated </w:t>
      </w:r>
      <w:r w:rsidR="00446870">
        <w:rPr>
          <w:rFonts w:ascii="Times New Roman" w:hAnsi="Times New Roman" w:cs="Times New Roman"/>
          <w:sz w:val="24"/>
          <w:szCs w:val="24"/>
        </w:rPr>
        <w:t xml:space="preserve">Dudo started to produce the </w:t>
      </w:r>
      <w:r w:rsidR="00446870" w:rsidRPr="00446870">
        <w:rPr>
          <w:rFonts w:ascii="Times New Roman" w:hAnsi="Times New Roman" w:cs="Times New Roman"/>
          <w:i/>
          <w:iCs/>
          <w:sz w:val="24"/>
          <w:szCs w:val="24"/>
        </w:rPr>
        <w:t>Gesta Normannorum</w:t>
      </w:r>
      <w:r w:rsidR="00446870">
        <w:rPr>
          <w:rFonts w:ascii="Times New Roman" w:hAnsi="Times New Roman" w:cs="Times New Roman"/>
          <w:sz w:val="24"/>
          <w:szCs w:val="24"/>
        </w:rPr>
        <w:t xml:space="preserve"> in the year 996, the same year </w:t>
      </w:r>
      <w:r w:rsidR="00782AA8">
        <w:rPr>
          <w:rFonts w:ascii="Times New Roman" w:hAnsi="Times New Roman" w:cs="Times New Roman"/>
          <w:sz w:val="24"/>
          <w:szCs w:val="24"/>
        </w:rPr>
        <w:t xml:space="preserve">of </w:t>
      </w:r>
      <w:r w:rsidR="00446870">
        <w:rPr>
          <w:rFonts w:ascii="Times New Roman" w:hAnsi="Times New Roman" w:cs="Times New Roman"/>
          <w:sz w:val="24"/>
          <w:szCs w:val="24"/>
        </w:rPr>
        <w:t xml:space="preserve">the death of Richard I </w:t>
      </w:r>
      <w:r w:rsidR="00782AA8">
        <w:rPr>
          <w:rFonts w:ascii="Times New Roman" w:hAnsi="Times New Roman" w:cs="Times New Roman"/>
          <w:sz w:val="24"/>
          <w:szCs w:val="24"/>
        </w:rPr>
        <w:t xml:space="preserve">and saw </w:t>
      </w:r>
      <w:r w:rsidR="00446870">
        <w:rPr>
          <w:rFonts w:ascii="Times New Roman" w:hAnsi="Times New Roman" w:cs="Times New Roman"/>
          <w:sz w:val="24"/>
          <w:szCs w:val="24"/>
        </w:rPr>
        <w:t>increasing tensions across Normandy among the lower classes</w:t>
      </w:r>
      <w:r w:rsidR="00743EAD">
        <w:rPr>
          <w:rFonts w:ascii="Times New Roman" w:hAnsi="Times New Roman" w:cs="Times New Roman"/>
          <w:sz w:val="24"/>
          <w:szCs w:val="24"/>
        </w:rPr>
        <w:t xml:space="preserve">, which sparked the Norman peasant’s revolt. In this commentary chapter 10, which documents Rollo’s journey to Rouen and the dream vision he has for Rouen will be examined as written by Dudo. </w:t>
      </w:r>
    </w:p>
    <w:p w14:paraId="51B37522" w14:textId="6D389605" w:rsidR="00B91556" w:rsidRDefault="002A6B55" w:rsidP="00782AA8">
      <w:pPr>
        <w:spacing w:after="0" w:line="360" w:lineRule="auto"/>
        <w:rPr>
          <w:rFonts w:ascii="Times New Roman" w:eastAsia="Times New Roman" w:hAnsi="Times New Roman" w:cs="Times New Roman"/>
          <w:color w:val="000000"/>
          <w:sz w:val="24"/>
          <w:szCs w:val="24"/>
          <w:lang w:eastAsia="en-GB"/>
        </w:rPr>
      </w:pPr>
      <w:r>
        <w:rPr>
          <w:rFonts w:ascii="Times New Roman" w:hAnsi="Times New Roman" w:cs="Times New Roman"/>
          <w:sz w:val="24"/>
          <w:szCs w:val="24"/>
        </w:rPr>
        <w:t xml:space="preserve">     </w:t>
      </w:r>
      <w:r w:rsidR="00743EAD">
        <w:rPr>
          <w:rFonts w:ascii="Times New Roman" w:hAnsi="Times New Roman" w:cs="Times New Roman"/>
          <w:sz w:val="24"/>
          <w:szCs w:val="24"/>
        </w:rPr>
        <w:t xml:space="preserve">Upon initial examination of the text, it is evident, as throughout the </w:t>
      </w:r>
      <w:r w:rsidR="00743EAD" w:rsidRPr="00743EAD">
        <w:rPr>
          <w:rFonts w:ascii="Times New Roman" w:hAnsi="Times New Roman" w:cs="Times New Roman"/>
          <w:i/>
          <w:iCs/>
          <w:sz w:val="24"/>
          <w:szCs w:val="24"/>
        </w:rPr>
        <w:t>Gesta Normannorum</w:t>
      </w:r>
      <w:r w:rsidR="00743EAD">
        <w:rPr>
          <w:rFonts w:ascii="Times New Roman" w:hAnsi="Times New Roman" w:cs="Times New Roman"/>
          <w:sz w:val="24"/>
          <w:szCs w:val="24"/>
        </w:rPr>
        <w:t xml:space="preserve">, that </w:t>
      </w:r>
      <w:r w:rsidR="00E30526">
        <w:rPr>
          <w:rFonts w:ascii="Times New Roman" w:hAnsi="Times New Roman" w:cs="Times New Roman"/>
          <w:sz w:val="24"/>
          <w:szCs w:val="24"/>
        </w:rPr>
        <w:t xml:space="preserve">a poetic language, a rhythmic prose is important. </w:t>
      </w:r>
      <w:r w:rsidR="00350900">
        <w:rPr>
          <w:rFonts w:ascii="Times New Roman" w:hAnsi="Times New Roman" w:cs="Times New Roman"/>
          <w:sz w:val="24"/>
          <w:szCs w:val="24"/>
        </w:rPr>
        <w:t xml:space="preserve">This style of writing enhances the language, </w:t>
      </w:r>
      <w:r w:rsidR="00D02DF8">
        <w:rPr>
          <w:rFonts w:ascii="Times New Roman" w:hAnsi="Times New Roman" w:cs="Times New Roman"/>
          <w:sz w:val="24"/>
          <w:szCs w:val="24"/>
        </w:rPr>
        <w:t>tone,</w:t>
      </w:r>
      <w:r w:rsidR="00350900">
        <w:rPr>
          <w:rFonts w:ascii="Times New Roman" w:hAnsi="Times New Roman" w:cs="Times New Roman"/>
          <w:sz w:val="24"/>
          <w:szCs w:val="24"/>
        </w:rPr>
        <w:t xml:space="preserve"> and phrases within a written text</w:t>
      </w:r>
      <w:r w:rsidR="00D02DF8">
        <w:rPr>
          <w:rFonts w:ascii="Times New Roman" w:hAnsi="Times New Roman" w:cs="Times New Roman"/>
          <w:sz w:val="24"/>
          <w:szCs w:val="24"/>
        </w:rPr>
        <w:t xml:space="preserve">. Dr Elisabeth van Houts points out this style of writing is very popular in </w:t>
      </w:r>
      <w:r w:rsidR="00D02DF8" w:rsidRPr="00D02DF8">
        <w:rPr>
          <w:rFonts w:ascii="Times New Roman" w:hAnsi="Times New Roman" w:cs="Times New Roman"/>
          <w:sz w:val="24"/>
          <w:szCs w:val="24"/>
        </w:rPr>
        <w:t>‘</w:t>
      </w:r>
      <w:r w:rsidR="00D02DF8" w:rsidRPr="00D02DF8">
        <w:rPr>
          <w:rFonts w:ascii="Times New Roman" w:eastAsia="Times New Roman" w:hAnsi="Times New Roman" w:cs="Times New Roman"/>
          <w:color w:val="000000"/>
          <w:sz w:val="24"/>
          <w:szCs w:val="24"/>
          <w:lang w:eastAsia="en-GB"/>
        </w:rPr>
        <w:t>Carolingian historiography</w:t>
      </w:r>
      <w:r w:rsidR="00D02DF8" w:rsidRPr="00D02DF8">
        <w:rPr>
          <w:rFonts w:ascii="Times New Roman" w:eastAsia="Times New Roman" w:hAnsi="Times New Roman" w:cs="Times New Roman"/>
          <w:color w:val="000000"/>
          <w:sz w:val="24"/>
          <w:szCs w:val="24"/>
          <w:lang w:eastAsia="en-GB"/>
        </w:rPr>
        <w:t>’</w:t>
      </w:r>
      <w:r w:rsidR="00D02DF8">
        <w:rPr>
          <w:rFonts w:ascii="Times New Roman" w:eastAsia="Times New Roman" w:hAnsi="Times New Roman" w:cs="Times New Roman"/>
          <w:color w:val="000000"/>
          <w:sz w:val="24"/>
          <w:szCs w:val="24"/>
          <w:lang w:eastAsia="en-GB"/>
        </w:rPr>
        <w:t xml:space="preserve"> which is allegedly the style of writing Richard I requested.</w:t>
      </w:r>
      <w:r w:rsidR="00D02DF8">
        <w:rPr>
          <w:rStyle w:val="FootnoteReference"/>
          <w:rFonts w:ascii="Times New Roman" w:eastAsia="Times New Roman" w:hAnsi="Times New Roman" w:cs="Times New Roman"/>
          <w:color w:val="000000"/>
          <w:sz w:val="24"/>
          <w:szCs w:val="24"/>
          <w:lang w:eastAsia="en-GB"/>
        </w:rPr>
        <w:footnoteReference w:id="3"/>
      </w:r>
      <w:r w:rsidR="00D02DF8">
        <w:rPr>
          <w:rFonts w:ascii="Times New Roman" w:eastAsia="Times New Roman" w:hAnsi="Times New Roman" w:cs="Times New Roman"/>
          <w:color w:val="000000"/>
          <w:sz w:val="24"/>
          <w:szCs w:val="24"/>
          <w:lang w:eastAsia="en-GB"/>
        </w:rPr>
        <w:t xml:space="preserve"> </w:t>
      </w:r>
      <w:r w:rsidR="00A7075C">
        <w:rPr>
          <w:rFonts w:ascii="Times New Roman" w:eastAsia="Times New Roman" w:hAnsi="Times New Roman" w:cs="Times New Roman"/>
          <w:color w:val="000000"/>
          <w:sz w:val="24"/>
          <w:szCs w:val="24"/>
          <w:lang w:eastAsia="en-GB"/>
        </w:rPr>
        <w:t>This writing style is clear in the first couple of sentences which describe Rollo setting off on his journeys. The sentences are long but rhythmically flow and Dudo makes use of</w:t>
      </w:r>
      <w:r w:rsidR="00395C00">
        <w:rPr>
          <w:rFonts w:ascii="Times New Roman" w:eastAsia="Times New Roman" w:hAnsi="Times New Roman" w:cs="Times New Roman"/>
          <w:color w:val="000000"/>
          <w:sz w:val="24"/>
          <w:szCs w:val="24"/>
          <w:lang w:eastAsia="en-GB"/>
        </w:rPr>
        <w:t xml:space="preserve"> descriptive </w:t>
      </w:r>
      <w:r w:rsidR="00A7075C">
        <w:rPr>
          <w:rFonts w:ascii="Times New Roman" w:eastAsia="Times New Roman" w:hAnsi="Times New Roman" w:cs="Times New Roman"/>
          <w:color w:val="000000"/>
          <w:sz w:val="24"/>
          <w:szCs w:val="24"/>
          <w:lang w:eastAsia="en-GB"/>
        </w:rPr>
        <w:t>language such as ‘ship-bearing winds, crystal-clear courses’ and ‘fragrant grasses’ to enhance the narrative of the first part of Rollo’s quest.</w:t>
      </w:r>
      <w:r w:rsidR="00A7075C">
        <w:rPr>
          <w:rStyle w:val="FootnoteReference"/>
          <w:rFonts w:ascii="Times New Roman" w:eastAsia="Times New Roman" w:hAnsi="Times New Roman" w:cs="Times New Roman"/>
          <w:color w:val="000000"/>
          <w:sz w:val="24"/>
          <w:szCs w:val="24"/>
          <w:lang w:eastAsia="en-GB"/>
        </w:rPr>
        <w:footnoteReference w:id="4"/>
      </w:r>
      <w:r w:rsidR="00131FC6">
        <w:rPr>
          <w:rFonts w:ascii="Times New Roman" w:eastAsia="Times New Roman" w:hAnsi="Times New Roman" w:cs="Times New Roman"/>
          <w:color w:val="000000"/>
          <w:sz w:val="24"/>
          <w:szCs w:val="24"/>
          <w:lang w:eastAsia="en-GB"/>
        </w:rPr>
        <w:t xml:space="preserve"> </w:t>
      </w:r>
      <w:r w:rsidR="00395C00">
        <w:rPr>
          <w:rFonts w:ascii="Times New Roman" w:eastAsia="Times New Roman" w:hAnsi="Times New Roman" w:cs="Times New Roman"/>
          <w:color w:val="000000"/>
          <w:sz w:val="24"/>
          <w:szCs w:val="24"/>
          <w:lang w:eastAsia="en-GB"/>
        </w:rPr>
        <w:t xml:space="preserve">It could be </w:t>
      </w:r>
      <w:r w:rsidR="00395C00">
        <w:rPr>
          <w:rFonts w:ascii="Times New Roman" w:eastAsia="Times New Roman" w:hAnsi="Times New Roman" w:cs="Times New Roman"/>
          <w:color w:val="000000"/>
          <w:sz w:val="24"/>
          <w:szCs w:val="24"/>
          <w:lang w:eastAsia="en-GB"/>
        </w:rPr>
        <w:lastRenderedPageBreak/>
        <w:t>argued that the first part of the chapter draws parallels from the garden of Eden, in the way it is described with the descriptive language stated above. The garden of Eden is normally described using language such as pure</w:t>
      </w:r>
      <w:r w:rsidR="00CE7B62">
        <w:rPr>
          <w:rFonts w:ascii="Times New Roman" w:eastAsia="Times New Roman" w:hAnsi="Times New Roman" w:cs="Times New Roman"/>
          <w:color w:val="000000"/>
          <w:sz w:val="24"/>
          <w:szCs w:val="24"/>
          <w:lang w:eastAsia="en-GB"/>
        </w:rPr>
        <w:t xml:space="preserve"> and </w:t>
      </w:r>
      <w:r w:rsidR="00395C00">
        <w:rPr>
          <w:rFonts w:ascii="Times New Roman" w:eastAsia="Times New Roman" w:hAnsi="Times New Roman" w:cs="Times New Roman"/>
          <w:color w:val="000000"/>
          <w:sz w:val="24"/>
          <w:szCs w:val="24"/>
          <w:lang w:eastAsia="en-GB"/>
        </w:rPr>
        <w:t>clean</w:t>
      </w:r>
      <w:r w:rsidR="00CE7B62">
        <w:rPr>
          <w:rFonts w:ascii="Times New Roman" w:eastAsia="Times New Roman" w:hAnsi="Times New Roman" w:cs="Times New Roman"/>
          <w:color w:val="000000"/>
          <w:sz w:val="24"/>
          <w:szCs w:val="24"/>
          <w:lang w:eastAsia="en-GB"/>
        </w:rPr>
        <w:t>, a biblical utopia which is found in the book of Genesis and Dudo’s descriptive writing is very much dictated by religious undertones.</w:t>
      </w:r>
      <w:r w:rsidR="005574BB">
        <w:rPr>
          <w:rFonts w:ascii="Times New Roman" w:eastAsia="Times New Roman" w:hAnsi="Times New Roman" w:cs="Times New Roman"/>
          <w:color w:val="000000"/>
          <w:sz w:val="24"/>
          <w:szCs w:val="24"/>
          <w:lang w:eastAsia="en-GB"/>
        </w:rPr>
        <w:t xml:space="preserve"> It should be noted the</w:t>
      </w:r>
      <w:r w:rsidR="00CE7B62">
        <w:rPr>
          <w:rFonts w:ascii="Times New Roman" w:eastAsia="Times New Roman" w:hAnsi="Times New Roman" w:cs="Times New Roman"/>
          <w:color w:val="000000"/>
          <w:sz w:val="24"/>
          <w:szCs w:val="24"/>
          <w:lang w:eastAsia="en-GB"/>
        </w:rPr>
        <w:t xml:space="preserve"> Seine</w:t>
      </w:r>
      <w:r w:rsidR="009E4318">
        <w:rPr>
          <w:rFonts w:ascii="Times New Roman" w:eastAsia="Times New Roman" w:hAnsi="Times New Roman" w:cs="Times New Roman"/>
          <w:color w:val="000000"/>
          <w:sz w:val="24"/>
          <w:szCs w:val="24"/>
          <w:lang w:eastAsia="en-GB"/>
        </w:rPr>
        <w:t xml:space="preserve"> river</w:t>
      </w:r>
      <w:r w:rsidR="00CE7B62">
        <w:rPr>
          <w:rFonts w:ascii="Times New Roman" w:eastAsia="Times New Roman" w:hAnsi="Times New Roman" w:cs="Times New Roman"/>
          <w:color w:val="000000"/>
          <w:sz w:val="24"/>
          <w:szCs w:val="24"/>
          <w:lang w:eastAsia="en-GB"/>
        </w:rPr>
        <w:t xml:space="preserve"> which is described as crystal-clear is mentioned heavily within the </w:t>
      </w:r>
      <w:r w:rsidR="009E4318">
        <w:rPr>
          <w:rFonts w:ascii="Times New Roman" w:eastAsia="Times New Roman" w:hAnsi="Times New Roman" w:cs="Times New Roman"/>
          <w:color w:val="000000"/>
          <w:sz w:val="24"/>
          <w:szCs w:val="24"/>
          <w:lang w:eastAsia="en-GB"/>
        </w:rPr>
        <w:t>bible but</w:t>
      </w:r>
      <w:r w:rsidR="00CE7B62">
        <w:rPr>
          <w:rFonts w:ascii="Times New Roman" w:eastAsia="Times New Roman" w:hAnsi="Times New Roman" w:cs="Times New Roman"/>
          <w:color w:val="000000"/>
          <w:sz w:val="24"/>
          <w:szCs w:val="24"/>
          <w:lang w:eastAsia="en-GB"/>
        </w:rPr>
        <w:t xml:space="preserve"> is associated with the death of thousands of Christians</w:t>
      </w:r>
      <w:r w:rsidR="009E4318">
        <w:rPr>
          <w:rFonts w:ascii="Times New Roman" w:eastAsia="Times New Roman" w:hAnsi="Times New Roman" w:cs="Times New Roman"/>
          <w:color w:val="000000"/>
          <w:sz w:val="24"/>
          <w:szCs w:val="24"/>
          <w:lang w:eastAsia="en-GB"/>
        </w:rPr>
        <w:t xml:space="preserve">, which is not how it is depicted in later histories. </w:t>
      </w:r>
    </w:p>
    <w:p w14:paraId="09512A87" w14:textId="77777777" w:rsidR="00B91556" w:rsidRDefault="00B91556" w:rsidP="00782AA8">
      <w:pPr>
        <w:spacing w:after="0" w:line="360" w:lineRule="auto"/>
        <w:rPr>
          <w:rFonts w:ascii="Times New Roman" w:eastAsia="Times New Roman" w:hAnsi="Times New Roman" w:cs="Times New Roman"/>
          <w:color w:val="000000"/>
          <w:sz w:val="24"/>
          <w:szCs w:val="24"/>
          <w:lang w:eastAsia="en-GB"/>
        </w:rPr>
      </w:pPr>
    </w:p>
    <w:p w14:paraId="494A49EE" w14:textId="7B42E36B" w:rsidR="00036AA3" w:rsidRDefault="002A6B55" w:rsidP="00782AA8">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9E4318">
        <w:rPr>
          <w:rFonts w:ascii="Times New Roman" w:eastAsia="Times New Roman" w:hAnsi="Times New Roman" w:cs="Times New Roman"/>
          <w:color w:val="000000"/>
          <w:sz w:val="24"/>
          <w:szCs w:val="24"/>
          <w:lang w:eastAsia="en-GB"/>
        </w:rPr>
        <w:t xml:space="preserve">Moving on to the middle part of the text, it becomes more religious centred, as there is mention of several religious houses, for example the monastery of Saint Peter and the chapel of Saint Vedast. </w:t>
      </w:r>
      <w:r w:rsidR="00B91556">
        <w:rPr>
          <w:rFonts w:ascii="Times New Roman" w:eastAsia="Times New Roman" w:hAnsi="Times New Roman" w:cs="Times New Roman"/>
          <w:color w:val="000000"/>
          <w:sz w:val="24"/>
          <w:szCs w:val="24"/>
          <w:lang w:eastAsia="en-GB"/>
        </w:rPr>
        <w:t>To note, Saint Peter the Apostle is allegedly the patron saint of ‘netmakers, shipbuilders and fishermen’ activities of which the Normans ancestors</w:t>
      </w:r>
      <w:r w:rsidR="00423AF0">
        <w:rPr>
          <w:rFonts w:ascii="Times New Roman" w:eastAsia="Times New Roman" w:hAnsi="Times New Roman" w:cs="Times New Roman"/>
          <w:color w:val="000000"/>
          <w:sz w:val="24"/>
          <w:szCs w:val="24"/>
          <w:lang w:eastAsia="en-GB"/>
        </w:rPr>
        <w:t>,</w:t>
      </w:r>
      <w:r w:rsidR="00B91556">
        <w:rPr>
          <w:rFonts w:ascii="Times New Roman" w:eastAsia="Times New Roman" w:hAnsi="Times New Roman" w:cs="Times New Roman"/>
          <w:color w:val="000000"/>
          <w:sz w:val="24"/>
          <w:szCs w:val="24"/>
          <w:lang w:eastAsia="en-GB"/>
        </w:rPr>
        <w:t xml:space="preserve"> the Vikings and Norsemen were very skilled in, a characteristic which the Normans </w:t>
      </w:r>
      <w:r w:rsidR="00423AF0">
        <w:rPr>
          <w:rFonts w:ascii="Times New Roman" w:eastAsia="Times New Roman" w:hAnsi="Times New Roman" w:cs="Times New Roman"/>
          <w:color w:val="000000"/>
          <w:sz w:val="24"/>
          <w:szCs w:val="24"/>
          <w:lang w:eastAsia="en-GB"/>
        </w:rPr>
        <w:t xml:space="preserve">later </w:t>
      </w:r>
      <w:r w:rsidR="00B91556">
        <w:rPr>
          <w:rFonts w:ascii="Times New Roman" w:eastAsia="Times New Roman" w:hAnsi="Times New Roman" w:cs="Times New Roman"/>
          <w:color w:val="000000"/>
          <w:sz w:val="24"/>
          <w:szCs w:val="24"/>
          <w:lang w:eastAsia="en-GB"/>
        </w:rPr>
        <w:t>adopted.</w:t>
      </w:r>
      <w:r w:rsidR="00B91556">
        <w:rPr>
          <w:rStyle w:val="FootnoteReference"/>
          <w:rFonts w:ascii="Times New Roman" w:eastAsia="Times New Roman" w:hAnsi="Times New Roman" w:cs="Times New Roman"/>
          <w:color w:val="000000"/>
          <w:sz w:val="24"/>
          <w:szCs w:val="24"/>
          <w:lang w:eastAsia="en-GB"/>
        </w:rPr>
        <w:footnoteReference w:id="5"/>
      </w:r>
      <w:r w:rsidR="00423AF0">
        <w:rPr>
          <w:rFonts w:ascii="Times New Roman" w:eastAsia="Times New Roman" w:hAnsi="Times New Roman" w:cs="Times New Roman"/>
          <w:color w:val="000000"/>
          <w:sz w:val="24"/>
          <w:szCs w:val="24"/>
          <w:lang w:eastAsia="en-GB"/>
        </w:rPr>
        <w:t xml:space="preserve"> </w:t>
      </w:r>
      <w:r w:rsidR="00EB2DBE">
        <w:rPr>
          <w:rFonts w:ascii="Times New Roman" w:eastAsia="Times New Roman" w:hAnsi="Times New Roman" w:cs="Times New Roman"/>
          <w:color w:val="000000"/>
          <w:sz w:val="24"/>
          <w:szCs w:val="24"/>
          <w:lang w:eastAsia="en-GB"/>
        </w:rPr>
        <w:t>Furthermore</w:t>
      </w:r>
      <w:r w:rsidR="00423AF0">
        <w:rPr>
          <w:rFonts w:ascii="Times New Roman" w:eastAsia="Times New Roman" w:hAnsi="Times New Roman" w:cs="Times New Roman"/>
          <w:color w:val="000000"/>
          <w:sz w:val="24"/>
          <w:szCs w:val="24"/>
          <w:lang w:eastAsia="en-GB"/>
        </w:rPr>
        <w:t>, Saint Vedast is</w:t>
      </w:r>
      <w:r w:rsidR="00EB2DBE">
        <w:rPr>
          <w:rFonts w:ascii="Times New Roman" w:eastAsia="Times New Roman" w:hAnsi="Times New Roman" w:cs="Times New Roman"/>
          <w:color w:val="000000"/>
          <w:sz w:val="24"/>
          <w:szCs w:val="24"/>
          <w:lang w:eastAsia="en-GB"/>
        </w:rPr>
        <w:t xml:space="preserve"> commonly </w:t>
      </w:r>
      <w:r w:rsidR="00423AF0">
        <w:rPr>
          <w:rFonts w:ascii="Times New Roman" w:eastAsia="Times New Roman" w:hAnsi="Times New Roman" w:cs="Times New Roman"/>
          <w:color w:val="000000"/>
          <w:sz w:val="24"/>
          <w:szCs w:val="24"/>
          <w:lang w:eastAsia="en-GB"/>
        </w:rPr>
        <w:t xml:space="preserve">known in Normandy as Saint Vaast, </w:t>
      </w:r>
      <w:r w:rsidR="00EB2DBE">
        <w:rPr>
          <w:rFonts w:ascii="Times New Roman" w:eastAsia="Times New Roman" w:hAnsi="Times New Roman" w:cs="Times New Roman"/>
          <w:color w:val="000000"/>
          <w:sz w:val="24"/>
          <w:szCs w:val="24"/>
          <w:lang w:eastAsia="en-GB"/>
        </w:rPr>
        <w:t>who reportedly restored the Christian faith to those who were once Pagan. The Normans ancestors were predominantly Pagan and the use of Saint Vedast in this text could be strategical, to assert the image of them being pious Christians. Moreover</w:t>
      </w:r>
      <w:r w:rsidR="00466795">
        <w:rPr>
          <w:rFonts w:ascii="Times New Roman" w:eastAsia="Times New Roman" w:hAnsi="Times New Roman" w:cs="Times New Roman"/>
          <w:color w:val="000000"/>
          <w:sz w:val="24"/>
          <w:szCs w:val="24"/>
          <w:lang w:eastAsia="en-GB"/>
        </w:rPr>
        <w:t>,</w:t>
      </w:r>
      <w:r w:rsidR="00EB2DBE">
        <w:rPr>
          <w:rFonts w:ascii="Times New Roman" w:eastAsia="Times New Roman" w:hAnsi="Times New Roman" w:cs="Times New Roman"/>
          <w:color w:val="000000"/>
          <w:sz w:val="24"/>
          <w:szCs w:val="24"/>
          <w:lang w:eastAsia="en-GB"/>
        </w:rPr>
        <w:t xml:space="preserve"> the in the text Rollo is believed to have laid the body of ‘a </w:t>
      </w:r>
      <w:r w:rsidR="00466795">
        <w:rPr>
          <w:rFonts w:ascii="Times New Roman" w:eastAsia="Times New Roman" w:hAnsi="Times New Roman" w:cs="Times New Roman"/>
          <w:color w:val="000000"/>
          <w:sz w:val="24"/>
          <w:szCs w:val="24"/>
          <w:lang w:eastAsia="en-GB"/>
        </w:rPr>
        <w:t>certain virgin, Hameltrude’ at the altar of Saint Vedast.</w:t>
      </w:r>
      <w:r w:rsidR="00466795">
        <w:rPr>
          <w:rStyle w:val="FootnoteReference"/>
          <w:rFonts w:ascii="Times New Roman" w:eastAsia="Times New Roman" w:hAnsi="Times New Roman" w:cs="Times New Roman"/>
          <w:color w:val="000000"/>
          <w:sz w:val="24"/>
          <w:szCs w:val="24"/>
          <w:lang w:eastAsia="en-GB"/>
        </w:rPr>
        <w:footnoteReference w:id="6"/>
      </w:r>
      <w:r w:rsidR="00466795">
        <w:rPr>
          <w:rFonts w:ascii="Times New Roman" w:eastAsia="Times New Roman" w:hAnsi="Times New Roman" w:cs="Times New Roman"/>
          <w:color w:val="000000"/>
          <w:sz w:val="24"/>
          <w:szCs w:val="24"/>
          <w:lang w:eastAsia="en-GB"/>
        </w:rPr>
        <w:t xml:space="preserve"> Virginity in the biblical world is a </w:t>
      </w:r>
      <w:r w:rsidR="00CD3AC5">
        <w:rPr>
          <w:rFonts w:ascii="Times New Roman" w:eastAsia="Times New Roman" w:hAnsi="Times New Roman" w:cs="Times New Roman"/>
          <w:color w:val="000000"/>
          <w:sz w:val="24"/>
          <w:szCs w:val="24"/>
          <w:lang w:eastAsia="en-GB"/>
        </w:rPr>
        <w:t>very significant</w:t>
      </w:r>
      <w:r w:rsidR="00466795">
        <w:rPr>
          <w:rFonts w:ascii="Times New Roman" w:eastAsia="Times New Roman" w:hAnsi="Times New Roman" w:cs="Times New Roman"/>
          <w:color w:val="000000"/>
          <w:sz w:val="24"/>
          <w:szCs w:val="24"/>
          <w:lang w:eastAsia="en-GB"/>
        </w:rPr>
        <w:t xml:space="preserve"> concept which directly links to the virgin Mary, alongside </w:t>
      </w:r>
      <w:r w:rsidR="00CD3AC5">
        <w:rPr>
          <w:rFonts w:ascii="Times New Roman" w:eastAsia="Times New Roman" w:hAnsi="Times New Roman" w:cs="Times New Roman"/>
          <w:color w:val="000000"/>
          <w:sz w:val="24"/>
          <w:szCs w:val="24"/>
          <w:lang w:eastAsia="en-GB"/>
        </w:rPr>
        <w:t>this connection, virgins</w:t>
      </w:r>
      <w:r w:rsidR="00466795">
        <w:rPr>
          <w:rFonts w:ascii="Times New Roman" w:eastAsia="Times New Roman" w:hAnsi="Times New Roman" w:cs="Times New Roman"/>
          <w:color w:val="000000"/>
          <w:sz w:val="24"/>
          <w:szCs w:val="24"/>
          <w:lang w:eastAsia="en-GB"/>
        </w:rPr>
        <w:t xml:space="preserve"> </w:t>
      </w:r>
      <w:r w:rsidR="00CD3AC5">
        <w:rPr>
          <w:rFonts w:ascii="Times New Roman" w:eastAsia="Times New Roman" w:hAnsi="Times New Roman" w:cs="Times New Roman"/>
          <w:color w:val="000000"/>
          <w:sz w:val="24"/>
          <w:szCs w:val="24"/>
          <w:lang w:eastAsia="en-GB"/>
        </w:rPr>
        <w:t xml:space="preserve">in the bible are </w:t>
      </w:r>
      <w:r w:rsidR="00466795">
        <w:rPr>
          <w:rFonts w:ascii="Times New Roman" w:eastAsia="Times New Roman" w:hAnsi="Times New Roman" w:cs="Times New Roman"/>
          <w:color w:val="000000"/>
          <w:sz w:val="24"/>
          <w:szCs w:val="24"/>
          <w:lang w:eastAsia="en-GB"/>
        </w:rPr>
        <w:t>c</w:t>
      </w:r>
      <w:r w:rsidR="00CD3AC5">
        <w:rPr>
          <w:rFonts w:ascii="Times New Roman" w:eastAsia="Times New Roman" w:hAnsi="Times New Roman" w:cs="Times New Roman"/>
          <w:color w:val="000000"/>
          <w:sz w:val="24"/>
          <w:szCs w:val="24"/>
          <w:lang w:eastAsia="en-GB"/>
        </w:rPr>
        <w:t xml:space="preserve">onsidered </w:t>
      </w:r>
      <w:r w:rsidR="00466795">
        <w:rPr>
          <w:rFonts w:ascii="Times New Roman" w:eastAsia="Times New Roman" w:hAnsi="Times New Roman" w:cs="Times New Roman"/>
          <w:color w:val="000000"/>
          <w:sz w:val="24"/>
          <w:szCs w:val="24"/>
          <w:lang w:eastAsia="en-GB"/>
        </w:rPr>
        <w:t>pure and vestals which</w:t>
      </w:r>
      <w:r w:rsidR="00CD3AC5">
        <w:rPr>
          <w:rFonts w:ascii="Times New Roman" w:eastAsia="Times New Roman" w:hAnsi="Times New Roman" w:cs="Times New Roman"/>
          <w:color w:val="000000"/>
          <w:sz w:val="24"/>
          <w:szCs w:val="24"/>
          <w:lang w:eastAsia="en-GB"/>
        </w:rPr>
        <w:t xml:space="preserve"> build a connection between</w:t>
      </w:r>
      <w:r w:rsidR="00466795">
        <w:rPr>
          <w:rFonts w:ascii="Times New Roman" w:eastAsia="Times New Roman" w:hAnsi="Times New Roman" w:cs="Times New Roman"/>
          <w:color w:val="000000"/>
          <w:sz w:val="24"/>
          <w:szCs w:val="24"/>
          <w:lang w:eastAsia="en-GB"/>
        </w:rPr>
        <w:t xml:space="preserve"> those </w:t>
      </w:r>
      <w:r w:rsidR="00782AA8">
        <w:rPr>
          <w:rFonts w:ascii="Times New Roman" w:eastAsia="Times New Roman" w:hAnsi="Times New Roman" w:cs="Times New Roman"/>
          <w:color w:val="000000"/>
          <w:sz w:val="24"/>
          <w:szCs w:val="24"/>
          <w:lang w:eastAsia="en-GB"/>
        </w:rPr>
        <w:t>living</w:t>
      </w:r>
      <w:r w:rsidR="00466795">
        <w:rPr>
          <w:rFonts w:ascii="Times New Roman" w:eastAsia="Times New Roman" w:hAnsi="Times New Roman" w:cs="Times New Roman"/>
          <w:color w:val="000000"/>
          <w:sz w:val="24"/>
          <w:szCs w:val="24"/>
          <w:lang w:eastAsia="en-GB"/>
        </w:rPr>
        <w:t xml:space="preserve"> to the </w:t>
      </w:r>
      <w:r w:rsidR="00242E79">
        <w:rPr>
          <w:rFonts w:ascii="Times New Roman" w:eastAsia="Times New Roman" w:hAnsi="Times New Roman" w:cs="Times New Roman"/>
          <w:color w:val="000000"/>
          <w:sz w:val="24"/>
          <w:szCs w:val="24"/>
          <w:lang w:eastAsia="en-GB"/>
        </w:rPr>
        <w:t>L</w:t>
      </w:r>
      <w:r w:rsidR="00CD3AC5">
        <w:rPr>
          <w:rFonts w:ascii="Times New Roman" w:eastAsia="Times New Roman" w:hAnsi="Times New Roman" w:cs="Times New Roman"/>
          <w:color w:val="000000"/>
          <w:sz w:val="24"/>
          <w:szCs w:val="24"/>
          <w:lang w:eastAsia="en-GB"/>
        </w:rPr>
        <w:t xml:space="preserve">ord himself. Rollo placing the body of a virgin upon an altar, he could be seeking absolution for his sins or for the </w:t>
      </w:r>
      <w:r w:rsidR="00242E79">
        <w:rPr>
          <w:rFonts w:ascii="Times New Roman" w:eastAsia="Times New Roman" w:hAnsi="Times New Roman" w:cs="Times New Roman"/>
          <w:color w:val="000000"/>
          <w:sz w:val="24"/>
          <w:szCs w:val="24"/>
          <w:lang w:eastAsia="en-GB"/>
        </w:rPr>
        <w:t>Lord’s</w:t>
      </w:r>
      <w:r w:rsidR="00CD3AC5">
        <w:rPr>
          <w:rFonts w:ascii="Times New Roman" w:eastAsia="Times New Roman" w:hAnsi="Times New Roman" w:cs="Times New Roman"/>
          <w:color w:val="000000"/>
          <w:sz w:val="24"/>
          <w:szCs w:val="24"/>
          <w:lang w:eastAsia="en-GB"/>
        </w:rPr>
        <w:t xml:space="preserve"> approval. </w:t>
      </w:r>
    </w:p>
    <w:p w14:paraId="0954E2FA" w14:textId="77777777" w:rsidR="00036AA3" w:rsidRDefault="00036AA3" w:rsidP="00782AA8">
      <w:pPr>
        <w:spacing w:after="0" w:line="360" w:lineRule="auto"/>
        <w:rPr>
          <w:rFonts w:ascii="Times New Roman" w:eastAsia="Times New Roman" w:hAnsi="Times New Roman" w:cs="Times New Roman"/>
          <w:color w:val="000000"/>
          <w:sz w:val="24"/>
          <w:szCs w:val="24"/>
          <w:lang w:eastAsia="en-GB"/>
        </w:rPr>
      </w:pPr>
    </w:p>
    <w:p w14:paraId="4933062E" w14:textId="2F057003" w:rsidR="00D02DF8" w:rsidRDefault="002A6B55" w:rsidP="00782AA8">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CD3AC5">
        <w:rPr>
          <w:rFonts w:ascii="Times New Roman" w:eastAsia="Times New Roman" w:hAnsi="Times New Roman" w:cs="Times New Roman"/>
          <w:color w:val="000000"/>
          <w:sz w:val="24"/>
          <w:szCs w:val="24"/>
          <w:lang w:eastAsia="en-GB"/>
        </w:rPr>
        <w:t xml:space="preserve">The last part of the text before Rollo’s spiritual vision for Rouen, describes </w:t>
      </w:r>
      <w:r w:rsidR="00242E79">
        <w:rPr>
          <w:rFonts w:ascii="Times New Roman" w:eastAsia="Times New Roman" w:hAnsi="Times New Roman" w:cs="Times New Roman"/>
          <w:color w:val="000000"/>
          <w:sz w:val="24"/>
          <w:szCs w:val="24"/>
          <w:lang w:eastAsia="en-GB"/>
        </w:rPr>
        <w:t>the people of Rouen as a ‘defenceless mass, a small and defenceless band’ which after negotiations with Bishop Franco, Rollo being their saviour, gives them his ‘guarantee of safety’.</w:t>
      </w:r>
      <w:r w:rsidR="00242E79">
        <w:rPr>
          <w:rStyle w:val="FootnoteReference"/>
          <w:rFonts w:ascii="Times New Roman" w:eastAsia="Times New Roman" w:hAnsi="Times New Roman" w:cs="Times New Roman"/>
          <w:color w:val="000000"/>
          <w:sz w:val="24"/>
          <w:szCs w:val="24"/>
          <w:lang w:eastAsia="en-GB"/>
        </w:rPr>
        <w:footnoteReference w:id="7"/>
      </w:r>
      <w:r w:rsidR="00424FF4">
        <w:rPr>
          <w:rFonts w:ascii="Times New Roman" w:eastAsia="Times New Roman" w:hAnsi="Times New Roman" w:cs="Times New Roman"/>
          <w:color w:val="000000"/>
          <w:sz w:val="24"/>
          <w:szCs w:val="24"/>
          <w:lang w:eastAsia="en-GB"/>
        </w:rPr>
        <w:t xml:space="preserve"> In addition to the defenceless occupants of Rouen, the town is depicted as a destitute, </w:t>
      </w:r>
      <w:r w:rsidR="003755AB">
        <w:rPr>
          <w:rFonts w:ascii="Times New Roman" w:eastAsia="Times New Roman" w:hAnsi="Times New Roman" w:cs="Times New Roman"/>
          <w:color w:val="000000"/>
          <w:sz w:val="24"/>
          <w:szCs w:val="24"/>
          <w:lang w:eastAsia="en-GB"/>
        </w:rPr>
        <w:t>impoverished place. Dudo describes Rollo seeing, ‘monuments laid in ruins’, sanctuaries and churches ‘shaken from their foundations’, once again making sure religion is incorporated.</w:t>
      </w:r>
      <w:r w:rsidR="003755AB">
        <w:rPr>
          <w:rStyle w:val="FootnoteReference"/>
          <w:rFonts w:ascii="Times New Roman" w:eastAsia="Times New Roman" w:hAnsi="Times New Roman" w:cs="Times New Roman"/>
          <w:color w:val="000000"/>
          <w:sz w:val="24"/>
          <w:szCs w:val="24"/>
          <w:lang w:eastAsia="en-GB"/>
        </w:rPr>
        <w:footnoteReference w:id="8"/>
      </w:r>
      <w:r w:rsidR="003755AB">
        <w:rPr>
          <w:rFonts w:ascii="Times New Roman" w:eastAsia="Times New Roman" w:hAnsi="Times New Roman" w:cs="Times New Roman"/>
          <w:color w:val="000000"/>
          <w:sz w:val="24"/>
          <w:szCs w:val="24"/>
          <w:lang w:eastAsia="en-GB"/>
        </w:rPr>
        <w:t xml:space="preserve"> Dudo </w:t>
      </w:r>
      <w:r w:rsidR="007D2B17">
        <w:rPr>
          <w:rFonts w:ascii="Times New Roman" w:eastAsia="Times New Roman" w:hAnsi="Times New Roman" w:cs="Times New Roman"/>
          <w:color w:val="000000"/>
          <w:sz w:val="24"/>
          <w:szCs w:val="24"/>
          <w:lang w:eastAsia="en-GB"/>
        </w:rPr>
        <w:t>in every part of</w:t>
      </w:r>
      <w:r w:rsidR="003755AB">
        <w:rPr>
          <w:rFonts w:ascii="Times New Roman" w:eastAsia="Times New Roman" w:hAnsi="Times New Roman" w:cs="Times New Roman"/>
          <w:color w:val="000000"/>
          <w:sz w:val="24"/>
          <w:szCs w:val="24"/>
          <w:lang w:eastAsia="en-GB"/>
        </w:rPr>
        <w:t xml:space="preserve"> this text portrays Rollo as the saviour, </w:t>
      </w:r>
      <w:r w:rsidR="007D2B17">
        <w:rPr>
          <w:rFonts w:ascii="Times New Roman" w:eastAsia="Times New Roman" w:hAnsi="Times New Roman" w:cs="Times New Roman"/>
          <w:color w:val="000000"/>
          <w:sz w:val="24"/>
          <w:szCs w:val="24"/>
          <w:lang w:eastAsia="en-GB"/>
        </w:rPr>
        <w:t xml:space="preserve">the </w:t>
      </w:r>
      <w:r w:rsidR="003755AB">
        <w:rPr>
          <w:rFonts w:ascii="Times New Roman" w:eastAsia="Times New Roman" w:hAnsi="Times New Roman" w:cs="Times New Roman"/>
          <w:color w:val="000000"/>
          <w:sz w:val="24"/>
          <w:szCs w:val="24"/>
          <w:lang w:eastAsia="en-GB"/>
        </w:rPr>
        <w:t>hero of Rouen</w:t>
      </w:r>
      <w:r w:rsidR="007D2B17">
        <w:rPr>
          <w:rFonts w:ascii="Times New Roman" w:eastAsia="Times New Roman" w:hAnsi="Times New Roman" w:cs="Times New Roman"/>
          <w:color w:val="000000"/>
          <w:sz w:val="24"/>
          <w:szCs w:val="24"/>
          <w:lang w:eastAsia="en-GB"/>
        </w:rPr>
        <w:t xml:space="preserve">, sent to save them. </w:t>
      </w:r>
    </w:p>
    <w:p w14:paraId="449AC495" w14:textId="00744E44" w:rsidR="008D286D" w:rsidRDefault="008D286D" w:rsidP="00782AA8">
      <w:pPr>
        <w:spacing w:after="0" w:line="360" w:lineRule="auto"/>
        <w:rPr>
          <w:rFonts w:ascii="Times New Roman" w:eastAsia="Times New Roman" w:hAnsi="Times New Roman" w:cs="Times New Roman"/>
          <w:color w:val="000000"/>
          <w:sz w:val="24"/>
          <w:szCs w:val="24"/>
          <w:lang w:eastAsia="en-GB"/>
        </w:rPr>
      </w:pPr>
    </w:p>
    <w:p w14:paraId="08EB3AC8" w14:textId="6EE86E82" w:rsidR="008D286D" w:rsidRDefault="002A6B55" w:rsidP="00782AA8">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8D286D">
        <w:rPr>
          <w:rFonts w:ascii="Times New Roman" w:eastAsia="Times New Roman" w:hAnsi="Times New Roman" w:cs="Times New Roman"/>
          <w:color w:val="000000"/>
          <w:sz w:val="24"/>
          <w:szCs w:val="24"/>
          <w:lang w:eastAsia="en-GB"/>
        </w:rPr>
        <w:t>Pressing forward, Rollo is said to have become ‘perplexed in spirit’ which led to him recounting his extravagant vision for Rouen in a poetic fashion.</w:t>
      </w:r>
      <w:r w:rsidR="00186DA0">
        <w:rPr>
          <w:rStyle w:val="FootnoteReference"/>
          <w:rFonts w:ascii="Times New Roman" w:eastAsia="Times New Roman" w:hAnsi="Times New Roman" w:cs="Times New Roman"/>
          <w:color w:val="000000"/>
          <w:sz w:val="24"/>
          <w:szCs w:val="24"/>
          <w:lang w:eastAsia="en-GB"/>
        </w:rPr>
        <w:footnoteReference w:id="9"/>
      </w:r>
      <w:r w:rsidR="00186DA0">
        <w:rPr>
          <w:rFonts w:ascii="Times New Roman" w:eastAsia="Times New Roman" w:hAnsi="Times New Roman" w:cs="Times New Roman"/>
          <w:color w:val="000000"/>
          <w:sz w:val="24"/>
          <w:szCs w:val="24"/>
          <w:lang w:eastAsia="en-GB"/>
        </w:rPr>
        <w:t xml:space="preserve"> The vision of Rollo uses language such as ‘mighty duke, most superior leader, Christ’s gift</w:t>
      </w:r>
      <w:r w:rsidR="00036AA3">
        <w:rPr>
          <w:rFonts w:ascii="Times New Roman" w:eastAsia="Times New Roman" w:hAnsi="Times New Roman" w:cs="Times New Roman"/>
          <w:color w:val="000000"/>
          <w:sz w:val="24"/>
          <w:szCs w:val="24"/>
          <w:lang w:eastAsia="en-GB"/>
        </w:rPr>
        <w:t>’ all of which are to describe Rollo through the eyes of the people he saved.</w:t>
      </w:r>
      <w:r w:rsidR="00036AA3">
        <w:rPr>
          <w:rStyle w:val="FootnoteReference"/>
          <w:rFonts w:ascii="Times New Roman" w:eastAsia="Times New Roman" w:hAnsi="Times New Roman" w:cs="Times New Roman"/>
          <w:color w:val="000000"/>
          <w:sz w:val="24"/>
          <w:szCs w:val="24"/>
          <w:lang w:eastAsia="en-GB"/>
        </w:rPr>
        <w:footnoteReference w:id="10"/>
      </w:r>
      <w:r w:rsidR="00036AA3">
        <w:rPr>
          <w:rFonts w:ascii="Times New Roman" w:eastAsia="Times New Roman" w:hAnsi="Times New Roman" w:cs="Times New Roman"/>
          <w:color w:val="000000"/>
          <w:sz w:val="24"/>
          <w:szCs w:val="24"/>
          <w:lang w:eastAsia="en-GB"/>
        </w:rPr>
        <w:t xml:space="preserve"> The vision is based off how the people of Rouen will see Rollo once he saves their destitute town. Rollo sees himself as a disciple of God, sent on this quest to fulfil the prophecy of which God bestowed upon him in his dreams. </w:t>
      </w:r>
    </w:p>
    <w:p w14:paraId="4E5DBCEB" w14:textId="7D2568F8" w:rsidR="00036AA3" w:rsidRDefault="00036AA3" w:rsidP="00782AA8">
      <w:pPr>
        <w:spacing w:after="0" w:line="360" w:lineRule="auto"/>
        <w:rPr>
          <w:rFonts w:ascii="Times New Roman" w:eastAsia="Times New Roman" w:hAnsi="Times New Roman" w:cs="Times New Roman"/>
          <w:color w:val="000000"/>
          <w:sz w:val="24"/>
          <w:szCs w:val="24"/>
          <w:lang w:eastAsia="en-GB"/>
        </w:rPr>
      </w:pPr>
    </w:p>
    <w:p w14:paraId="02C4F8B6" w14:textId="77913CAB" w:rsidR="004B596E" w:rsidRDefault="002A6B55" w:rsidP="00782AA8">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114C59">
        <w:rPr>
          <w:rFonts w:ascii="Times New Roman" w:eastAsia="Times New Roman" w:hAnsi="Times New Roman" w:cs="Times New Roman"/>
          <w:color w:val="000000"/>
          <w:sz w:val="24"/>
          <w:szCs w:val="24"/>
          <w:lang w:eastAsia="en-GB"/>
        </w:rPr>
        <w:t>To summarise, this source is very elaborated and religious focused. Through the language, wording and narrative that Dudo was commissioned to write, he paints Richard I’s grandfather Rollo as a saviour of men, like the Lord. This type of Norman source is rather similar and draws parallels with other sources from this period, such as sources found at Montecassino Abbey.</w:t>
      </w:r>
      <w:r w:rsidR="00D73E1E">
        <w:rPr>
          <w:rFonts w:ascii="Times New Roman" w:eastAsia="Times New Roman" w:hAnsi="Times New Roman" w:cs="Times New Roman"/>
          <w:color w:val="000000"/>
          <w:sz w:val="24"/>
          <w:szCs w:val="24"/>
          <w:lang w:eastAsia="en-GB"/>
        </w:rPr>
        <w:t xml:space="preserve"> Italian monk, Amatus writes several pieces describing the Normans that settled in Italy, describing them as having ‘paternal ties’ to God, the same religious undertones which is present in Dudo’s work.</w:t>
      </w:r>
      <w:r w:rsidR="00A46961">
        <w:rPr>
          <w:rStyle w:val="FootnoteReference"/>
          <w:rFonts w:ascii="Times New Roman" w:eastAsia="Times New Roman" w:hAnsi="Times New Roman" w:cs="Times New Roman"/>
          <w:color w:val="000000"/>
          <w:sz w:val="24"/>
          <w:szCs w:val="24"/>
          <w:lang w:eastAsia="en-GB"/>
        </w:rPr>
        <w:footnoteReference w:id="11"/>
      </w:r>
      <w:r w:rsidR="00D73E1E">
        <w:rPr>
          <w:rFonts w:ascii="Times New Roman" w:eastAsia="Times New Roman" w:hAnsi="Times New Roman" w:cs="Times New Roman"/>
          <w:color w:val="000000"/>
          <w:sz w:val="24"/>
          <w:szCs w:val="24"/>
          <w:lang w:eastAsia="en-GB"/>
        </w:rPr>
        <w:t xml:space="preserve"> </w:t>
      </w:r>
      <w:r w:rsidR="001E52F8">
        <w:rPr>
          <w:rFonts w:ascii="Times New Roman" w:eastAsia="Times New Roman" w:hAnsi="Times New Roman" w:cs="Times New Roman"/>
          <w:color w:val="000000"/>
          <w:sz w:val="24"/>
          <w:szCs w:val="24"/>
          <w:lang w:eastAsia="en-GB"/>
        </w:rPr>
        <w:t xml:space="preserve">It could be argued chapter 10 of the </w:t>
      </w:r>
      <w:r w:rsidR="001E52F8" w:rsidRPr="001E52F8">
        <w:rPr>
          <w:rFonts w:ascii="Times New Roman" w:eastAsia="Times New Roman" w:hAnsi="Times New Roman" w:cs="Times New Roman"/>
          <w:i/>
          <w:iCs/>
          <w:color w:val="000000"/>
          <w:sz w:val="24"/>
          <w:szCs w:val="24"/>
          <w:lang w:eastAsia="en-GB"/>
        </w:rPr>
        <w:t>Gesta Normannorum</w:t>
      </w:r>
      <w:r w:rsidR="001E52F8">
        <w:rPr>
          <w:rFonts w:ascii="Times New Roman" w:eastAsia="Times New Roman" w:hAnsi="Times New Roman" w:cs="Times New Roman"/>
          <w:color w:val="000000"/>
          <w:sz w:val="24"/>
          <w:szCs w:val="24"/>
          <w:lang w:eastAsia="en-GB"/>
        </w:rPr>
        <w:t xml:space="preserve"> is representative of the type of sources written during this period, as it is deliberately religiously embellished to highlight how Christian the Normans were, rather than brutish, evil, animal like group external sources </w:t>
      </w:r>
      <w:r w:rsidR="007C7890">
        <w:rPr>
          <w:rFonts w:ascii="Times New Roman" w:eastAsia="Times New Roman" w:hAnsi="Times New Roman" w:cs="Times New Roman"/>
          <w:color w:val="000000"/>
          <w:sz w:val="24"/>
          <w:szCs w:val="24"/>
          <w:lang w:eastAsia="en-GB"/>
        </w:rPr>
        <w:t>depict them</w:t>
      </w:r>
      <w:r w:rsidR="00C93D4A">
        <w:rPr>
          <w:rFonts w:ascii="Times New Roman" w:eastAsia="Times New Roman" w:hAnsi="Times New Roman" w:cs="Times New Roman"/>
          <w:color w:val="000000"/>
          <w:sz w:val="24"/>
          <w:szCs w:val="24"/>
          <w:lang w:eastAsia="en-GB"/>
        </w:rPr>
        <w:t>,</w:t>
      </w:r>
      <w:r w:rsidR="007C7890">
        <w:rPr>
          <w:rFonts w:ascii="Times New Roman" w:eastAsia="Times New Roman" w:hAnsi="Times New Roman" w:cs="Times New Roman"/>
          <w:color w:val="000000"/>
          <w:sz w:val="24"/>
          <w:szCs w:val="24"/>
          <w:lang w:eastAsia="en-GB"/>
        </w:rPr>
        <w:t xml:space="preserve"> which can be seen in sources from those they conquered. </w:t>
      </w:r>
    </w:p>
    <w:p w14:paraId="2ADC6269" w14:textId="77777777" w:rsidR="00C93D4A" w:rsidRDefault="00C93D4A" w:rsidP="00782AA8">
      <w:pPr>
        <w:spacing w:after="0" w:line="360" w:lineRule="auto"/>
        <w:rPr>
          <w:rFonts w:ascii="Times New Roman" w:eastAsia="Times New Roman" w:hAnsi="Times New Roman" w:cs="Times New Roman"/>
          <w:color w:val="000000"/>
          <w:sz w:val="24"/>
          <w:szCs w:val="24"/>
          <w:lang w:eastAsia="en-GB"/>
        </w:rPr>
      </w:pPr>
    </w:p>
    <w:p w14:paraId="1F38FDFD" w14:textId="354030D8" w:rsidR="00036AA3" w:rsidRPr="00857FFB" w:rsidRDefault="00C93D4A" w:rsidP="00782AA8">
      <w:pPr>
        <w:spacing w:after="0" w:line="360" w:lineRule="auto"/>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     </w:t>
      </w:r>
      <w:r w:rsidR="007C7890">
        <w:rPr>
          <w:rFonts w:ascii="Times New Roman" w:eastAsia="Times New Roman" w:hAnsi="Times New Roman" w:cs="Times New Roman"/>
          <w:color w:val="000000"/>
          <w:sz w:val="24"/>
          <w:szCs w:val="24"/>
          <w:lang w:eastAsia="en-GB"/>
        </w:rPr>
        <w:t xml:space="preserve">The way the Normans want to </w:t>
      </w:r>
      <w:r w:rsidR="00857FFB">
        <w:rPr>
          <w:rFonts w:ascii="Times New Roman" w:eastAsia="Times New Roman" w:hAnsi="Times New Roman" w:cs="Times New Roman"/>
          <w:color w:val="000000"/>
          <w:sz w:val="24"/>
          <w:szCs w:val="24"/>
          <w:lang w:eastAsia="en-GB"/>
        </w:rPr>
        <w:t>be portrayed;</w:t>
      </w:r>
      <w:r w:rsidR="007C7890">
        <w:rPr>
          <w:rFonts w:ascii="Times New Roman" w:eastAsia="Times New Roman" w:hAnsi="Times New Roman" w:cs="Times New Roman"/>
          <w:color w:val="000000"/>
          <w:sz w:val="24"/>
          <w:szCs w:val="24"/>
          <w:lang w:eastAsia="en-GB"/>
        </w:rPr>
        <w:t xml:space="preserve"> their external identity has raised questions about their </w:t>
      </w:r>
      <w:r w:rsidR="00857FFB">
        <w:rPr>
          <w:rFonts w:ascii="Times New Roman" w:eastAsia="Times New Roman" w:hAnsi="Times New Roman" w:cs="Times New Roman"/>
          <w:color w:val="000000"/>
          <w:sz w:val="24"/>
          <w:szCs w:val="24"/>
          <w:lang w:eastAsia="en-GB"/>
        </w:rPr>
        <w:t>internal identity. This has led to the majority of modern Norman historiography debating Norman identity, trying to understand was is true and what is manipulated. Foremost, being</w:t>
      </w:r>
      <w:r w:rsidR="00D73E1E">
        <w:rPr>
          <w:rFonts w:ascii="Times New Roman" w:eastAsia="Times New Roman" w:hAnsi="Times New Roman" w:cs="Times New Roman"/>
          <w:color w:val="000000"/>
          <w:sz w:val="24"/>
          <w:szCs w:val="24"/>
          <w:lang w:eastAsia="en-GB"/>
        </w:rPr>
        <w:t xml:space="preserve"> perceived as devout Christians is important to the Normans, which is examined </w:t>
      </w:r>
      <w:r w:rsidR="00857FFB">
        <w:rPr>
          <w:rFonts w:ascii="Times New Roman" w:eastAsia="Times New Roman" w:hAnsi="Times New Roman" w:cs="Times New Roman"/>
          <w:color w:val="000000"/>
          <w:sz w:val="24"/>
          <w:szCs w:val="24"/>
          <w:lang w:eastAsia="en-GB"/>
        </w:rPr>
        <w:t>in depth</w:t>
      </w:r>
      <w:r w:rsidR="00D73E1E">
        <w:rPr>
          <w:rFonts w:ascii="Times New Roman" w:eastAsia="Times New Roman" w:hAnsi="Times New Roman" w:cs="Times New Roman"/>
          <w:color w:val="000000"/>
          <w:sz w:val="24"/>
          <w:szCs w:val="24"/>
          <w:lang w:eastAsia="en-GB"/>
        </w:rPr>
        <w:t xml:space="preserve"> by historians such as Nick Webber, </w:t>
      </w:r>
      <w:r w:rsidR="008714A1">
        <w:rPr>
          <w:rFonts w:ascii="Times New Roman" w:eastAsia="Times New Roman" w:hAnsi="Times New Roman" w:cs="Times New Roman"/>
          <w:color w:val="000000"/>
          <w:sz w:val="24"/>
          <w:szCs w:val="24"/>
          <w:lang w:eastAsia="en-GB"/>
        </w:rPr>
        <w:t xml:space="preserve">Trevor </w:t>
      </w:r>
      <w:r w:rsidR="002A6B55">
        <w:rPr>
          <w:rFonts w:ascii="Times New Roman" w:eastAsia="Times New Roman" w:hAnsi="Times New Roman" w:cs="Times New Roman"/>
          <w:color w:val="000000"/>
          <w:sz w:val="24"/>
          <w:szCs w:val="24"/>
          <w:lang w:eastAsia="en-GB"/>
        </w:rPr>
        <w:t>Rowley,</w:t>
      </w:r>
      <w:r w:rsidR="00D73E1E">
        <w:rPr>
          <w:rFonts w:ascii="Times New Roman" w:eastAsia="Times New Roman" w:hAnsi="Times New Roman" w:cs="Times New Roman"/>
          <w:color w:val="000000"/>
          <w:sz w:val="24"/>
          <w:szCs w:val="24"/>
          <w:lang w:eastAsia="en-GB"/>
        </w:rPr>
        <w:t xml:space="preserve"> and R.H.C Davis who </w:t>
      </w:r>
      <w:r w:rsidR="001E52F8">
        <w:rPr>
          <w:rFonts w:ascii="Times New Roman" w:eastAsia="Times New Roman" w:hAnsi="Times New Roman" w:cs="Times New Roman"/>
          <w:color w:val="000000"/>
          <w:sz w:val="24"/>
          <w:szCs w:val="24"/>
          <w:lang w:eastAsia="en-GB"/>
        </w:rPr>
        <w:t>investigate</w:t>
      </w:r>
      <w:r w:rsidR="00D73E1E">
        <w:rPr>
          <w:rFonts w:ascii="Times New Roman" w:eastAsia="Times New Roman" w:hAnsi="Times New Roman" w:cs="Times New Roman"/>
          <w:color w:val="000000"/>
          <w:sz w:val="24"/>
          <w:szCs w:val="24"/>
          <w:lang w:eastAsia="en-GB"/>
        </w:rPr>
        <w:t xml:space="preserve"> Norman identity.</w:t>
      </w:r>
      <w:r w:rsidR="004B596E">
        <w:rPr>
          <w:rFonts w:ascii="Times New Roman" w:eastAsia="Times New Roman" w:hAnsi="Times New Roman" w:cs="Times New Roman"/>
          <w:color w:val="000000"/>
          <w:sz w:val="24"/>
          <w:szCs w:val="24"/>
          <w:lang w:eastAsia="en-GB"/>
        </w:rPr>
        <w:t xml:space="preserve"> Webber examines the internal identity of the Normans extensively, firstly examining the work of Dudo, which he is clearly sceptical, as he states ‘If Dudo of St-Quentin is to be believed’.</w:t>
      </w:r>
      <w:r w:rsidR="00FE51DB">
        <w:rPr>
          <w:rStyle w:val="FootnoteReference"/>
          <w:rFonts w:ascii="Times New Roman" w:eastAsia="Times New Roman" w:hAnsi="Times New Roman" w:cs="Times New Roman"/>
          <w:color w:val="000000"/>
          <w:sz w:val="24"/>
          <w:szCs w:val="24"/>
          <w:lang w:eastAsia="en-GB"/>
        </w:rPr>
        <w:footnoteReference w:id="12"/>
      </w:r>
      <w:r w:rsidR="004B596E">
        <w:rPr>
          <w:rFonts w:ascii="Times New Roman" w:eastAsia="Times New Roman" w:hAnsi="Times New Roman" w:cs="Times New Roman"/>
          <w:color w:val="000000"/>
          <w:sz w:val="24"/>
          <w:szCs w:val="24"/>
          <w:lang w:eastAsia="en-GB"/>
        </w:rPr>
        <w:t xml:space="preserve"> This suggests the </w:t>
      </w:r>
      <w:r w:rsidR="004B596E" w:rsidRPr="004B596E">
        <w:rPr>
          <w:rFonts w:ascii="Times New Roman" w:eastAsia="Times New Roman" w:hAnsi="Times New Roman" w:cs="Times New Roman"/>
          <w:i/>
          <w:iCs/>
          <w:color w:val="000000"/>
          <w:sz w:val="24"/>
          <w:szCs w:val="24"/>
          <w:lang w:eastAsia="en-GB"/>
        </w:rPr>
        <w:t>Gesta Normannorum</w:t>
      </w:r>
      <w:r w:rsidR="00FE51DB">
        <w:rPr>
          <w:rFonts w:ascii="Times New Roman" w:eastAsia="Times New Roman" w:hAnsi="Times New Roman" w:cs="Times New Roman"/>
          <w:color w:val="000000"/>
          <w:sz w:val="24"/>
          <w:szCs w:val="24"/>
          <w:lang w:eastAsia="en-GB"/>
        </w:rPr>
        <w:t xml:space="preserve">, </w:t>
      </w:r>
      <w:r w:rsidR="004B596E">
        <w:rPr>
          <w:rFonts w:ascii="Times New Roman" w:eastAsia="Times New Roman" w:hAnsi="Times New Roman" w:cs="Times New Roman"/>
          <w:color w:val="000000"/>
          <w:sz w:val="24"/>
          <w:szCs w:val="24"/>
          <w:lang w:eastAsia="en-GB"/>
        </w:rPr>
        <w:t>which he is referring to is to</w:t>
      </w:r>
      <w:r w:rsidR="00FE51DB">
        <w:rPr>
          <w:rFonts w:ascii="Times New Roman" w:eastAsia="Times New Roman" w:hAnsi="Times New Roman" w:cs="Times New Roman"/>
          <w:color w:val="000000"/>
          <w:sz w:val="24"/>
          <w:szCs w:val="24"/>
          <w:lang w:eastAsia="en-GB"/>
        </w:rPr>
        <w:t>, should</w:t>
      </w:r>
      <w:r w:rsidR="004B596E">
        <w:rPr>
          <w:rFonts w:ascii="Times New Roman" w:eastAsia="Times New Roman" w:hAnsi="Times New Roman" w:cs="Times New Roman"/>
          <w:color w:val="000000"/>
          <w:sz w:val="24"/>
          <w:szCs w:val="24"/>
          <w:lang w:eastAsia="en-GB"/>
        </w:rPr>
        <w:t xml:space="preserve"> be interpreted with caution</w:t>
      </w:r>
      <w:r w:rsidR="00FE51DB">
        <w:rPr>
          <w:rFonts w:ascii="Times New Roman" w:eastAsia="Times New Roman" w:hAnsi="Times New Roman" w:cs="Times New Roman"/>
          <w:color w:val="000000"/>
          <w:sz w:val="24"/>
          <w:szCs w:val="24"/>
          <w:lang w:eastAsia="en-GB"/>
        </w:rPr>
        <w:t xml:space="preserve"> as it is a Norman bias source, potentially </w:t>
      </w:r>
      <w:r w:rsidR="00FE51DB">
        <w:rPr>
          <w:rFonts w:ascii="Times New Roman" w:eastAsia="Times New Roman" w:hAnsi="Times New Roman" w:cs="Times New Roman"/>
          <w:color w:val="000000"/>
          <w:sz w:val="24"/>
          <w:szCs w:val="24"/>
          <w:lang w:eastAsia="en-GB"/>
        </w:rPr>
        <w:lastRenderedPageBreak/>
        <w:t>heavily elaborated, just like chapter 10 which is exceedingly religious.</w:t>
      </w:r>
      <w:r w:rsidR="00CF65E3">
        <w:rPr>
          <w:rFonts w:ascii="Times New Roman" w:eastAsia="Times New Roman" w:hAnsi="Times New Roman" w:cs="Times New Roman"/>
          <w:color w:val="000000"/>
          <w:sz w:val="24"/>
          <w:szCs w:val="24"/>
          <w:lang w:eastAsia="en-GB"/>
        </w:rPr>
        <w:t xml:space="preserve"> </w:t>
      </w:r>
      <w:r w:rsidR="008714A1">
        <w:rPr>
          <w:rFonts w:ascii="Times New Roman" w:eastAsia="Times New Roman" w:hAnsi="Times New Roman" w:cs="Times New Roman"/>
          <w:color w:val="000000"/>
          <w:sz w:val="24"/>
          <w:szCs w:val="24"/>
          <w:lang w:eastAsia="en-GB"/>
        </w:rPr>
        <w:t>Moreover, Rowley examines the creation of Norman</w:t>
      </w:r>
      <w:r w:rsidR="002A6B55">
        <w:rPr>
          <w:rFonts w:ascii="Times New Roman" w:eastAsia="Times New Roman" w:hAnsi="Times New Roman" w:cs="Times New Roman"/>
          <w:color w:val="000000"/>
          <w:sz w:val="24"/>
          <w:szCs w:val="24"/>
          <w:lang w:eastAsia="en-GB"/>
        </w:rPr>
        <w:t xml:space="preserve">dy and uses the word ‘constructed’ to describe Dudo’s work, the </w:t>
      </w:r>
      <w:r w:rsidR="002A6B55" w:rsidRPr="002A6B55">
        <w:rPr>
          <w:rFonts w:ascii="Times New Roman" w:eastAsia="Times New Roman" w:hAnsi="Times New Roman" w:cs="Times New Roman"/>
          <w:i/>
          <w:iCs/>
          <w:color w:val="000000"/>
          <w:sz w:val="24"/>
          <w:szCs w:val="24"/>
          <w:lang w:eastAsia="en-GB"/>
        </w:rPr>
        <w:t>Gesta Normannorum</w:t>
      </w:r>
      <w:r w:rsidR="002A6B55">
        <w:rPr>
          <w:rFonts w:ascii="Times New Roman" w:eastAsia="Times New Roman" w:hAnsi="Times New Roman" w:cs="Times New Roman"/>
          <w:color w:val="000000"/>
          <w:sz w:val="24"/>
          <w:szCs w:val="24"/>
          <w:lang w:eastAsia="en-GB"/>
        </w:rPr>
        <w:t>, which suggests the source should be examined with a critical approach.</w:t>
      </w:r>
      <w:r w:rsidR="002A6B55">
        <w:rPr>
          <w:rStyle w:val="FootnoteReference"/>
          <w:rFonts w:ascii="Times New Roman" w:eastAsia="Times New Roman" w:hAnsi="Times New Roman" w:cs="Times New Roman"/>
          <w:color w:val="000000"/>
          <w:sz w:val="24"/>
          <w:szCs w:val="24"/>
          <w:lang w:eastAsia="en-GB"/>
        </w:rPr>
        <w:footnoteReference w:id="13"/>
      </w:r>
      <w:r w:rsidR="002A6B55">
        <w:rPr>
          <w:rFonts w:ascii="Times New Roman" w:eastAsia="Times New Roman" w:hAnsi="Times New Roman" w:cs="Times New Roman"/>
          <w:color w:val="000000"/>
          <w:sz w:val="24"/>
          <w:szCs w:val="24"/>
          <w:lang w:eastAsia="en-GB"/>
        </w:rPr>
        <w:t xml:space="preserve"> Chapter 10 is the core example of why the </w:t>
      </w:r>
      <w:r w:rsidR="002A6B55" w:rsidRPr="00C93D4A">
        <w:rPr>
          <w:rFonts w:ascii="Times New Roman" w:eastAsia="Times New Roman" w:hAnsi="Times New Roman" w:cs="Times New Roman"/>
          <w:i/>
          <w:iCs/>
          <w:color w:val="000000"/>
          <w:sz w:val="24"/>
          <w:szCs w:val="24"/>
          <w:lang w:eastAsia="en-GB"/>
        </w:rPr>
        <w:t>Gesta Normannorum</w:t>
      </w:r>
      <w:r w:rsidR="002A6B55">
        <w:rPr>
          <w:rFonts w:ascii="Times New Roman" w:eastAsia="Times New Roman" w:hAnsi="Times New Roman" w:cs="Times New Roman"/>
          <w:color w:val="000000"/>
          <w:sz w:val="24"/>
          <w:szCs w:val="24"/>
          <w:lang w:eastAsia="en-GB"/>
        </w:rPr>
        <w:t xml:space="preserve"> was commissioned. It promotes </w:t>
      </w:r>
      <w:r w:rsidR="003F19DD">
        <w:rPr>
          <w:rFonts w:ascii="Times New Roman" w:eastAsia="Times New Roman" w:hAnsi="Times New Roman" w:cs="Times New Roman"/>
          <w:color w:val="000000"/>
          <w:sz w:val="24"/>
          <w:szCs w:val="24"/>
          <w:lang w:eastAsia="en-GB"/>
        </w:rPr>
        <w:t>a false</w:t>
      </w:r>
      <w:r w:rsidR="002A6B55">
        <w:rPr>
          <w:rFonts w:ascii="Times New Roman" w:eastAsia="Times New Roman" w:hAnsi="Times New Roman" w:cs="Times New Roman"/>
          <w:color w:val="000000"/>
          <w:sz w:val="24"/>
          <w:szCs w:val="24"/>
          <w:lang w:eastAsia="en-GB"/>
        </w:rPr>
        <w:t xml:space="preserve"> internal identity the Normans tried to manipulate themselves into believing, but also how they wished their external identity to be </w:t>
      </w:r>
      <w:r w:rsidR="003F19DD">
        <w:rPr>
          <w:rFonts w:ascii="Times New Roman" w:eastAsia="Times New Roman" w:hAnsi="Times New Roman" w:cs="Times New Roman"/>
          <w:color w:val="000000"/>
          <w:sz w:val="24"/>
          <w:szCs w:val="24"/>
          <w:lang w:eastAsia="en-GB"/>
        </w:rPr>
        <w:t>perceived for years to come.</w:t>
      </w:r>
    </w:p>
    <w:p w14:paraId="1DE7FADC" w14:textId="4580F6F7" w:rsidR="00743EAD" w:rsidRDefault="00743EAD">
      <w:pPr>
        <w:rPr>
          <w:rFonts w:ascii="Times New Roman" w:hAnsi="Times New Roman" w:cs="Times New Roman"/>
          <w:sz w:val="24"/>
          <w:szCs w:val="24"/>
        </w:rPr>
      </w:pPr>
    </w:p>
    <w:p w14:paraId="28CA62FA" w14:textId="56F50DBC" w:rsidR="00743EAD" w:rsidRDefault="00743EAD">
      <w:pPr>
        <w:rPr>
          <w:rFonts w:ascii="Times New Roman" w:hAnsi="Times New Roman" w:cs="Times New Roman"/>
          <w:sz w:val="24"/>
          <w:szCs w:val="24"/>
        </w:rPr>
      </w:pPr>
    </w:p>
    <w:p w14:paraId="121CBF5D" w14:textId="73E612FF" w:rsidR="00F007A4" w:rsidRDefault="00F007A4">
      <w:pPr>
        <w:rPr>
          <w:rFonts w:ascii="Times New Roman" w:hAnsi="Times New Roman" w:cs="Times New Roman"/>
          <w:sz w:val="24"/>
          <w:szCs w:val="24"/>
        </w:rPr>
      </w:pPr>
    </w:p>
    <w:p w14:paraId="5C73B406" w14:textId="5DCE3FE4" w:rsidR="00F007A4" w:rsidRDefault="00F007A4">
      <w:pPr>
        <w:rPr>
          <w:rFonts w:ascii="Times New Roman" w:hAnsi="Times New Roman" w:cs="Times New Roman"/>
          <w:sz w:val="24"/>
          <w:szCs w:val="24"/>
        </w:rPr>
      </w:pPr>
    </w:p>
    <w:p w14:paraId="4C75F561" w14:textId="64536520" w:rsidR="00F007A4" w:rsidRDefault="00F007A4">
      <w:pPr>
        <w:rPr>
          <w:rFonts w:ascii="Times New Roman" w:hAnsi="Times New Roman" w:cs="Times New Roman"/>
          <w:sz w:val="24"/>
          <w:szCs w:val="24"/>
        </w:rPr>
      </w:pPr>
    </w:p>
    <w:p w14:paraId="6E5B6320" w14:textId="42F6AF0C" w:rsidR="00F007A4" w:rsidRDefault="00F007A4">
      <w:pPr>
        <w:rPr>
          <w:rFonts w:ascii="Times New Roman" w:hAnsi="Times New Roman" w:cs="Times New Roman"/>
          <w:sz w:val="24"/>
          <w:szCs w:val="24"/>
        </w:rPr>
      </w:pPr>
    </w:p>
    <w:p w14:paraId="0CA632E8" w14:textId="5EFBB610" w:rsidR="00F007A4" w:rsidRDefault="00F007A4">
      <w:pPr>
        <w:rPr>
          <w:rFonts w:ascii="Times New Roman" w:hAnsi="Times New Roman" w:cs="Times New Roman"/>
          <w:sz w:val="24"/>
          <w:szCs w:val="24"/>
        </w:rPr>
      </w:pPr>
    </w:p>
    <w:p w14:paraId="79845E19" w14:textId="661AE090" w:rsidR="00F007A4" w:rsidRDefault="00F007A4">
      <w:pPr>
        <w:rPr>
          <w:rFonts w:ascii="Times New Roman" w:hAnsi="Times New Roman" w:cs="Times New Roman"/>
          <w:sz w:val="24"/>
          <w:szCs w:val="24"/>
        </w:rPr>
      </w:pPr>
    </w:p>
    <w:p w14:paraId="3025DB57" w14:textId="375C6914" w:rsidR="00F007A4" w:rsidRDefault="00F007A4">
      <w:pPr>
        <w:rPr>
          <w:rFonts w:ascii="Times New Roman" w:hAnsi="Times New Roman" w:cs="Times New Roman"/>
          <w:sz w:val="24"/>
          <w:szCs w:val="24"/>
        </w:rPr>
      </w:pPr>
    </w:p>
    <w:p w14:paraId="6F380140" w14:textId="5294DE0C" w:rsidR="00F007A4" w:rsidRDefault="00F007A4">
      <w:pPr>
        <w:rPr>
          <w:rFonts w:ascii="Times New Roman" w:hAnsi="Times New Roman" w:cs="Times New Roman"/>
          <w:sz w:val="24"/>
          <w:szCs w:val="24"/>
        </w:rPr>
      </w:pPr>
    </w:p>
    <w:p w14:paraId="34175E7B" w14:textId="7F9072A4" w:rsidR="00F007A4" w:rsidRDefault="00F007A4">
      <w:pPr>
        <w:rPr>
          <w:rFonts w:ascii="Times New Roman" w:hAnsi="Times New Roman" w:cs="Times New Roman"/>
          <w:sz w:val="24"/>
          <w:szCs w:val="24"/>
        </w:rPr>
      </w:pPr>
    </w:p>
    <w:p w14:paraId="638AF53D" w14:textId="64EF0225" w:rsidR="00F007A4" w:rsidRDefault="00F007A4">
      <w:pPr>
        <w:rPr>
          <w:rFonts w:ascii="Times New Roman" w:hAnsi="Times New Roman" w:cs="Times New Roman"/>
          <w:sz w:val="24"/>
          <w:szCs w:val="24"/>
        </w:rPr>
      </w:pPr>
    </w:p>
    <w:p w14:paraId="40322F3E" w14:textId="604B2348" w:rsidR="00F007A4" w:rsidRDefault="00F007A4">
      <w:pPr>
        <w:rPr>
          <w:rFonts w:ascii="Times New Roman" w:hAnsi="Times New Roman" w:cs="Times New Roman"/>
          <w:sz w:val="24"/>
          <w:szCs w:val="24"/>
        </w:rPr>
      </w:pPr>
    </w:p>
    <w:p w14:paraId="3D955F1E" w14:textId="266ED333" w:rsidR="00F007A4" w:rsidRDefault="00F007A4">
      <w:pPr>
        <w:rPr>
          <w:rFonts w:ascii="Times New Roman" w:hAnsi="Times New Roman" w:cs="Times New Roman"/>
          <w:sz w:val="24"/>
          <w:szCs w:val="24"/>
        </w:rPr>
      </w:pPr>
    </w:p>
    <w:p w14:paraId="04A90214" w14:textId="62C175BB" w:rsidR="00F007A4" w:rsidRDefault="00F007A4">
      <w:pPr>
        <w:rPr>
          <w:rFonts w:ascii="Times New Roman" w:hAnsi="Times New Roman" w:cs="Times New Roman"/>
          <w:sz w:val="24"/>
          <w:szCs w:val="24"/>
        </w:rPr>
      </w:pPr>
    </w:p>
    <w:p w14:paraId="32CE772D" w14:textId="35BED6EF" w:rsidR="00F007A4" w:rsidRDefault="00F007A4">
      <w:pPr>
        <w:rPr>
          <w:rFonts w:ascii="Times New Roman" w:hAnsi="Times New Roman" w:cs="Times New Roman"/>
          <w:sz w:val="24"/>
          <w:szCs w:val="24"/>
        </w:rPr>
      </w:pPr>
    </w:p>
    <w:p w14:paraId="754863A4" w14:textId="75237C17" w:rsidR="00F007A4" w:rsidRDefault="00F007A4">
      <w:pPr>
        <w:rPr>
          <w:rFonts w:ascii="Times New Roman" w:hAnsi="Times New Roman" w:cs="Times New Roman"/>
          <w:sz w:val="24"/>
          <w:szCs w:val="24"/>
        </w:rPr>
      </w:pPr>
    </w:p>
    <w:p w14:paraId="6D5C85C0" w14:textId="1183F949" w:rsidR="00F007A4" w:rsidRDefault="00F007A4">
      <w:pPr>
        <w:rPr>
          <w:rFonts w:ascii="Times New Roman" w:hAnsi="Times New Roman" w:cs="Times New Roman"/>
          <w:sz w:val="24"/>
          <w:szCs w:val="24"/>
        </w:rPr>
      </w:pPr>
    </w:p>
    <w:p w14:paraId="0EFF139B" w14:textId="6A9FC99E" w:rsidR="00F007A4" w:rsidRDefault="00F007A4">
      <w:pPr>
        <w:rPr>
          <w:rFonts w:ascii="Times New Roman" w:hAnsi="Times New Roman" w:cs="Times New Roman"/>
          <w:sz w:val="24"/>
          <w:szCs w:val="24"/>
        </w:rPr>
      </w:pPr>
    </w:p>
    <w:p w14:paraId="0F06A7F7" w14:textId="0D6661FC" w:rsidR="00F007A4" w:rsidRDefault="00F007A4">
      <w:pPr>
        <w:rPr>
          <w:rFonts w:ascii="Times New Roman" w:hAnsi="Times New Roman" w:cs="Times New Roman"/>
          <w:sz w:val="24"/>
          <w:szCs w:val="24"/>
        </w:rPr>
      </w:pPr>
    </w:p>
    <w:p w14:paraId="2BC9BD51" w14:textId="75708BD0" w:rsidR="00F007A4" w:rsidRDefault="00F007A4">
      <w:pPr>
        <w:rPr>
          <w:rFonts w:ascii="Times New Roman" w:hAnsi="Times New Roman" w:cs="Times New Roman"/>
          <w:sz w:val="24"/>
          <w:szCs w:val="24"/>
        </w:rPr>
      </w:pPr>
    </w:p>
    <w:p w14:paraId="79B09E06" w14:textId="07AB48F0" w:rsidR="00F007A4" w:rsidRDefault="00F007A4">
      <w:pPr>
        <w:rPr>
          <w:rFonts w:ascii="Times New Roman" w:hAnsi="Times New Roman" w:cs="Times New Roman"/>
          <w:sz w:val="24"/>
          <w:szCs w:val="24"/>
        </w:rPr>
      </w:pPr>
    </w:p>
    <w:p w14:paraId="5119E34C" w14:textId="6931B8B8" w:rsidR="00F007A4" w:rsidRDefault="00F007A4">
      <w:pPr>
        <w:rPr>
          <w:rFonts w:ascii="Times New Roman" w:hAnsi="Times New Roman" w:cs="Times New Roman"/>
          <w:sz w:val="24"/>
          <w:szCs w:val="24"/>
        </w:rPr>
      </w:pPr>
    </w:p>
    <w:p w14:paraId="33884A14" w14:textId="0E8EB5F0" w:rsidR="00F007A4" w:rsidRDefault="00F007A4">
      <w:pPr>
        <w:rPr>
          <w:rFonts w:ascii="Times New Roman" w:hAnsi="Times New Roman" w:cs="Times New Roman"/>
          <w:sz w:val="24"/>
          <w:szCs w:val="24"/>
        </w:rPr>
      </w:pPr>
    </w:p>
    <w:p w14:paraId="13E67568" w14:textId="5A0AC6F8" w:rsidR="00F007A4" w:rsidRDefault="00F007A4">
      <w:pPr>
        <w:rPr>
          <w:rFonts w:ascii="Times New Roman" w:hAnsi="Times New Roman" w:cs="Times New Roman"/>
          <w:b/>
          <w:bCs/>
          <w:sz w:val="24"/>
          <w:szCs w:val="24"/>
          <w:u w:val="single"/>
        </w:rPr>
      </w:pPr>
      <w:r w:rsidRPr="00F007A4">
        <w:rPr>
          <w:rFonts w:ascii="Times New Roman" w:hAnsi="Times New Roman" w:cs="Times New Roman"/>
          <w:b/>
          <w:bCs/>
          <w:sz w:val="24"/>
          <w:szCs w:val="24"/>
          <w:u w:val="single"/>
        </w:rPr>
        <w:t>Bibliography</w:t>
      </w:r>
    </w:p>
    <w:p w14:paraId="6A800BA2" w14:textId="101CC190" w:rsidR="00F007A4" w:rsidRDefault="00F007A4">
      <w:pPr>
        <w:rPr>
          <w:rFonts w:ascii="Times New Roman" w:hAnsi="Times New Roman" w:cs="Times New Roman"/>
          <w:b/>
          <w:bCs/>
          <w:sz w:val="24"/>
          <w:szCs w:val="24"/>
          <w:u w:val="single"/>
        </w:rPr>
      </w:pPr>
      <w:r>
        <w:rPr>
          <w:rFonts w:ascii="Times New Roman" w:hAnsi="Times New Roman" w:cs="Times New Roman"/>
          <w:b/>
          <w:bCs/>
          <w:sz w:val="24"/>
          <w:szCs w:val="24"/>
          <w:u w:val="single"/>
        </w:rPr>
        <w:t>Primary Sources</w:t>
      </w:r>
    </w:p>
    <w:p w14:paraId="7445FEDD" w14:textId="60579C80" w:rsidR="00F007A4" w:rsidRPr="00F007A4" w:rsidRDefault="00F007A4" w:rsidP="00F007A4">
      <w:pPr>
        <w:spacing w:line="240" w:lineRule="auto"/>
        <w:rPr>
          <w:rFonts w:ascii="Times New Roman" w:hAnsi="Times New Roman" w:cs="Times New Roman"/>
          <w:sz w:val="24"/>
          <w:szCs w:val="24"/>
        </w:rPr>
      </w:pPr>
      <w:r w:rsidRPr="00F007A4">
        <w:rPr>
          <w:rFonts w:ascii="Times New Roman" w:hAnsi="Times New Roman" w:cs="Times New Roman"/>
          <w:sz w:val="24"/>
          <w:szCs w:val="24"/>
        </w:rPr>
        <w:t xml:space="preserve">Amatus of Montecassino, </w:t>
      </w:r>
      <w:r w:rsidRPr="00F007A4">
        <w:rPr>
          <w:rFonts w:ascii="Times New Roman" w:hAnsi="Times New Roman" w:cs="Times New Roman"/>
          <w:i/>
          <w:iCs/>
          <w:sz w:val="24"/>
          <w:szCs w:val="24"/>
        </w:rPr>
        <w:t>Vision of the Battle of Civitate</w:t>
      </w:r>
      <w:r w:rsidRPr="00F007A4">
        <w:rPr>
          <w:rFonts w:ascii="Times New Roman" w:hAnsi="Times New Roman" w:cs="Times New Roman"/>
          <w:sz w:val="24"/>
          <w:szCs w:val="24"/>
        </w:rPr>
        <w:t xml:space="preserve"> – source 9, as found in module handbook.</w:t>
      </w:r>
    </w:p>
    <w:p w14:paraId="430BD302" w14:textId="77777777" w:rsidR="00F007A4" w:rsidRDefault="00F007A4">
      <w:pPr>
        <w:rPr>
          <w:rFonts w:ascii="Times New Roman" w:hAnsi="Times New Roman" w:cs="Times New Roman"/>
          <w:sz w:val="24"/>
          <w:szCs w:val="24"/>
        </w:rPr>
      </w:pPr>
    </w:p>
    <w:p w14:paraId="4BEE0271" w14:textId="3E7C5669" w:rsidR="00F007A4" w:rsidRPr="00F007A4" w:rsidRDefault="00F007A4">
      <w:pPr>
        <w:rPr>
          <w:rFonts w:ascii="Times New Roman" w:hAnsi="Times New Roman" w:cs="Times New Roman"/>
          <w:sz w:val="24"/>
          <w:szCs w:val="24"/>
        </w:rPr>
      </w:pPr>
      <w:r w:rsidRPr="00F007A4">
        <w:rPr>
          <w:rFonts w:ascii="Times New Roman" w:hAnsi="Times New Roman" w:cs="Times New Roman"/>
          <w:sz w:val="24"/>
          <w:szCs w:val="24"/>
        </w:rPr>
        <w:t xml:space="preserve">Dudo of St Quentin, </w:t>
      </w:r>
      <w:r w:rsidRPr="00F007A4">
        <w:rPr>
          <w:rFonts w:ascii="Times New Roman" w:hAnsi="Times New Roman" w:cs="Times New Roman"/>
          <w:i/>
          <w:iCs/>
          <w:sz w:val="24"/>
          <w:szCs w:val="24"/>
        </w:rPr>
        <w:t>Gesta Normannorum</w:t>
      </w:r>
      <w:r w:rsidRPr="00F007A4">
        <w:rPr>
          <w:rFonts w:ascii="Times New Roman" w:hAnsi="Times New Roman" w:cs="Times New Roman"/>
          <w:sz w:val="24"/>
          <w:szCs w:val="24"/>
        </w:rPr>
        <w:t xml:space="preserve"> – chapter 10, as found in module handbook.</w:t>
      </w:r>
    </w:p>
    <w:p w14:paraId="0E48C6EE" w14:textId="19045754" w:rsidR="00F007A4" w:rsidRDefault="00F007A4">
      <w:pPr>
        <w:rPr>
          <w:rFonts w:ascii="Times New Roman" w:hAnsi="Times New Roman" w:cs="Times New Roman"/>
        </w:rPr>
      </w:pPr>
    </w:p>
    <w:p w14:paraId="5696F433" w14:textId="0B8533BE" w:rsidR="00F007A4" w:rsidRDefault="00F007A4">
      <w:pPr>
        <w:rPr>
          <w:rFonts w:ascii="Times New Roman" w:hAnsi="Times New Roman" w:cs="Times New Roman"/>
          <w:b/>
          <w:bCs/>
          <w:sz w:val="24"/>
          <w:szCs w:val="24"/>
          <w:u w:val="single"/>
        </w:rPr>
      </w:pPr>
      <w:r w:rsidRPr="00F007A4">
        <w:rPr>
          <w:rFonts w:ascii="Times New Roman" w:hAnsi="Times New Roman" w:cs="Times New Roman"/>
          <w:b/>
          <w:bCs/>
          <w:sz w:val="24"/>
          <w:szCs w:val="24"/>
          <w:u w:val="single"/>
        </w:rPr>
        <w:t>Secondary Sources</w:t>
      </w:r>
    </w:p>
    <w:p w14:paraId="3C550DD4" w14:textId="310FA928" w:rsidR="00F007A4" w:rsidRDefault="00F007A4" w:rsidP="00F007A4">
      <w:pPr>
        <w:pStyle w:val="FootnoteText"/>
        <w:rPr>
          <w:rFonts w:ascii="Times New Roman" w:hAnsi="Times New Roman" w:cs="Times New Roman"/>
          <w:sz w:val="24"/>
          <w:szCs w:val="24"/>
        </w:rPr>
      </w:pPr>
      <w:r w:rsidRPr="00F007A4">
        <w:rPr>
          <w:rFonts w:ascii="Times New Roman" w:hAnsi="Times New Roman" w:cs="Times New Roman"/>
          <w:sz w:val="24"/>
          <w:szCs w:val="24"/>
        </w:rPr>
        <w:t xml:space="preserve">Houts E. V., ‘Dudo of St Quentin’s Historia Normannorum’ </w:t>
      </w:r>
      <w:r w:rsidRPr="00F007A4">
        <w:rPr>
          <w:rFonts w:ascii="Times New Roman" w:hAnsi="Times New Roman" w:cs="Times New Roman"/>
          <w:i/>
          <w:iCs/>
          <w:sz w:val="24"/>
          <w:szCs w:val="24"/>
        </w:rPr>
        <w:t>Reviews in History</w:t>
      </w:r>
      <w:r w:rsidRPr="00F007A4">
        <w:rPr>
          <w:rFonts w:ascii="Times New Roman" w:hAnsi="Times New Roman" w:cs="Times New Roman"/>
          <w:sz w:val="24"/>
          <w:szCs w:val="24"/>
        </w:rPr>
        <w:t>, (2015), 1-3 (p. 1), &lt;</w:t>
      </w:r>
      <w:hyperlink r:id="rId7" w:history="1">
        <w:r w:rsidRPr="00F007A4">
          <w:rPr>
            <w:rStyle w:val="Hyperlink"/>
            <w:rFonts w:ascii="Times New Roman" w:hAnsi="Times New Roman" w:cs="Times New Roman"/>
            <w:sz w:val="24"/>
            <w:szCs w:val="24"/>
          </w:rPr>
          <w:t>https://reviews.history.ac.uk/review/1870</w:t>
        </w:r>
      </w:hyperlink>
      <w:proofErr w:type="gramStart"/>
      <w:r w:rsidRPr="00F007A4">
        <w:rPr>
          <w:rFonts w:ascii="Times New Roman" w:hAnsi="Times New Roman" w:cs="Times New Roman"/>
          <w:sz w:val="24"/>
          <w:szCs w:val="24"/>
        </w:rPr>
        <w:t>&gt;[</w:t>
      </w:r>
      <w:proofErr w:type="gramEnd"/>
      <w:r w:rsidRPr="00F007A4">
        <w:rPr>
          <w:rFonts w:ascii="Times New Roman" w:hAnsi="Times New Roman" w:cs="Times New Roman"/>
          <w:sz w:val="24"/>
          <w:szCs w:val="24"/>
        </w:rPr>
        <w:t>accessed 12 April 2021].</w:t>
      </w:r>
    </w:p>
    <w:p w14:paraId="40D92CE3" w14:textId="77777777" w:rsidR="00F007A4" w:rsidRPr="00F007A4" w:rsidRDefault="00F007A4" w:rsidP="00F007A4">
      <w:pPr>
        <w:pStyle w:val="FootnoteText"/>
        <w:rPr>
          <w:rFonts w:ascii="Times New Roman" w:hAnsi="Times New Roman" w:cs="Times New Roman"/>
          <w:sz w:val="24"/>
          <w:szCs w:val="24"/>
        </w:rPr>
      </w:pPr>
    </w:p>
    <w:p w14:paraId="5D2AA764" w14:textId="77777777" w:rsidR="00F007A4" w:rsidRPr="00F007A4" w:rsidRDefault="00F007A4" w:rsidP="00F007A4">
      <w:pPr>
        <w:pStyle w:val="FootnoteText"/>
        <w:rPr>
          <w:rFonts w:ascii="Times New Roman" w:hAnsi="Times New Roman" w:cs="Times New Roman"/>
          <w:sz w:val="24"/>
          <w:szCs w:val="24"/>
        </w:rPr>
      </w:pPr>
      <w:r w:rsidRPr="00F007A4">
        <w:rPr>
          <w:rFonts w:ascii="Times New Roman" w:hAnsi="Times New Roman" w:cs="Times New Roman"/>
          <w:sz w:val="24"/>
          <w:szCs w:val="24"/>
        </w:rPr>
        <w:t xml:space="preserve">Lifshitz F., </w:t>
      </w:r>
      <w:r w:rsidRPr="00F007A4">
        <w:rPr>
          <w:rFonts w:ascii="Times New Roman" w:hAnsi="Times New Roman" w:cs="Times New Roman"/>
          <w:i/>
          <w:iCs/>
          <w:sz w:val="24"/>
          <w:szCs w:val="24"/>
        </w:rPr>
        <w:t>Writing Normandy: Stories of Saints and Rulers</w:t>
      </w:r>
      <w:r w:rsidRPr="00F007A4">
        <w:rPr>
          <w:rFonts w:ascii="Times New Roman" w:hAnsi="Times New Roman" w:cs="Times New Roman"/>
          <w:sz w:val="24"/>
          <w:szCs w:val="24"/>
        </w:rPr>
        <w:t xml:space="preserve"> (Abingdon: Taylor &amp; Francis Group, 2021), p. chapter 14.</w:t>
      </w:r>
    </w:p>
    <w:p w14:paraId="0312DF86" w14:textId="77777777" w:rsidR="00F007A4" w:rsidRDefault="00F007A4" w:rsidP="00F007A4">
      <w:pPr>
        <w:spacing w:line="240" w:lineRule="auto"/>
        <w:rPr>
          <w:rFonts w:ascii="Times New Roman" w:hAnsi="Times New Roman" w:cs="Times New Roman"/>
          <w:b/>
          <w:bCs/>
          <w:sz w:val="24"/>
          <w:szCs w:val="24"/>
          <w:u w:val="single"/>
        </w:rPr>
      </w:pPr>
    </w:p>
    <w:p w14:paraId="17BF5E59" w14:textId="669BD3A2" w:rsidR="00F007A4" w:rsidRPr="00F007A4" w:rsidRDefault="00F007A4" w:rsidP="00F007A4">
      <w:pPr>
        <w:spacing w:line="240" w:lineRule="auto"/>
        <w:rPr>
          <w:rFonts w:ascii="Times New Roman" w:hAnsi="Times New Roman" w:cs="Times New Roman"/>
          <w:sz w:val="24"/>
          <w:szCs w:val="24"/>
        </w:rPr>
      </w:pPr>
      <w:r w:rsidRPr="00F007A4">
        <w:rPr>
          <w:rFonts w:ascii="Times New Roman" w:hAnsi="Times New Roman" w:cs="Times New Roman"/>
          <w:sz w:val="24"/>
          <w:szCs w:val="24"/>
        </w:rPr>
        <w:t xml:space="preserve">O’Connor D. W., ‘Saint Peter the Apostle’ </w:t>
      </w:r>
      <w:r w:rsidRPr="00F007A4">
        <w:rPr>
          <w:rFonts w:ascii="Times New Roman" w:hAnsi="Times New Roman" w:cs="Times New Roman"/>
          <w:i/>
          <w:iCs/>
          <w:sz w:val="24"/>
          <w:szCs w:val="24"/>
        </w:rPr>
        <w:t>Encyclopaedia Britannica</w:t>
      </w:r>
      <w:r w:rsidRPr="00F007A4">
        <w:rPr>
          <w:rFonts w:ascii="Times New Roman" w:hAnsi="Times New Roman" w:cs="Times New Roman"/>
          <w:sz w:val="24"/>
          <w:szCs w:val="24"/>
        </w:rPr>
        <w:t>, (2020), &lt;</w:t>
      </w:r>
      <w:hyperlink r:id="rId8" w:history="1">
        <w:r w:rsidRPr="00F007A4">
          <w:rPr>
            <w:rStyle w:val="Hyperlink"/>
            <w:rFonts w:ascii="Times New Roman" w:hAnsi="Times New Roman" w:cs="Times New Roman"/>
            <w:sz w:val="24"/>
            <w:szCs w:val="24"/>
          </w:rPr>
          <w:t>https://www.britannica.com/biography/Saint-Peter-the-Apostle</w:t>
        </w:r>
      </w:hyperlink>
      <w:proofErr w:type="gramStart"/>
      <w:r w:rsidRPr="00F007A4">
        <w:rPr>
          <w:rFonts w:ascii="Times New Roman" w:hAnsi="Times New Roman" w:cs="Times New Roman"/>
          <w:sz w:val="24"/>
          <w:szCs w:val="24"/>
        </w:rPr>
        <w:t>&gt;[</w:t>
      </w:r>
      <w:proofErr w:type="gramEnd"/>
      <w:r w:rsidRPr="00F007A4">
        <w:rPr>
          <w:rFonts w:ascii="Times New Roman" w:hAnsi="Times New Roman" w:cs="Times New Roman"/>
          <w:sz w:val="24"/>
          <w:szCs w:val="24"/>
        </w:rPr>
        <w:t>accessed 13 April 2021].</w:t>
      </w:r>
    </w:p>
    <w:p w14:paraId="0A878D15" w14:textId="77777777" w:rsidR="00F007A4" w:rsidRDefault="00F007A4" w:rsidP="00F007A4">
      <w:pPr>
        <w:spacing w:line="240" w:lineRule="auto"/>
        <w:rPr>
          <w:rFonts w:ascii="Times New Roman" w:hAnsi="Times New Roman" w:cs="Times New Roman"/>
          <w:sz w:val="24"/>
          <w:szCs w:val="24"/>
        </w:rPr>
      </w:pPr>
    </w:p>
    <w:p w14:paraId="22E0991F" w14:textId="0615B9DA" w:rsidR="00F007A4" w:rsidRPr="00F007A4" w:rsidRDefault="00F007A4" w:rsidP="00F007A4">
      <w:pPr>
        <w:spacing w:line="240" w:lineRule="auto"/>
        <w:rPr>
          <w:rFonts w:ascii="Times New Roman" w:hAnsi="Times New Roman" w:cs="Times New Roman"/>
          <w:sz w:val="24"/>
          <w:szCs w:val="24"/>
        </w:rPr>
      </w:pPr>
      <w:r w:rsidRPr="00F007A4">
        <w:rPr>
          <w:rFonts w:ascii="Times New Roman" w:hAnsi="Times New Roman" w:cs="Times New Roman"/>
          <w:sz w:val="24"/>
          <w:szCs w:val="24"/>
        </w:rPr>
        <w:t>Rowley</w:t>
      </w:r>
      <w:r w:rsidRPr="00F007A4">
        <w:rPr>
          <w:rFonts w:ascii="Times New Roman" w:hAnsi="Times New Roman" w:cs="Times New Roman"/>
          <w:sz w:val="24"/>
          <w:szCs w:val="24"/>
        </w:rPr>
        <w:t xml:space="preserve"> T.</w:t>
      </w:r>
      <w:r w:rsidRPr="00F007A4">
        <w:rPr>
          <w:rFonts w:ascii="Times New Roman" w:hAnsi="Times New Roman" w:cs="Times New Roman"/>
          <w:sz w:val="24"/>
          <w:szCs w:val="24"/>
        </w:rPr>
        <w:t xml:space="preserve">, </w:t>
      </w:r>
      <w:r w:rsidRPr="00F007A4">
        <w:rPr>
          <w:rFonts w:ascii="Times New Roman" w:hAnsi="Times New Roman" w:cs="Times New Roman"/>
          <w:i/>
          <w:iCs/>
          <w:sz w:val="24"/>
          <w:szCs w:val="24"/>
        </w:rPr>
        <w:t>The Normans</w:t>
      </w:r>
      <w:r w:rsidRPr="00F007A4">
        <w:rPr>
          <w:rFonts w:ascii="Times New Roman" w:hAnsi="Times New Roman" w:cs="Times New Roman"/>
          <w:sz w:val="24"/>
          <w:szCs w:val="24"/>
        </w:rPr>
        <w:t xml:space="preserve"> (Gloucestershire: Tempus Publishing Ltd, 2000), p. 23.</w:t>
      </w:r>
    </w:p>
    <w:p w14:paraId="56DF30DB" w14:textId="77777777" w:rsidR="00F007A4" w:rsidRDefault="00F007A4" w:rsidP="00F007A4">
      <w:pPr>
        <w:spacing w:line="240" w:lineRule="auto"/>
        <w:rPr>
          <w:rFonts w:ascii="Times New Roman" w:hAnsi="Times New Roman" w:cs="Times New Roman"/>
          <w:sz w:val="24"/>
          <w:szCs w:val="24"/>
        </w:rPr>
      </w:pPr>
    </w:p>
    <w:p w14:paraId="36C8B031" w14:textId="0D3C2189" w:rsidR="00F007A4" w:rsidRPr="00F007A4" w:rsidRDefault="00F007A4" w:rsidP="00F007A4">
      <w:pPr>
        <w:spacing w:line="240" w:lineRule="auto"/>
        <w:rPr>
          <w:rFonts w:ascii="Times New Roman" w:hAnsi="Times New Roman" w:cs="Times New Roman"/>
          <w:b/>
          <w:bCs/>
          <w:sz w:val="24"/>
          <w:szCs w:val="24"/>
          <w:u w:val="single"/>
        </w:rPr>
      </w:pPr>
      <w:r w:rsidRPr="00F007A4">
        <w:rPr>
          <w:rFonts w:ascii="Times New Roman" w:hAnsi="Times New Roman" w:cs="Times New Roman"/>
          <w:sz w:val="24"/>
          <w:szCs w:val="24"/>
        </w:rPr>
        <w:t>Webber</w:t>
      </w:r>
      <w:r w:rsidRPr="00F007A4">
        <w:rPr>
          <w:rFonts w:ascii="Times New Roman" w:hAnsi="Times New Roman" w:cs="Times New Roman"/>
          <w:sz w:val="24"/>
          <w:szCs w:val="24"/>
        </w:rPr>
        <w:t xml:space="preserve"> N.</w:t>
      </w:r>
      <w:r w:rsidRPr="00F007A4">
        <w:rPr>
          <w:rFonts w:ascii="Times New Roman" w:hAnsi="Times New Roman" w:cs="Times New Roman"/>
          <w:sz w:val="24"/>
          <w:szCs w:val="24"/>
        </w:rPr>
        <w:t xml:space="preserve">, </w:t>
      </w:r>
      <w:r w:rsidRPr="00F007A4">
        <w:rPr>
          <w:rFonts w:ascii="Times New Roman" w:hAnsi="Times New Roman" w:cs="Times New Roman"/>
          <w:i/>
          <w:iCs/>
          <w:sz w:val="24"/>
          <w:szCs w:val="24"/>
        </w:rPr>
        <w:t>The Evolution of Norman Identity 911-1154</w:t>
      </w:r>
      <w:r w:rsidRPr="00F007A4">
        <w:rPr>
          <w:rFonts w:ascii="Times New Roman" w:hAnsi="Times New Roman" w:cs="Times New Roman"/>
          <w:sz w:val="24"/>
          <w:szCs w:val="24"/>
        </w:rPr>
        <w:t xml:space="preserve"> (Woodbridge: The Boydell Press, 2005), p. 19.</w:t>
      </w:r>
    </w:p>
    <w:p w14:paraId="16A57EEE" w14:textId="77777777" w:rsidR="00F007A4" w:rsidRPr="00F007A4" w:rsidRDefault="00F007A4">
      <w:pPr>
        <w:rPr>
          <w:rFonts w:ascii="Times New Roman" w:hAnsi="Times New Roman" w:cs="Times New Roman"/>
          <w:b/>
          <w:bCs/>
          <w:sz w:val="28"/>
          <w:szCs w:val="28"/>
          <w:u w:val="single"/>
        </w:rPr>
      </w:pPr>
    </w:p>
    <w:sectPr w:rsidR="00F007A4" w:rsidRPr="00F007A4" w:rsidSect="00874F2D">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87003A" w14:textId="77777777" w:rsidR="008024B2" w:rsidRDefault="008024B2" w:rsidP="00A112B7">
      <w:pPr>
        <w:spacing w:after="0" w:line="240" w:lineRule="auto"/>
      </w:pPr>
      <w:r>
        <w:separator/>
      </w:r>
    </w:p>
  </w:endnote>
  <w:endnote w:type="continuationSeparator" w:id="0">
    <w:p w14:paraId="0B6B6E87" w14:textId="77777777" w:rsidR="008024B2" w:rsidRDefault="008024B2" w:rsidP="00A112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0AE404" w14:textId="77777777" w:rsidR="008024B2" w:rsidRDefault="008024B2" w:rsidP="00A112B7">
      <w:pPr>
        <w:spacing w:after="0" w:line="240" w:lineRule="auto"/>
      </w:pPr>
      <w:r>
        <w:separator/>
      </w:r>
    </w:p>
  </w:footnote>
  <w:footnote w:type="continuationSeparator" w:id="0">
    <w:p w14:paraId="450A1618" w14:textId="77777777" w:rsidR="008024B2" w:rsidRDefault="008024B2" w:rsidP="00A112B7">
      <w:pPr>
        <w:spacing w:after="0" w:line="240" w:lineRule="auto"/>
      </w:pPr>
      <w:r>
        <w:continuationSeparator/>
      </w:r>
    </w:p>
  </w:footnote>
  <w:footnote w:id="1">
    <w:p w14:paraId="6F0602BB" w14:textId="5843BD87" w:rsidR="00DE34DA" w:rsidRPr="00DE34DA" w:rsidRDefault="00DE34DA" w:rsidP="00D02DF8">
      <w:pPr>
        <w:pStyle w:val="FootnoteText"/>
        <w:rPr>
          <w:rFonts w:ascii="Times New Roman" w:hAnsi="Times New Roman" w:cs="Times New Roman"/>
        </w:rPr>
      </w:pPr>
      <w:r w:rsidRPr="00DE34DA">
        <w:rPr>
          <w:rStyle w:val="FootnoteReference"/>
          <w:rFonts w:ascii="Times New Roman" w:hAnsi="Times New Roman" w:cs="Times New Roman"/>
        </w:rPr>
        <w:footnoteRef/>
      </w:r>
      <w:r w:rsidRPr="00DE34DA">
        <w:rPr>
          <w:rFonts w:ascii="Times New Roman" w:hAnsi="Times New Roman" w:cs="Times New Roman"/>
        </w:rPr>
        <w:t xml:space="preserve"> Felice Lifshitz, </w:t>
      </w:r>
      <w:r w:rsidRPr="00DE34DA">
        <w:rPr>
          <w:rFonts w:ascii="Times New Roman" w:hAnsi="Times New Roman" w:cs="Times New Roman"/>
          <w:i/>
          <w:iCs/>
        </w:rPr>
        <w:t>Writing Normandy: Stories of Saints and Rulers</w:t>
      </w:r>
      <w:r w:rsidRPr="00DE34DA">
        <w:rPr>
          <w:rFonts w:ascii="Times New Roman" w:hAnsi="Times New Roman" w:cs="Times New Roman"/>
        </w:rPr>
        <w:t xml:space="preserve"> (Abingdon: Taylor &amp; Francis Group, 2021), p. chapter 14</w:t>
      </w:r>
      <w:r>
        <w:rPr>
          <w:rFonts w:ascii="Times New Roman" w:hAnsi="Times New Roman" w:cs="Times New Roman"/>
        </w:rPr>
        <w:t>.</w:t>
      </w:r>
    </w:p>
  </w:footnote>
  <w:footnote w:id="2">
    <w:p w14:paraId="5506A3DD" w14:textId="3DE8CC16" w:rsidR="00D02DF8" w:rsidRPr="00D02DF8" w:rsidRDefault="00D02DF8">
      <w:pPr>
        <w:pStyle w:val="FootnoteText"/>
        <w:rPr>
          <w:rFonts w:ascii="Times New Roman" w:hAnsi="Times New Roman" w:cs="Times New Roman"/>
        </w:rPr>
      </w:pPr>
      <w:r w:rsidRPr="00D02DF8">
        <w:rPr>
          <w:rStyle w:val="FootnoteReference"/>
          <w:rFonts w:ascii="Times New Roman" w:hAnsi="Times New Roman" w:cs="Times New Roman"/>
        </w:rPr>
        <w:footnoteRef/>
      </w:r>
      <w:r w:rsidRPr="00D02DF8">
        <w:rPr>
          <w:rFonts w:ascii="Times New Roman" w:hAnsi="Times New Roman" w:cs="Times New Roman"/>
        </w:rPr>
        <w:t xml:space="preserve"> Dr Elisabeth van Houts, ‘Dudo of St Quentin’s Historia Normannorum’ </w:t>
      </w:r>
      <w:r w:rsidRPr="002B3380">
        <w:rPr>
          <w:rFonts w:ascii="Times New Roman" w:hAnsi="Times New Roman" w:cs="Times New Roman"/>
          <w:i/>
          <w:iCs/>
        </w:rPr>
        <w:t>Reviews in History</w:t>
      </w:r>
      <w:r w:rsidRPr="00D02DF8">
        <w:rPr>
          <w:rFonts w:ascii="Times New Roman" w:hAnsi="Times New Roman" w:cs="Times New Roman"/>
        </w:rPr>
        <w:t>, (2015), 1-3 (p. 1), &lt;</w:t>
      </w:r>
      <w:hyperlink r:id="rId1" w:history="1">
        <w:r w:rsidRPr="00D02DF8">
          <w:rPr>
            <w:rStyle w:val="Hyperlink"/>
            <w:rFonts w:ascii="Times New Roman" w:hAnsi="Times New Roman" w:cs="Times New Roman"/>
          </w:rPr>
          <w:t>https://reviews.history.ac.uk/review/1870</w:t>
        </w:r>
      </w:hyperlink>
      <w:proofErr w:type="gramStart"/>
      <w:r w:rsidRPr="00D02DF8">
        <w:rPr>
          <w:rFonts w:ascii="Times New Roman" w:hAnsi="Times New Roman" w:cs="Times New Roman"/>
        </w:rPr>
        <w:t>&gt;[</w:t>
      </w:r>
      <w:proofErr w:type="gramEnd"/>
      <w:r w:rsidRPr="00D02DF8">
        <w:rPr>
          <w:rFonts w:ascii="Times New Roman" w:hAnsi="Times New Roman" w:cs="Times New Roman"/>
        </w:rPr>
        <w:t>accessed 12 April 2021].</w:t>
      </w:r>
    </w:p>
  </w:footnote>
  <w:footnote w:id="3">
    <w:p w14:paraId="5C92464B" w14:textId="0722C355" w:rsidR="00D02DF8" w:rsidRPr="00D02DF8" w:rsidRDefault="00D02DF8">
      <w:pPr>
        <w:pStyle w:val="FootnoteText"/>
        <w:rPr>
          <w:rFonts w:ascii="Times New Roman" w:hAnsi="Times New Roman" w:cs="Times New Roman"/>
        </w:rPr>
      </w:pPr>
      <w:r w:rsidRPr="00D02DF8">
        <w:rPr>
          <w:rStyle w:val="FootnoteReference"/>
          <w:rFonts w:ascii="Times New Roman" w:hAnsi="Times New Roman" w:cs="Times New Roman"/>
        </w:rPr>
        <w:footnoteRef/>
      </w:r>
      <w:r w:rsidRPr="00D02DF8">
        <w:rPr>
          <w:rFonts w:ascii="Times New Roman" w:hAnsi="Times New Roman" w:cs="Times New Roman"/>
        </w:rPr>
        <w:t xml:space="preserve"> Houts, </w:t>
      </w:r>
      <w:r w:rsidRPr="00D02DF8">
        <w:rPr>
          <w:rFonts w:ascii="Times New Roman" w:hAnsi="Times New Roman" w:cs="Times New Roman"/>
          <w:i/>
          <w:iCs/>
        </w:rPr>
        <w:t>Historia Normannorum</w:t>
      </w:r>
      <w:r w:rsidRPr="00D02DF8">
        <w:rPr>
          <w:rFonts w:ascii="Times New Roman" w:hAnsi="Times New Roman" w:cs="Times New Roman"/>
        </w:rPr>
        <w:t>, p. 1.</w:t>
      </w:r>
    </w:p>
  </w:footnote>
  <w:footnote w:id="4">
    <w:p w14:paraId="2569F6E7" w14:textId="7CF64174" w:rsidR="00A7075C" w:rsidRPr="00424FF4" w:rsidRDefault="00A7075C">
      <w:pPr>
        <w:pStyle w:val="FootnoteText"/>
        <w:rPr>
          <w:rFonts w:ascii="Times New Roman" w:hAnsi="Times New Roman" w:cs="Times New Roman"/>
        </w:rPr>
      </w:pPr>
      <w:r w:rsidRPr="00424FF4">
        <w:rPr>
          <w:rStyle w:val="FootnoteReference"/>
          <w:rFonts w:ascii="Times New Roman" w:hAnsi="Times New Roman" w:cs="Times New Roman"/>
        </w:rPr>
        <w:footnoteRef/>
      </w:r>
      <w:r w:rsidRPr="00424FF4">
        <w:rPr>
          <w:rFonts w:ascii="Times New Roman" w:hAnsi="Times New Roman" w:cs="Times New Roman"/>
        </w:rPr>
        <w:t xml:space="preserve"> Dudo </w:t>
      </w:r>
      <w:r w:rsidR="00424FF4" w:rsidRPr="00424FF4">
        <w:rPr>
          <w:rFonts w:ascii="Times New Roman" w:hAnsi="Times New Roman" w:cs="Times New Roman"/>
        </w:rPr>
        <w:t xml:space="preserve">of </w:t>
      </w:r>
      <w:r w:rsidRPr="00424FF4">
        <w:rPr>
          <w:rFonts w:ascii="Times New Roman" w:hAnsi="Times New Roman" w:cs="Times New Roman"/>
        </w:rPr>
        <w:t xml:space="preserve">St Quentin, </w:t>
      </w:r>
      <w:r w:rsidRPr="00424FF4">
        <w:rPr>
          <w:rFonts w:ascii="Times New Roman" w:hAnsi="Times New Roman" w:cs="Times New Roman"/>
          <w:i/>
          <w:iCs/>
        </w:rPr>
        <w:t>Gesta Normannorum</w:t>
      </w:r>
      <w:r w:rsidRPr="00424FF4">
        <w:rPr>
          <w:rFonts w:ascii="Times New Roman" w:hAnsi="Times New Roman" w:cs="Times New Roman"/>
        </w:rPr>
        <w:t xml:space="preserve"> – chapter 10, as found in module handbook.</w:t>
      </w:r>
    </w:p>
  </w:footnote>
  <w:footnote w:id="5">
    <w:p w14:paraId="298A974A" w14:textId="41D8B0DB" w:rsidR="00B91556" w:rsidRPr="00424FF4" w:rsidRDefault="00B91556">
      <w:pPr>
        <w:pStyle w:val="FootnoteText"/>
        <w:rPr>
          <w:rFonts w:ascii="Times New Roman" w:hAnsi="Times New Roman" w:cs="Times New Roman"/>
        </w:rPr>
      </w:pPr>
      <w:r w:rsidRPr="00424FF4">
        <w:rPr>
          <w:rStyle w:val="FootnoteReference"/>
          <w:rFonts w:ascii="Times New Roman" w:hAnsi="Times New Roman" w:cs="Times New Roman"/>
        </w:rPr>
        <w:footnoteRef/>
      </w:r>
      <w:r w:rsidRPr="00424FF4">
        <w:rPr>
          <w:rFonts w:ascii="Times New Roman" w:hAnsi="Times New Roman" w:cs="Times New Roman"/>
        </w:rPr>
        <w:t xml:space="preserve"> Daniel William O’Connor, ‘Saint Peter the Apostle’ </w:t>
      </w:r>
      <w:r w:rsidRPr="00424FF4">
        <w:rPr>
          <w:rFonts w:ascii="Times New Roman" w:hAnsi="Times New Roman" w:cs="Times New Roman"/>
          <w:i/>
          <w:iCs/>
        </w:rPr>
        <w:t>Encyclopaedia Britannica</w:t>
      </w:r>
      <w:r w:rsidR="002B3380" w:rsidRPr="00424FF4">
        <w:rPr>
          <w:rFonts w:ascii="Times New Roman" w:hAnsi="Times New Roman" w:cs="Times New Roman"/>
        </w:rPr>
        <w:t>, (2020), &lt;</w:t>
      </w:r>
      <w:hyperlink r:id="rId2" w:history="1">
        <w:r w:rsidR="002B3380" w:rsidRPr="00424FF4">
          <w:rPr>
            <w:rStyle w:val="Hyperlink"/>
            <w:rFonts w:ascii="Times New Roman" w:hAnsi="Times New Roman" w:cs="Times New Roman"/>
          </w:rPr>
          <w:t>https://www.britannica.com/biography/Saint-Peter-the-Apostle</w:t>
        </w:r>
      </w:hyperlink>
      <w:proofErr w:type="gramStart"/>
      <w:r w:rsidR="002B3380" w:rsidRPr="00424FF4">
        <w:rPr>
          <w:rFonts w:ascii="Times New Roman" w:hAnsi="Times New Roman" w:cs="Times New Roman"/>
        </w:rPr>
        <w:t>&gt;[</w:t>
      </w:r>
      <w:proofErr w:type="gramEnd"/>
      <w:r w:rsidR="002B3380" w:rsidRPr="00424FF4">
        <w:rPr>
          <w:rFonts w:ascii="Times New Roman" w:hAnsi="Times New Roman" w:cs="Times New Roman"/>
        </w:rPr>
        <w:t>accessed 13 April 2021].</w:t>
      </w:r>
    </w:p>
  </w:footnote>
  <w:footnote w:id="6">
    <w:p w14:paraId="6A06F21F" w14:textId="32D76939" w:rsidR="00466795" w:rsidRPr="00424FF4" w:rsidRDefault="00466795">
      <w:pPr>
        <w:pStyle w:val="FootnoteText"/>
        <w:rPr>
          <w:rFonts w:ascii="Times New Roman" w:hAnsi="Times New Roman" w:cs="Times New Roman"/>
        </w:rPr>
      </w:pPr>
      <w:r w:rsidRPr="00424FF4">
        <w:rPr>
          <w:rStyle w:val="FootnoteReference"/>
          <w:rFonts w:ascii="Times New Roman" w:hAnsi="Times New Roman" w:cs="Times New Roman"/>
        </w:rPr>
        <w:footnoteRef/>
      </w:r>
      <w:r w:rsidRPr="00424FF4">
        <w:rPr>
          <w:rFonts w:ascii="Times New Roman" w:hAnsi="Times New Roman" w:cs="Times New Roman"/>
        </w:rPr>
        <w:t xml:space="preserve"> Dudo </w:t>
      </w:r>
      <w:r w:rsidR="00424FF4" w:rsidRPr="00424FF4">
        <w:rPr>
          <w:rFonts w:ascii="Times New Roman" w:hAnsi="Times New Roman" w:cs="Times New Roman"/>
        </w:rPr>
        <w:t>of St</w:t>
      </w:r>
      <w:r w:rsidRPr="00424FF4">
        <w:rPr>
          <w:rFonts w:ascii="Times New Roman" w:hAnsi="Times New Roman" w:cs="Times New Roman"/>
        </w:rPr>
        <w:t xml:space="preserve"> Quentin, </w:t>
      </w:r>
      <w:r w:rsidRPr="00424FF4">
        <w:rPr>
          <w:rFonts w:ascii="Times New Roman" w:hAnsi="Times New Roman" w:cs="Times New Roman"/>
          <w:i/>
          <w:iCs/>
        </w:rPr>
        <w:t>Gesta Normannorum</w:t>
      </w:r>
      <w:r w:rsidRPr="00424FF4">
        <w:rPr>
          <w:rFonts w:ascii="Times New Roman" w:hAnsi="Times New Roman" w:cs="Times New Roman"/>
        </w:rPr>
        <w:t>, as found in the module handbook.</w:t>
      </w:r>
    </w:p>
  </w:footnote>
  <w:footnote w:id="7">
    <w:p w14:paraId="17A5B3DB" w14:textId="1E806701" w:rsidR="00242E79" w:rsidRDefault="00242E79">
      <w:pPr>
        <w:pStyle w:val="FootnoteText"/>
      </w:pPr>
      <w:r w:rsidRPr="00424FF4">
        <w:rPr>
          <w:rStyle w:val="FootnoteReference"/>
          <w:rFonts w:ascii="Times New Roman" w:hAnsi="Times New Roman" w:cs="Times New Roman"/>
        </w:rPr>
        <w:footnoteRef/>
      </w:r>
      <w:r w:rsidRPr="00424FF4">
        <w:rPr>
          <w:rFonts w:ascii="Times New Roman" w:hAnsi="Times New Roman" w:cs="Times New Roman"/>
        </w:rPr>
        <w:t xml:space="preserve"> Dudo </w:t>
      </w:r>
      <w:r w:rsidR="00424FF4" w:rsidRPr="00424FF4">
        <w:rPr>
          <w:rFonts w:ascii="Times New Roman" w:hAnsi="Times New Roman" w:cs="Times New Roman"/>
        </w:rPr>
        <w:t xml:space="preserve">of St Quentin, </w:t>
      </w:r>
      <w:r w:rsidR="00424FF4" w:rsidRPr="00424FF4">
        <w:rPr>
          <w:rFonts w:ascii="Times New Roman" w:hAnsi="Times New Roman" w:cs="Times New Roman"/>
          <w:i/>
          <w:iCs/>
        </w:rPr>
        <w:t>Gesta Normannorum</w:t>
      </w:r>
      <w:r w:rsidR="00424FF4" w:rsidRPr="00424FF4">
        <w:rPr>
          <w:rFonts w:ascii="Times New Roman" w:hAnsi="Times New Roman" w:cs="Times New Roman"/>
        </w:rPr>
        <w:t xml:space="preserve">, as found in the module handbook. </w:t>
      </w:r>
    </w:p>
  </w:footnote>
  <w:footnote w:id="8">
    <w:p w14:paraId="1A3E904A" w14:textId="3202261E" w:rsidR="003755AB" w:rsidRPr="003755AB" w:rsidRDefault="003755AB">
      <w:pPr>
        <w:pStyle w:val="FootnoteText"/>
        <w:rPr>
          <w:rFonts w:ascii="Times New Roman" w:hAnsi="Times New Roman" w:cs="Times New Roman"/>
        </w:rPr>
      </w:pPr>
      <w:r w:rsidRPr="003755AB">
        <w:rPr>
          <w:rStyle w:val="FootnoteReference"/>
          <w:rFonts w:ascii="Times New Roman" w:hAnsi="Times New Roman" w:cs="Times New Roman"/>
        </w:rPr>
        <w:footnoteRef/>
      </w:r>
      <w:r w:rsidRPr="003755AB">
        <w:rPr>
          <w:rFonts w:ascii="Times New Roman" w:hAnsi="Times New Roman" w:cs="Times New Roman"/>
        </w:rPr>
        <w:t xml:space="preserve"> Dudo of St Quentin, </w:t>
      </w:r>
      <w:r w:rsidRPr="003755AB">
        <w:rPr>
          <w:rFonts w:ascii="Times New Roman" w:hAnsi="Times New Roman" w:cs="Times New Roman"/>
          <w:i/>
          <w:iCs/>
        </w:rPr>
        <w:t>Gesta Normannorum</w:t>
      </w:r>
      <w:r w:rsidRPr="003755AB">
        <w:rPr>
          <w:rFonts w:ascii="Times New Roman" w:hAnsi="Times New Roman" w:cs="Times New Roman"/>
        </w:rPr>
        <w:t>, as found in the module handbook.</w:t>
      </w:r>
    </w:p>
  </w:footnote>
  <w:footnote w:id="9">
    <w:p w14:paraId="3328E7D1" w14:textId="1B1D7D7A" w:rsidR="00186DA0" w:rsidRPr="00186DA0" w:rsidRDefault="00186DA0">
      <w:pPr>
        <w:pStyle w:val="FootnoteText"/>
        <w:rPr>
          <w:rFonts w:ascii="Times New Roman" w:hAnsi="Times New Roman" w:cs="Times New Roman"/>
        </w:rPr>
      </w:pPr>
      <w:r w:rsidRPr="00186DA0">
        <w:rPr>
          <w:rStyle w:val="FootnoteReference"/>
          <w:rFonts w:ascii="Times New Roman" w:hAnsi="Times New Roman" w:cs="Times New Roman"/>
        </w:rPr>
        <w:footnoteRef/>
      </w:r>
      <w:r w:rsidRPr="00186DA0">
        <w:rPr>
          <w:rFonts w:ascii="Times New Roman" w:hAnsi="Times New Roman" w:cs="Times New Roman"/>
        </w:rPr>
        <w:t xml:space="preserve"> Dudo of St Quentin, </w:t>
      </w:r>
      <w:r w:rsidRPr="00186DA0">
        <w:rPr>
          <w:rFonts w:ascii="Times New Roman" w:hAnsi="Times New Roman" w:cs="Times New Roman"/>
          <w:i/>
          <w:iCs/>
        </w:rPr>
        <w:t>Gesta Normannorum</w:t>
      </w:r>
      <w:r w:rsidRPr="00186DA0">
        <w:rPr>
          <w:rFonts w:ascii="Times New Roman" w:hAnsi="Times New Roman" w:cs="Times New Roman"/>
        </w:rPr>
        <w:t>, as found in the module handbook.</w:t>
      </w:r>
    </w:p>
  </w:footnote>
  <w:footnote w:id="10">
    <w:p w14:paraId="65543ADC" w14:textId="23FB9AF9" w:rsidR="00036AA3" w:rsidRPr="00036AA3" w:rsidRDefault="00036AA3">
      <w:pPr>
        <w:pStyle w:val="FootnoteText"/>
        <w:rPr>
          <w:rFonts w:ascii="Times New Roman" w:hAnsi="Times New Roman" w:cs="Times New Roman"/>
        </w:rPr>
      </w:pPr>
      <w:r w:rsidRPr="00036AA3">
        <w:rPr>
          <w:rStyle w:val="FootnoteReference"/>
          <w:rFonts w:ascii="Times New Roman" w:hAnsi="Times New Roman" w:cs="Times New Roman"/>
        </w:rPr>
        <w:footnoteRef/>
      </w:r>
      <w:r w:rsidRPr="00036AA3">
        <w:rPr>
          <w:rFonts w:ascii="Times New Roman" w:hAnsi="Times New Roman" w:cs="Times New Roman"/>
        </w:rPr>
        <w:t xml:space="preserve"> Dudo of St Quentin, </w:t>
      </w:r>
      <w:r w:rsidRPr="00036AA3">
        <w:rPr>
          <w:rFonts w:ascii="Times New Roman" w:hAnsi="Times New Roman" w:cs="Times New Roman"/>
          <w:i/>
          <w:iCs/>
        </w:rPr>
        <w:t>Gesta Normannorum</w:t>
      </w:r>
      <w:r w:rsidRPr="00036AA3">
        <w:rPr>
          <w:rFonts w:ascii="Times New Roman" w:hAnsi="Times New Roman" w:cs="Times New Roman"/>
        </w:rPr>
        <w:t>, as found in the module handbook.</w:t>
      </w:r>
    </w:p>
  </w:footnote>
  <w:footnote w:id="11">
    <w:p w14:paraId="1A1F22A6" w14:textId="523D08A5" w:rsidR="00A46961" w:rsidRPr="001E52F8" w:rsidRDefault="00A46961">
      <w:pPr>
        <w:pStyle w:val="FootnoteText"/>
        <w:rPr>
          <w:rFonts w:ascii="Times New Roman" w:hAnsi="Times New Roman" w:cs="Times New Roman"/>
        </w:rPr>
      </w:pPr>
      <w:r w:rsidRPr="001E52F8">
        <w:rPr>
          <w:rStyle w:val="FootnoteReference"/>
          <w:rFonts w:ascii="Times New Roman" w:hAnsi="Times New Roman" w:cs="Times New Roman"/>
        </w:rPr>
        <w:footnoteRef/>
      </w:r>
      <w:r w:rsidRPr="001E52F8">
        <w:rPr>
          <w:rFonts w:ascii="Times New Roman" w:hAnsi="Times New Roman" w:cs="Times New Roman"/>
        </w:rPr>
        <w:t xml:space="preserve"> Amatus of Montecassino, </w:t>
      </w:r>
      <w:r w:rsidR="001E52F8" w:rsidRPr="001E52F8">
        <w:rPr>
          <w:rFonts w:ascii="Times New Roman" w:hAnsi="Times New Roman" w:cs="Times New Roman"/>
          <w:i/>
          <w:iCs/>
        </w:rPr>
        <w:t>Vision of the Battle of Civitate</w:t>
      </w:r>
      <w:r w:rsidR="001E52F8">
        <w:rPr>
          <w:rFonts w:ascii="Times New Roman" w:hAnsi="Times New Roman" w:cs="Times New Roman"/>
        </w:rPr>
        <w:t xml:space="preserve"> – source 9, </w:t>
      </w:r>
      <w:r w:rsidR="001E52F8" w:rsidRPr="001E52F8">
        <w:rPr>
          <w:rFonts w:ascii="Times New Roman" w:hAnsi="Times New Roman" w:cs="Times New Roman"/>
        </w:rPr>
        <w:t>as found in module handbook.</w:t>
      </w:r>
    </w:p>
  </w:footnote>
  <w:footnote w:id="12">
    <w:p w14:paraId="5DF194CE" w14:textId="1FD6ED7E" w:rsidR="00FE51DB" w:rsidRPr="002A6B55" w:rsidRDefault="00FE51DB">
      <w:pPr>
        <w:pStyle w:val="FootnoteText"/>
        <w:rPr>
          <w:rFonts w:ascii="Times New Roman" w:hAnsi="Times New Roman" w:cs="Times New Roman"/>
        </w:rPr>
      </w:pPr>
      <w:r w:rsidRPr="002A6B55">
        <w:rPr>
          <w:rStyle w:val="FootnoteReference"/>
          <w:rFonts w:ascii="Times New Roman" w:hAnsi="Times New Roman" w:cs="Times New Roman"/>
        </w:rPr>
        <w:footnoteRef/>
      </w:r>
      <w:r w:rsidRPr="002A6B55">
        <w:rPr>
          <w:rFonts w:ascii="Times New Roman" w:hAnsi="Times New Roman" w:cs="Times New Roman"/>
        </w:rPr>
        <w:t xml:space="preserve"> Nick Webber, </w:t>
      </w:r>
      <w:r w:rsidRPr="002A6B55">
        <w:rPr>
          <w:rFonts w:ascii="Times New Roman" w:hAnsi="Times New Roman" w:cs="Times New Roman"/>
          <w:i/>
          <w:iCs/>
        </w:rPr>
        <w:t>The Evolution of Norman Identity 911-1154</w:t>
      </w:r>
      <w:r w:rsidRPr="002A6B55">
        <w:rPr>
          <w:rFonts w:ascii="Times New Roman" w:hAnsi="Times New Roman" w:cs="Times New Roman"/>
        </w:rPr>
        <w:t xml:space="preserve"> (Woodbridge: The Boydell Press, 2005), p. 19.</w:t>
      </w:r>
    </w:p>
  </w:footnote>
  <w:footnote w:id="13">
    <w:p w14:paraId="5ABCBB16" w14:textId="73AFE972" w:rsidR="002A6B55" w:rsidRDefault="002A6B55">
      <w:pPr>
        <w:pStyle w:val="FootnoteText"/>
      </w:pPr>
      <w:r w:rsidRPr="002A6B55">
        <w:rPr>
          <w:rStyle w:val="FootnoteReference"/>
          <w:rFonts w:ascii="Times New Roman" w:hAnsi="Times New Roman" w:cs="Times New Roman"/>
        </w:rPr>
        <w:footnoteRef/>
      </w:r>
      <w:r w:rsidRPr="002A6B55">
        <w:rPr>
          <w:rFonts w:ascii="Times New Roman" w:hAnsi="Times New Roman" w:cs="Times New Roman"/>
        </w:rPr>
        <w:t xml:space="preserve"> Trevor Rowley, </w:t>
      </w:r>
      <w:r w:rsidRPr="002A6B55">
        <w:rPr>
          <w:rFonts w:ascii="Times New Roman" w:hAnsi="Times New Roman" w:cs="Times New Roman"/>
          <w:i/>
          <w:iCs/>
        </w:rPr>
        <w:t>The Normans</w:t>
      </w:r>
      <w:r w:rsidRPr="002A6B55">
        <w:rPr>
          <w:rFonts w:ascii="Times New Roman" w:hAnsi="Times New Roman" w:cs="Times New Roman"/>
        </w:rPr>
        <w:t xml:space="preserve"> (Gloucestershire: Tempus Publishing Ltd, 2000), p. 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EDD"/>
    <w:rsid w:val="00036AA3"/>
    <w:rsid w:val="00037CAA"/>
    <w:rsid w:val="00114C59"/>
    <w:rsid w:val="00131FC6"/>
    <w:rsid w:val="00185950"/>
    <w:rsid w:val="00186DA0"/>
    <w:rsid w:val="001E52F8"/>
    <w:rsid w:val="00242E79"/>
    <w:rsid w:val="002A6B55"/>
    <w:rsid w:val="002B3380"/>
    <w:rsid w:val="00350900"/>
    <w:rsid w:val="003755AB"/>
    <w:rsid w:val="00395C00"/>
    <w:rsid w:val="003D3B38"/>
    <w:rsid w:val="003F19DD"/>
    <w:rsid w:val="00423AF0"/>
    <w:rsid w:val="00424FF4"/>
    <w:rsid w:val="00446870"/>
    <w:rsid w:val="00466795"/>
    <w:rsid w:val="004B596E"/>
    <w:rsid w:val="005574BB"/>
    <w:rsid w:val="00743EAD"/>
    <w:rsid w:val="007702D0"/>
    <w:rsid w:val="00782AA8"/>
    <w:rsid w:val="007C7890"/>
    <w:rsid w:val="007D2B17"/>
    <w:rsid w:val="008024B2"/>
    <w:rsid w:val="00857FFB"/>
    <w:rsid w:val="008714A1"/>
    <w:rsid w:val="00874F2D"/>
    <w:rsid w:val="008A5418"/>
    <w:rsid w:val="008D286D"/>
    <w:rsid w:val="009E4318"/>
    <w:rsid w:val="00A112B7"/>
    <w:rsid w:val="00A43F5B"/>
    <w:rsid w:val="00A46961"/>
    <w:rsid w:val="00A7075C"/>
    <w:rsid w:val="00AB6593"/>
    <w:rsid w:val="00B91556"/>
    <w:rsid w:val="00C30DF7"/>
    <w:rsid w:val="00C93D4A"/>
    <w:rsid w:val="00CD3AC5"/>
    <w:rsid w:val="00CE7B62"/>
    <w:rsid w:val="00CF65E3"/>
    <w:rsid w:val="00D02DF8"/>
    <w:rsid w:val="00D73E1E"/>
    <w:rsid w:val="00DE34DA"/>
    <w:rsid w:val="00E30526"/>
    <w:rsid w:val="00E513E6"/>
    <w:rsid w:val="00EB2DBE"/>
    <w:rsid w:val="00F007A4"/>
    <w:rsid w:val="00F04039"/>
    <w:rsid w:val="00F67B6B"/>
    <w:rsid w:val="00F87EDD"/>
    <w:rsid w:val="00FE5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080A620"/>
  <w15:chartTrackingRefBased/>
  <w15:docId w15:val="{0AD4BB42-CBEF-394C-9A15-0ECB5E022E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7EDD"/>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112B7"/>
    <w:pPr>
      <w:spacing w:after="0" w:line="240" w:lineRule="auto"/>
    </w:pPr>
    <w:rPr>
      <w:sz w:val="20"/>
      <w:szCs w:val="20"/>
    </w:rPr>
  </w:style>
  <w:style w:type="character" w:customStyle="1" w:styleId="FootnoteTextChar">
    <w:name w:val="Footnote Text Char"/>
    <w:basedOn w:val="DefaultParagraphFont"/>
    <w:link w:val="FootnoteText"/>
    <w:uiPriority w:val="99"/>
    <w:rsid w:val="00A112B7"/>
    <w:rPr>
      <w:sz w:val="20"/>
      <w:szCs w:val="20"/>
    </w:rPr>
  </w:style>
  <w:style w:type="character" w:styleId="FootnoteReference">
    <w:name w:val="footnote reference"/>
    <w:basedOn w:val="DefaultParagraphFont"/>
    <w:uiPriority w:val="99"/>
    <w:semiHidden/>
    <w:unhideWhenUsed/>
    <w:rsid w:val="00A112B7"/>
    <w:rPr>
      <w:vertAlign w:val="superscript"/>
    </w:rPr>
  </w:style>
  <w:style w:type="character" w:styleId="Strong">
    <w:name w:val="Strong"/>
    <w:basedOn w:val="DefaultParagraphFont"/>
    <w:uiPriority w:val="22"/>
    <w:qFormat/>
    <w:rsid w:val="00A112B7"/>
    <w:rPr>
      <w:b/>
      <w:bCs/>
    </w:rPr>
  </w:style>
  <w:style w:type="paragraph" w:styleId="NormalWeb">
    <w:name w:val="Normal (Web)"/>
    <w:basedOn w:val="Normal"/>
    <w:uiPriority w:val="99"/>
    <w:unhideWhenUsed/>
    <w:rsid w:val="00C30D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30DF7"/>
    <w:rPr>
      <w:color w:val="0563C1" w:themeColor="hyperlink"/>
      <w:u w:val="single"/>
    </w:rPr>
  </w:style>
  <w:style w:type="character" w:styleId="UnresolvedMention">
    <w:name w:val="Unresolved Mention"/>
    <w:basedOn w:val="DefaultParagraphFont"/>
    <w:uiPriority w:val="99"/>
    <w:semiHidden/>
    <w:unhideWhenUsed/>
    <w:rsid w:val="00C30DF7"/>
    <w:rPr>
      <w:color w:val="605E5C"/>
      <w:shd w:val="clear" w:color="auto" w:fill="E1DFDD"/>
    </w:rPr>
  </w:style>
  <w:style w:type="character" w:styleId="FollowedHyperlink">
    <w:name w:val="FollowedHyperlink"/>
    <w:basedOn w:val="DefaultParagraphFont"/>
    <w:uiPriority w:val="99"/>
    <w:semiHidden/>
    <w:unhideWhenUsed/>
    <w:rsid w:val="00D02D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7428994">
      <w:bodyDiv w:val="1"/>
      <w:marLeft w:val="0"/>
      <w:marRight w:val="0"/>
      <w:marTop w:val="0"/>
      <w:marBottom w:val="0"/>
      <w:divBdr>
        <w:top w:val="none" w:sz="0" w:space="0" w:color="auto"/>
        <w:left w:val="none" w:sz="0" w:space="0" w:color="auto"/>
        <w:bottom w:val="none" w:sz="0" w:space="0" w:color="auto"/>
        <w:right w:val="none" w:sz="0" w:space="0" w:color="auto"/>
      </w:divBdr>
      <w:divsChild>
        <w:div w:id="616524425">
          <w:marLeft w:val="0"/>
          <w:marRight w:val="0"/>
          <w:marTop w:val="0"/>
          <w:marBottom w:val="0"/>
          <w:divBdr>
            <w:top w:val="none" w:sz="0" w:space="0" w:color="auto"/>
            <w:left w:val="none" w:sz="0" w:space="0" w:color="auto"/>
            <w:bottom w:val="none" w:sz="0" w:space="0" w:color="auto"/>
            <w:right w:val="none" w:sz="0" w:space="0" w:color="auto"/>
          </w:divBdr>
          <w:divsChild>
            <w:div w:id="1825972230">
              <w:marLeft w:val="0"/>
              <w:marRight w:val="0"/>
              <w:marTop w:val="0"/>
              <w:marBottom w:val="0"/>
              <w:divBdr>
                <w:top w:val="none" w:sz="0" w:space="0" w:color="auto"/>
                <w:left w:val="none" w:sz="0" w:space="0" w:color="auto"/>
                <w:bottom w:val="none" w:sz="0" w:space="0" w:color="auto"/>
                <w:right w:val="none" w:sz="0" w:space="0" w:color="auto"/>
              </w:divBdr>
              <w:divsChild>
                <w:div w:id="2105105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728921">
      <w:bodyDiv w:val="1"/>
      <w:marLeft w:val="0"/>
      <w:marRight w:val="0"/>
      <w:marTop w:val="0"/>
      <w:marBottom w:val="0"/>
      <w:divBdr>
        <w:top w:val="none" w:sz="0" w:space="0" w:color="auto"/>
        <w:left w:val="none" w:sz="0" w:space="0" w:color="auto"/>
        <w:bottom w:val="none" w:sz="0" w:space="0" w:color="auto"/>
        <w:right w:val="none" w:sz="0" w:space="0" w:color="auto"/>
      </w:divBdr>
    </w:div>
    <w:div w:id="1679382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biography/Saint-Peter-the-Apostle" TargetMode="External"/><Relationship Id="rId3" Type="http://schemas.openxmlformats.org/officeDocument/2006/relationships/settings" Target="settings.xml"/><Relationship Id="rId7" Type="http://schemas.openxmlformats.org/officeDocument/2006/relationships/hyperlink" Target="https://reviews.history.ac.uk/review/187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biography/Saint-Peter-the-Apostle" TargetMode="External"/><Relationship Id="rId1" Type="http://schemas.openxmlformats.org/officeDocument/2006/relationships/hyperlink" Target="https://reviews.history.ac.uk/review/18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3572A9-58DC-DF4B-8E9A-26E035B72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321</TotalTime>
  <Pages>5</Pages>
  <Words>1493</Words>
  <Characters>7216</Characters>
  <Application>Microsoft Office Word</Application>
  <DocSecurity>0</DocSecurity>
  <Lines>138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 Spackman (1701908)</dc:creator>
  <cp:keywords/>
  <dc:description/>
  <cp:lastModifiedBy>Jodie Spackman (1701908)</cp:lastModifiedBy>
  <cp:revision>25</cp:revision>
  <dcterms:created xsi:type="dcterms:W3CDTF">2021-04-11T18:08:00Z</dcterms:created>
  <dcterms:modified xsi:type="dcterms:W3CDTF">2021-04-14T12:50:00Z</dcterms:modified>
</cp:coreProperties>
</file>