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AC76D" w14:textId="77777777" w:rsidR="003D5873" w:rsidRDefault="003D5873" w:rsidP="003D5873">
      <w:pPr>
        <w:pStyle w:val="Title"/>
        <w:spacing w:line="360" w:lineRule="auto"/>
        <w:jc w:val="both"/>
        <w:rPr>
          <w:lang w:val="en-US"/>
        </w:rPr>
      </w:pPr>
    </w:p>
    <w:p w14:paraId="23815C2B" w14:textId="77777777" w:rsidR="003D5873" w:rsidRDefault="003D5873" w:rsidP="003D5873">
      <w:pPr>
        <w:pStyle w:val="Title"/>
        <w:spacing w:line="360" w:lineRule="auto"/>
        <w:rPr>
          <w:lang w:val="en-US"/>
        </w:rPr>
      </w:pPr>
    </w:p>
    <w:p w14:paraId="34B9A09C" w14:textId="77777777" w:rsidR="003D5873" w:rsidRDefault="003D5873" w:rsidP="003D5873">
      <w:pPr>
        <w:pStyle w:val="Title"/>
        <w:spacing w:line="360" w:lineRule="auto"/>
        <w:rPr>
          <w:lang w:val="en-US"/>
        </w:rPr>
      </w:pPr>
    </w:p>
    <w:p w14:paraId="505342FC" w14:textId="77777777" w:rsidR="003D5873" w:rsidRDefault="003D5873" w:rsidP="003D5873">
      <w:pPr>
        <w:pStyle w:val="Title"/>
        <w:spacing w:line="360" w:lineRule="auto"/>
        <w:rPr>
          <w:lang w:val="en-US"/>
        </w:rPr>
      </w:pPr>
    </w:p>
    <w:p w14:paraId="253D8DDF" w14:textId="77777777" w:rsidR="003D5873" w:rsidRDefault="003D5873" w:rsidP="003D5873">
      <w:pPr>
        <w:pStyle w:val="Title"/>
        <w:spacing w:line="360" w:lineRule="auto"/>
        <w:rPr>
          <w:lang w:val="en-US"/>
        </w:rPr>
      </w:pPr>
    </w:p>
    <w:p w14:paraId="301C9E8A" w14:textId="270AA4F6" w:rsidR="003D5873" w:rsidRPr="009D051F" w:rsidRDefault="003D5873" w:rsidP="009D051F">
      <w:pPr>
        <w:pStyle w:val="Title"/>
        <w:spacing w:line="360" w:lineRule="auto"/>
        <w:rPr>
          <w:b/>
          <w:bCs/>
          <w:lang w:val="en-US"/>
        </w:rPr>
      </w:pPr>
      <w:r w:rsidRPr="003D5873">
        <w:rPr>
          <w:b/>
          <w:bCs/>
          <w:lang w:val="en-US"/>
        </w:rPr>
        <w:t xml:space="preserve">Diversity in the Judiciary </w:t>
      </w:r>
    </w:p>
    <w:p w14:paraId="54FAED5F" w14:textId="77777777" w:rsidR="003D5873" w:rsidRDefault="003D5873" w:rsidP="003D5873">
      <w:pPr>
        <w:pStyle w:val="Title"/>
        <w:spacing w:line="360" w:lineRule="auto"/>
        <w:rPr>
          <w:lang w:val="en-US"/>
        </w:rPr>
      </w:pPr>
    </w:p>
    <w:p w14:paraId="39713C2A" w14:textId="165407AD" w:rsidR="003D5873" w:rsidRDefault="00DB31AF" w:rsidP="003D5873">
      <w:pPr>
        <w:pStyle w:val="Title"/>
        <w:spacing w:line="360" w:lineRule="auto"/>
        <w:rPr>
          <w:lang w:val="en-US"/>
        </w:rPr>
      </w:pPr>
      <w:r>
        <w:rPr>
          <w:lang w:val="en-US"/>
        </w:rPr>
        <w:t>Muhammad Nasir Khalil</w:t>
      </w:r>
    </w:p>
    <w:p w14:paraId="3ED6E7D7" w14:textId="3AA06EBB" w:rsidR="003D5873" w:rsidRDefault="00DB31AF" w:rsidP="009D051F">
      <w:pPr>
        <w:rPr>
          <w:lang w:val="en-US"/>
        </w:rPr>
      </w:pPr>
      <w:r>
        <w:rPr>
          <w:lang w:val="en-US"/>
        </w:rPr>
        <w:t xml:space="preserve">                     </w:t>
      </w:r>
      <w:r w:rsidR="003470B7">
        <w:rPr>
          <w:lang w:val="en-US"/>
        </w:rPr>
        <w:t xml:space="preserve">      </w:t>
      </w:r>
      <w:r>
        <w:rPr>
          <w:lang w:val="en-US"/>
        </w:rPr>
        <w:t xml:space="preserve">  </w:t>
      </w:r>
      <w:r w:rsidR="003470B7">
        <w:rPr>
          <w:lang w:val="en-US"/>
        </w:rPr>
        <w:t>(2132473)</w:t>
      </w:r>
    </w:p>
    <w:p w14:paraId="55890B08" w14:textId="79FF0654" w:rsidR="003D5873" w:rsidRDefault="003D5873" w:rsidP="003D5873">
      <w:pPr>
        <w:pStyle w:val="Title"/>
        <w:spacing w:line="360" w:lineRule="auto"/>
        <w:rPr>
          <w:lang w:val="en-US"/>
        </w:rPr>
      </w:pPr>
      <w:r>
        <w:rPr>
          <w:lang w:val="en-US"/>
        </w:rPr>
        <w:t>[</w:t>
      </w:r>
      <w:r w:rsidR="003470B7">
        <w:rPr>
          <w:lang w:val="en-US"/>
        </w:rPr>
        <w:t>CERTHE10 Law an</w:t>
      </w:r>
      <w:r w:rsidR="0027264E">
        <w:rPr>
          <w:lang w:val="en-US"/>
        </w:rPr>
        <w:t>d</w:t>
      </w:r>
      <w:r w:rsidR="003470B7">
        <w:rPr>
          <w:lang w:val="en-US"/>
        </w:rPr>
        <w:t xml:space="preserve"> Legal</w:t>
      </w:r>
      <w:r w:rsidR="0027264E">
        <w:rPr>
          <w:lang w:val="en-US"/>
        </w:rPr>
        <w:t xml:space="preserve"> Practice]</w:t>
      </w:r>
    </w:p>
    <w:p w14:paraId="05790947" w14:textId="0ADABD28" w:rsidR="003D5873" w:rsidRDefault="003D5873" w:rsidP="003D5873">
      <w:pPr>
        <w:pStyle w:val="Title"/>
        <w:spacing w:line="360" w:lineRule="auto"/>
        <w:rPr>
          <w:lang w:val="en-US"/>
        </w:rPr>
      </w:pPr>
      <w:r>
        <w:rPr>
          <w:lang w:val="en-US"/>
        </w:rPr>
        <w:t>[</w:t>
      </w:r>
      <w:r w:rsidR="00892D59">
        <w:rPr>
          <w:lang w:val="en-US"/>
        </w:rPr>
        <w:t>Legal Process]</w:t>
      </w:r>
    </w:p>
    <w:p w14:paraId="0F659454" w14:textId="06872122" w:rsidR="003D5873" w:rsidRDefault="003D5873" w:rsidP="00D731B1">
      <w:pPr>
        <w:pStyle w:val="Title"/>
        <w:spacing w:line="360" w:lineRule="auto"/>
        <w:jc w:val="both"/>
        <w:rPr>
          <w:b/>
          <w:szCs w:val="32"/>
          <w:lang w:val="en-US"/>
        </w:rPr>
      </w:pPr>
    </w:p>
    <w:sdt>
      <w:sdtPr>
        <w:rPr>
          <w:rFonts w:ascii="Times New Roman" w:eastAsiaTheme="minorHAnsi" w:hAnsi="Times New Roman" w:cstheme="minorBidi"/>
          <w:color w:val="auto"/>
          <w:sz w:val="24"/>
          <w:szCs w:val="22"/>
          <w:lang w:val="en-GB"/>
        </w:rPr>
        <w:id w:val="85965569"/>
        <w:docPartObj>
          <w:docPartGallery w:val="Table of Contents"/>
          <w:docPartUnique/>
        </w:docPartObj>
      </w:sdtPr>
      <w:sdtEndPr/>
      <w:sdtContent>
        <w:p w14:paraId="46F82272" w14:textId="77777777" w:rsidR="003D5873" w:rsidRDefault="003D5873" w:rsidP="003D5873">
          <w:pPr>
            <w:pStyle w:val="TOCHeading"/>
            <w:spacing w:line="360" w:lineRule="auto"/>
            <w:jc w:val="both"/>
          </w:pPr>
          <w:r>
            <w:t>Table of Contents</w:t>
          </w:r>
        </w:p>
        <w:p w14:paraId="384E57A4" w14:textId="77777777" w:rsidR="003D5873" w:rsidRDefault="003D5873" w:rsidP="003D5873">
          <w:pPr>
            <w:pStyle w:val="TOC1"/>
            <w:tabs>
              <w:tab w:val="right" w:leader="dot" w:pos="9016"/>
            </w:tabs>
            <w:spacing w:line="360" w:lineRule="auto"/>
            <w:rPr>
              <w:noProof/>
            </w:rPr>
          </w:pPr>
          <w:r>
            <w:fldChar w:fldCharType="begin"/>
          </w:r>
          <w:r>
            <w:instrText xml:space="preserve"> TOC \o "1-3" \h \z \u </w:instrText>
          </w:r>
          <w:r>
            <w:fldChar w:fldCharType="separate"/>
          </w:r>
          <w:hyperlink r:id="rId4" w:anchor="_Toc104571078" w:history="1">
            <w:r>
              <w:rPr>
                <w:rStyle w:val="Hyperlink"/>
                <w:noProof/>
                <w:lang w:val="en-US"/>
              </w:rPr>
              <w:t>Introduction</w:t>
            </w:r>
            <w:r>
              <w:rPr>
                <w:rStyle w:val="Hyperlink"/>
                <w:noProof/>
                <w:webHidden/>
              </w:rPr>
              <w:tab/>
            </w:r>
            <w:r>
              <w:rPr>
                <w:rStyle w:val="Hyperlink"/>
                <w:noProof/>
                <w:webHidden/>
              </w:rPr>
              <w:fldChar w:fldCharType="begin"/>
            </w:r>
            <w:r>
              <w:rPr>
                <w:rStyle w:val="Hyperlink"/>
                <w:noProof/>
                <w:webHidden/>
              </w:rPr>
              <w:instrText xml:space="preserve"> PAGEREF _Toc104571078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3084FB75" w14:textId="77777777" w:rsidR="003D5873" w:rsidRDefault="00BF4744" w:rsidP="003D5873">
          <w:pPr>
            <w:pStyle w:val="TOC1"/>
            <w:tabs>
              <w:tab w:val="right" w:leader="dot" w:pos="9016"/>
            </w:tabs>
            <w:spacing w:line="360" w:lineRule="auto"/>
            <w:rPr>
              <w:noProof/>
            </w:rPr>
          </w:pPr>
          <w:hyperlink r:id="rId5" w:anchor="_Toc104571079" w:history="1">
            <w:r w:rsidR="003D5873">
              <w:rPr>
                <w:rStyle w:val="Hyperlink"/>
                <w:noProof/>
                <w:lang w:val="en-US"/>
              </w:rPr>
              <w:t>History of Diversification in the Judiciary of UK</w:t>
            </w:r>
            <w:r w:rsidR="003D5873">
              <w:rPr>
                <w:rStyle w:val="Hyperlink"/>
                <w:noProof/>
                <w:webHidden/>
              </w:rPr>
              <w:tab/>
            </w:r>
            <w:r w:rsidR="003D5873">
              <w:rPr>
                <w:rStyle w:val="Hyperlink"/>
                <w:noProof/>
                <w:webHidden/>
              </w:rPr>
              <w:fldChar w:fldCharType="begin"/>
            </w:r>
            <w:r w:rsidR="003D5873">
              <w:rPr>
                <w:rStyle w:val="Hyperlink"/>
                <w:noProof/>
                <w:webHidden/>
              </w:rPr>
              <w:instrText xml:space="preserve"> PAGEREF _Toc104571079 \h </w:instrText>
            </w:r>
            <w:r w:rsidR="003D5873">
              <w:rPr>
                <w:rStyle w:val="Hyperlink"/>
                <w:noProof/>
                <w:webHidden/>
              </w:rPr>
            </w:r>
            <w:r w:rsidR="003D5873">
              <w:rPr>
                <w:rStyle w:val="Hyperlink"/>
                <w:noProof/>
                <w:webHidden/>
              </w:rPr>
              <w:fldChar w:fldCharType="separate"/>
            </w:r>
            <w:r w:rsidR="003D5873">
              <w:rPr>
                <w:rStyle w:val="Hyperlink"/>
                <w:noProof/>
                <w:webHidden/>
              </w:rPr>
              <w:t>3</w:t>
            </w:r>
            <w:r w:rsidR="003D5873">
              <w:rPr>
                <w:rStyle w:val="Hyperlink"/>
                <w:noProof/>
                <w:webHidden/>
              </w:rPr>
              <w:fldChar w:fldCharType="end"/>
            </w:r>
          </w:hyperlink>
        </w:p>
        <w:p w14:paraId="78AF78EA" w14:textId="77777777" w:rsidR="003D5873" w:rsidRDefault="00BF4744" w:rsidP="003D5873">
          <w:pPr>
            <w:pStyle w:val="TOC1"/>
            <w:tabs>
              <w:tab w:val="right" w:leader="dot" w:pos="9016"/>
            </w:tabs>
            <w:spacing w:line="360" w:lineRule="auto"/>
            <w:rPr>
              <w:noProof/>
            </w:rPr>
          </w:pPr>
          <w:hyperlink r:id="rId6" w:anchor="_Toc104571080" w:history="1">
            <w:r w:rsidR="003D5873">
              <w:rPr>
                <w:rStyle w:val="Hyperlink"/>
                <w:noProof/>
                <w:lang w:val="en-US"/>
              </w:rPr>
              <w:t>Diversification in the Judiciary in UK</w:t>
            </w:r>
            <w:r w:rsidR="003D5873">
              <w:rPr>
                <w:rStyle w:val="Hyperlink"/>
                <w:noProof/>
                <w:webHidden/>
              </w:rPr>
              <w:tab/>
            </w:r>
            <w:r w:rsidR="003D5873">
              <w:rPr>
                <w:rStyle w:val="Hyperlink"/>
                <w:noProof/>
                <w:webHidden/>
              </w:rPr>
              <w:fldChar w:fldCharType="begin"/>
            </w:r>
            <w:r w:rsidR="003D5873">
              <w:rPr>
                <w:rStyle w:val="Hyperlink"/>
                <w:noProof/>
                <w:webHidden/>
              </w:rPr>
              <w:instrText xml:space="preserve"> PAGEREF _Toc104571080 \h </w:instrText>
            </w:r>
            <w:r w:rsidR="003D5873">
              <w:rPr>
                <w:rStyle w:val="Hyperlink"/>
                <w:noProof/>
                <w:webHidden/>
              </w:rPr>
            </w:r>
            <w:r w:rsidR="003D5873">
              <w:rPr>
                <w:rStyle w:val="Hyperlink"/>
                <w:noProof/>
                <w:webHidden/>
              </w:rPr>
              <w:fldChar w:fldCharType="separate"/>
            </w:r>
            <w:r w:rsidR="003D5873">
              <w:rPr>
                <w:rStyle w:val="Hyperlink"/>
                <w:noProof/>
                <w:webHidden/>
              </w:rPr>
              <w:t>3</w:t>
            </w:r>
            <w:r w:rsidR="003D5873">
              <w:rPr>
                <w:rStyle w:val="Hyperlink"/>
                <w:noProof/>
                <w:webHidden/>
              </w:rPr>
              <w:fldChar w:fldCharType="end"/>
            </w:r>
          </w:hyperlink>
        </w:p>
        <w:p w14:paraId="7EBE98CC" w14:textId="77777777" w:rsidR="003D5873" w:rsidRDefault="00BF4744" w:rsidP="003D5873">
          <w:pPr>
            <w:pStyle w:val="TOC1"/>
            <w:tabs>
              <w:tab w:val="right" w:leader="dot" w:pos="9016"/>
            </w:tabs>
            <w:spacing w:line="360" w:lineRule="auto"/>
            <w:rPr>
              <w:noProof/>
            </w:rPr>
          </w:pPr>
          <w:hyperlink r:id="rId7" w:anchor="_Toc104571081" w:history="1">
            <w:r w:rsidR="003D5873">
              <w:rPr>
                <w:rStyle w:val="Hyperlink"/>
                <w:noProof/>
                <w:lang w:val="en-US"/>
              </w:rPr>
              <w:t>Importance of Diversification in Judiciary</w:t>
            </w:r>
            <w:r w:rsidR="003D5873">
              <w:rPr>
                <w:rStyle w:val="Hyperlink"/>
                <w:noProof/>
                <w:webHidden/>
              </w:rPr>
              <w:tab/>
            </w:r>
            <w:r w:rsidR="003D5873">
              <w:rPr>
                <w:rStyle w:val="Hyperlink"/>
                <w:noProof/>
                <w:webHidden/>
              </w:rPr>
              <w:fldChar w:fldCharType="begin"/>
            </w:r>
            <w:r w:rsidR="003D5873">
              <w:rPr>
                <w:rStyle w:val="Hyperlink"/>
                <w:noProof/>
                <w:webHidden/>
              </w:rPr>
              <w:instrText xml:space="preserve"> PAGEREF _Toc104571081 \h </w:instrText>
            </w:r>
            <w:r w:rsidR="003D5873">
              <w:rPr>
                <w:rStyle w:val="Hyperlink"/>
                <w:noProof/>
                <w:webHidden/>
              </w:rPr>
            </w:r>
            <w:r w:rsidR="003D5873">
              <w:rPr>
                <w:rStyle w:val="Hyperlink"/>
                <w:noProof/>
                <w:webHidden/>
              </w:rPr>
              <w:fldChar w:fldCharType="separate"/>
            </w:r>
            <w:r w:rsidR="003D5873">
              <w:rPr>
                <w:rStyle w:val="Hyperlink"/>
                <w:noProof/>
                <w:webHidden/>
              </w:rPr>
              <w:t>4</w:t>
            </w:r>
            <w:r w:rsidR="003D5873">
              <w:rPr>
                <w:rStyle w:val="Hyperlink"/>
                <w:noProof/>
                <w:webHidden/>
              </w:rPr>
              <w:fldChar w:fldCharType="end"/>
            </w:r>
          </w:hyperlink>
        </w:p>
        <w:p w14:paraId="70F8CA9C" w14:textId="77777777" w:rsidR="003D5873" w:rsidRDefault="00BF4744" w:rsidP="003D5873">
          <w:pPr>
            <w:pStyle w:val="TOC1"/>
            <w:tabs>
              <w:tab w:val="right" w:leader="dot" w:pos="9016"/>
            </w:tabs>
            <w:spacing w:line="360" w:lineRule="auto"/>
            <w:rPr>
              <w:noProof/>
            </w:rPr>
          </w:pPr>
          <w:hyperlink r:id="rId8" w:anchor="_Toc104571082" w:history="1">
            <w:r w:rsidR="003D5873">
              <w:rPr>
                <w:rStyle w:val="Hyperlink"/>
                <w:noProof/>
                <w:lang w:val="en-US"/>
              </w:rPr>
              <w:t>Conclusion</w:t>
            </w:r>
            <w:r w:rsidR="003D5873">
              <w:rPr>
                <w:rStyle w:val="Hyperlink"/>
                <w:noProof/>
                <w:webHidden/>
              </w:rPr>
              <w:tab/>
            </w:r>
            <w:r w:rsidR="003D5873">
              <w:rPr>
                <w:rStyle w:val="Hyperlink"/>
                <w:noProof/>
                <w:webHidden/>
              </w:rPr>
              <w:fldChar w:fldCharType="begin"/>
            </w:r>
            <w:r w:rsidR="003D5873">
              <w:rPr>
                <w:rStyle w:val="Hyperlink"/>
                <w:noProof/>
                <w:webHidden/>
              </w:rPr>
              <w:instrText xml:space="preserve"> PAGEREF _Toc104571082 \h </w:instrText>
            </w:r>
            <w:r w:rsidR="003D5873">
              <w:rPr>
                <w:rStyle w:val="Hyperlink"/>
                <w:noProof/>
                <w:webHidden/>
              </w:rPr>
            </w:r>
            <w:r w:rsidR="003D5873">
              <w:rPr>
                <w:rStyle w:val="Hyperlink"/>
                <w:noProof/>
                <w:webHidden/>
              </w:rPr>
              <w:fldChar w:fldCharType="separate"/>
            </w:r>
            <w:r w:rsidR="003D5873">
              <w:rPr>
                <w:rStyle w:val="Hyperlink"/>
                <w:noProof/>
                <w:webHidden/>
              </w:rPr>
              <w:t>7</w:t>
            </w:r>
            <w:r w:rsidR="003D5873">
              <w:rPr>
                <w:rStyle w:val="Hyperlink"/>
                <w:noProof/>
                <w:webHidden/>
              </w:rPr>
              <w:fldChar w:fldCharType="end"/>
            </w:r>
          </w:hyperlink>
        </w:p>
        <w:p w14:paraId="1381B04C" w14:textId="77777777" w:rsidR="003D5873" w:rsidRDefault="00BF4744" w:rsidP="003D5873">
          <w:pPr>
            <w:pStyle w:val="TOC1"/>
            <w:tabs>
              <w:tab w:val="right" w:leader="dot" w:pos="9016"/>
            </w:tabs>
            <w:spacing w:line="360" w:lineRule="auto"/>
            <w:rPr>
              <w:noProof/>
            </w:rPr>
          </w:pPr>
          <w:hyperlink r:id="rId9" w:anchor="_Toc104571083" w:history="1">
            <w:r w:rsidR="003D5873">
              <w:rPr>
                <w:rStyle w:val="Hyperlink"/>
                <w:noProof/>
              </w:rPr>
              <w:t>References</w:t>
            </w:r>
            <w:r w:rsidR="003D5873">
              <w:rPr>
                <w:rStyle w:val="Hyperlink"/>
                <w:noProof/>
                <w:webHidden/>
              </w:rPr>
              <w:tab/>
            </w:r>
            <w:r w:rsidR="003D5873">
              <w:rPr>
                <w:rStyle w:val="Hyperlink"/>
                <w:noProof/>
                <w:webHidden/>
              </w:rPr>
              <w:fldChar w:fldCharType="begin"/>
            </w:r>
            <w:r w:rsidR="003D5873">
              <w:rPr>
                <w:rStyle w:val="Hyperlink"/>
                <w:noProof/>
                <w:webHidden/>
              </w:rPr>
              <w:instrText xml:space="preserve"> PAGEREF _Toc104571083 \h </w:instrText>
            </w:r>
            <w:r w:rsidR="003D5873">
              <w:rPr>
                <w:rStyle w:val="Hyperlink"/>
                <w:noProof/>
                <w:webHidden/>
              </w:rPr>
            </w:r>
            <w:r w:rsidR="003D5873">
              <w:rPr>
                <w:rStyle w:val="Hyperlink"/>
                <w:noProof/>
                <w:webHidden/>
              </w:rPr>
              <w:fldChar w:fldCharType="separate"/>
            </w:r>
            <w:r w:rsidR="003D5873">
              <w:rPr>
                <w:rStyle w:val="Hyperlink"/>
                <w:noProof/>
                <w:webHidden/>
              </w:rPr>
              <w:t>8</w:t>
            </w:r>
            <w:r w:rsidR="003D5873">
              <w:rPr>
                <w:rStyle w:val="Hyperlink"/>
                <w:noProof/>
                <w:webHidden/>
              </w:rPr>
              <w:fldChar w:fldCharType="end"/>
            </w:r>
          </w:hyperlink>
        </w:p>
        <w:p w14:paraId="7154FD31" w14:textId="77777777" w:rsidR="003D5873" w:rsidRDefault="003D5873" w:rsidP="003D5873">
          <w:pPr>
            <w:spacing w:line="360" w:lineRule="auto"/>
          </w:pPr>
          <w:r>
            <w:rPr>
              <w:b/>
              <w:bCs/>
              <w:noProof/>
            </w:rPr>
            <w:fldChar w:fldCharType="end"/>
          </w:r>
        </w:p>
      </w:sdtContent>
    </w:sdt>
    <w:p w14:paraId="648239BC" w14:textId="77777777" w:rsidR="003D5873" w:rsidRDefault="003D5873" w:rsidP="003D5873">
      <w:pPr>
        <w:spacing w:line="360" w:lineRule="auto"/>
        <w:rPr>
          <w:lang w:val="en-US"/>
        </w:rPr>
      </w:pPr>
      <w:r>
        <w:rPr>
          <w:lang w:val="en-US"/>
        </w:rPr>
        <w:br w:type="page"/>
      </w:r>
    </w:p>
    <w:p w14:paraId="72EDC1BA" w14:textId="77777777" w:rsidR="003D5873" w:rsidRDefault="003D5873" w:rsidP="003D5873">
      <w:pPr>
        <w:pStyle w:val="Heading1"/>
        <w:spacing w:line="360" w:lineRule="auto"/>
        <w:jc w:val="both"/>
        <w:rPr>
          <w:lang w:val="en-US"/>
        </w:rPr>
      </w:pPr>
      <w:bookmarkStart w:id="0" w:name="_Toc104571078"/>
      <w:r>
        <w:rPr>
          <w:lang w:val="en-US"/>
        </w:rPr>
        <w:t>Introduction</w:t>
      </w:r>
      <w:bookmarkEnd w:id="0"/>
    </w:p>
    <w:p w14:paraId="262DF402" w14:textId="77777777" w:rsidR="003D5873" w:rsidRDefault="003D5873" w:rsidP="003D5873">
      <w:pPr>
        <w:spacing w:line="360" w:lineRule="auto"/>
        <w:rPr>
          <w:lang w:val="en-US"/>
        </w:rPr>
      </w:pPr>
      <w:r>
        <w:rPr>
          <w:lang w:val="en-US"/>
        </w:rPr>
        <w:t xml:space="preserve">Diversity is an important and incumbent part of an effective judiciary. It is said that diversity in the judiciary is of little importance, but it is of utmost importance because diversity brings an effective and credible judiciary. It increases the trust of the public over the judiciary, and it helps the judges in giving better judgement with an increase in public confidence in their judgements (Armstrong et al, 2018). It also increases the equality and fairness in the overall judicial system of a country. Also, the judiciary is a profession in which a person can convict other people, acquit other people, or evict any person from any of his rights, rights of children are also dealt with under the judiciary and the rights of people are also dealt by the judiciary, so judiciary is a department where the diversity matters a lot (Barns and Powers, 2021). Thus, a diverse judiciary strengthens the judicial system and increases the public confidence in the judiciary. </w:t>
      </w:r>
    </w:p>
    <w:p w14:paraId="4BF6B8E2" w14:textId="77777777" w:rsidR="003D5873" w:rsidRDefault="003D5873" w:rsidP="003D5873">
      <w:pPr>
        <w:pStyle w:val="Heading1"/>
        <w:spacing w:line="360" w:lineRule="auto"/>
        <w:jc w:val="both"/>
        <w:rPr>
          <w:lang w:val="en-US"/>
        </w:rPr>
      </w:pPr>
      <w:bookmarkStart w:id="1" w:name="_Toc104571079"/>
      <w:r>
        <w:rPr>
          <w:lang w:val="en-US"/>
        </w:rPr>
        <w:t>History of Diversification in the Judiciary of the UK</w:t>
      </w:r>
      <w:bookmarkEnd w:id="1"/>
    </w:p>
    <w:p w14:paraId="531F8CDE" w14:textId="77777777" w:rsidR="003D5873" w:rsidRDefault="003D5873" w:rsidP="003D5873">
      <w:pPr>
        <w:spacing w:line="360" w:lineRule="auto"/>
        <w:rPr>
          <w:lang w:val="en-US"/>
        </w:rPr>
      </w:pPr>
      <w:r>
        <w:rPr>
          <w:lang w:val="en-US"/>
        </w:rPr>
        <w:t xml:space="preserve">From the founding days of the judiciary of the UK, the judiciary of the Supreme Court which was then the House of Lords emphasized the older white males passed from private schools and graduated from Oxbridge and there were no females from any minority or ethnicity till 2009 (Bhopal and Henderson, 2021). According to Bickerton et al (2022), Baroness Hale 2009 was the very first woman who became a judge of the Supreme Court of the UK, and it was a breakthrough time in the judicial system of the UK. </w:t>
      </w:r>
    </w:p>
    <w:p w14:paraId="7C6C0786" w14:textId="77777777" w:rsidR="003D5873" w:rsidRDefault="003D5873" w:rsidP="003D5873">
      <w:pPr>
        <w:pStyle w:val="Heading1"/>
        <w:spacing w:line="360" w:lineRule="auto"/>
        <w:jc w:val="both"/>
        <w:rPr>
          <w:lang w:val="en-US"/>
        </w:rPr>
      </w:pPr>
      <w:bookmarkStart w:id="2" w:name="_Toc104571080"/>
      <w:r>
        <w:rPr>
          <w:lang w:val="en-US"/>
        </w:rPr>
        <w:t>Diversification in the Judiciary in the UK</w:t>
      </w:r>
      <w:bookmarkEnd w:id="2"/>
    </w:p>
    <w:p w14:paraId="57698894" w14:textId="77777777" w:rsidR="003D5873" w:rsidRDefault="003D5873" w:rsidP="003D5873">
      <w:pPr>
        <w:spacing w:line="360" w:lineRule="auto"/>
        <w:rPr>
          <w:lang w:val="en-US"/>
        </w:rPr>
      </w:pPr>
      <w:r>
        <w:rPr>
          <w:lang w:val="en-US"/>
        </w:rPr>
        <w:t>According to the data, only 17% of the judges of the Supreme Court are women while only 9% of the Black, Asian, Minority and Ethnic belongs to the judiciary. While the other 74% of the judges of the Supreme Court of the UK are still old white males. This shows the Supreme Court of the UK still lacks diversity although diversity is an important and integral part of the Judiciary. Lady Hale has said that diversity is the fourth cornerstone of the judiciary, and it is of utmost importance (</w:t>
      </w:r>
      <w:proofErr w:type="spellStart"/>
      <w:r>
        <w:rPr>
          <w:lang w:val="en-US"/>
        </w:rPr>
        <w:t>Chriosti</w:t>
      </w:r>
      <w:proofErr w:type="spellEnd"/>
      <w:r>
        <w:rPr>
          <w:lang w:val="en-US"/>
        </w:rPr>
        <w:t xml:space="preserve"> and </w:t>
      </w:r>
      <w:proofErr w:type="spellStart"/>
      <w:r>
        <w:rPr>
          <w:lang w:val="en-US"/>
        </w:rPr>
        <w:t>Bonotti</w:t>
      </w:r>
      <w:proofErr w:type="spellEnd"/>
      <w:r>
        <w:rPr>
          <w:lang w:val="en-US"/>
        </w:rPr>
        <w:t xml:space="preserve">, 2019). The data of the Supreme Court Judiciary does not even represent the population of Britain equally because the population of Britain is becoming more diverse day by day and about 50% of the population is females in Britain while in Supreme Court only 17% of the judges are female (De Mol et al, 2020). Thus, to increase the credibility, equality, and fairness in the judiciary of the UK, it should become more diverse at least the judiciary of the UK must be equally and proportionally represented according to the population of the UK. </w:t>
      </w:r>
    </w:p>
    <w:p w14:paraId="06A97AFF" w14:textId="77777777" w:rsidR="003D5873" w:rsidRDefault="003D5873" w:rsidP="003D5873">
      <w:pPr>
        <w:pStyle w:val="Heading1"/>
        <w:spacing w:line="360" w:lineRule="auto"/>
        <w:jc w:val="both"/>
        <w:rPr>
          <w:lang w:val="en-US"/>
        </w:rPr>
      </w:pPr>
      <w:bookmarkStart w:id="3" w:name="_Toc104571081"/>
      <w:r>
        <w:rPr>
          <w:lang w:val="en-US"/>
        </w:rPr>
        <w:t>Importance of Diversification in Judiciary</w:t>
      </w:r>
      <w:bookmarkEnd w:id="3"/>
    </w:p>
    <w:p w14:paraId="2EE04B53" w14:textId="77777777" w:rsidR="003D5873" w:rsidRDefault="003D5873" w:rsidP="003D5873">
      <w:pPr>
        <w:spacing w:line="360" w:lineRule="auto"/>
        <w:rPr>
          <w:lang w:val="en-US"/>
        </w:rPr>
      </w:pPr>
      <w:r>
        <w:rPr>
          <w:lang w:val="en-US"/>
        </w:rPr>
        <w:t xml:space="preserve">Diversification in the Judiciary in the UK is important, and it is the need of an hour because the dispute over racism and discrimination are increasing around the globe on a day-to-day basis and when the judiciary of the UK will not be diversified then the public will lose its confidence in the judiciary of the UK (Harris and Son, 2021). Many scholars and former judges of the UK have also emphasized the diversification of the Judiciary. According to </w:t>
      </w:r>
      <w:proofErr w:type="spellStart"/>
      <w:r>
        <w:rPr>
          <w:lang w:val="en-US"/>
        </w:rPr>
        <w:t>Humprecht</w:t>
      </w:r>
      <w:proofErr w:type="spellEnd"/>
      <w:r>
        <w:rPr>
          <w:lang w:val="en-US"/>
        </w:rPr>
        <w:t xml:space="preserve"> and </w:t>
      </w:r>
      <w:proofErr w:type="spellStart"/>
      <w:r>
        <w:rPr>
          <w:lang w:val="en-US"/>
        </w:rPr>
        <w:t>Esser</w:t>
      </w:r>
      <w:proofErr w:type="spellEnd"/>
      <w:r>
        <w:rPr>
          <w:lang w:val="en-US"/>
        </w:rPr>
        <w:t xml:space="preserve"> (2018), Robert Taylor, Lord Chancellor in 1992 said that there is a great imbalance in the judiciary of the UK between male and female and white and black. He also emphasized that with time, the judiciary of the UK will diversify and there will be equality between males and females, white and black in the higher courts of the UK (</w:t>
      </w:r>
      <w:proofErr w:type="spellStart"/>
      <w:r>
        <w:rPr>
          <w:lang w:val="en-US"/>
        </w:rPr>
        <w:t>Kirmayer</w:t>
      </w:r>
      <w:proofErr w:type="spellEnd"/>
      <w:r>
        <w:rPr>
          <w:lang w:val="en-US"/>
        </w:rPr>
        <w:t xml:space="preserve"> et al, 2019). Another scholar Robert Steven after analyzing the judicial system of the UK recommended that a judicial commission should be formed for the appointment of the judges of the UK as it will help them in appointing the females as judges and also the people of the ethnic groups usually from BAME will also be appointed as a judge and they will become part of the judicial system of UK which will diversify the overall judicial system of the UK and it will help in bringing equality and fairness in the judicial system of UK (Kyle and Jarvis, 2018). </w:t>
      </w:r>
    </w:p>
    <w:p w14:paraId="6DB67BF4" w14:textId="77777777" w:rsidR="003D5873" w:rsidRDefault="003D5873" w:rsidP="003D5873">
      <w:pPr>
        <w:spacing w:line="360" w:lineRule="auto"/>
        <w:rPr>
          <w:lang w:val="en-US"/>
        </w:rPr>
      </w:pPr>
      <w:r>
        <w:rPr>
          <w:lang w:val="en-US"/>
        </w:rPr>
        <w:t xml:space="preserve">The judiciary of a country should be diversified because if there will be no diversity then it will amount to racism and discrimination in the judgements of the judges towards their ethnicity (Mark and </w:t>
      </w:r>
      <w:proofErr w:type="spellStart"/>
      <w:r>
        <w:rPr>
          <w:lang w:val="en-US"/>
        </w:rPr>
        <w:t>Tutton</w:t>
      </w:r>
      <w:proofErr w:type="spellEnd"/>
      <w:r>
        <w:rPr>
          <w:lang w:val="en-US"/>
        </w:rPr>
        <w:t>, 2018). An act was passed for controlling racial discrimination and it was known as the Race Relations Act 1976</w:t>
      </w:r>
      <w:r>
        <w:rPr>
          <w:rFonts w:ascii="Arial" w:hAnsi="Arial" w:cs="Arial"/>
          <w:color w:val="000000"/>
          <w:sz w:val="20"/>
          <w:szCs w:val="20"/>
          <w:shd w:val="clear" w:color="auto" w:fill="FFFFFF"/>
          <w:lang w:val="en-US"/>
        </w:rPr>
        <w:t xml:space="preserve"> </w:t>
      </w:r>
      <w:r>
        <w:t>(Race Relations Act)</w:t>
      </w:r>
      <w:r>
        <w:rPr>
          <w:lang w:val="en-US"/>
        </w:rPr>
        <w:t xml:space="preserve">. In the case of </w:t>
      </w:r>
      <w:r>
        <w:rPr>
          <w:b/>
          <w:bCs/>
          <w:i/>
          <w:iCs/>
          <w:lang w:val="en-US"/>
        </w:rPr>
        <w:t>Hasan Ali Khoja vs, The Metropolitan Police case</w:t>
      </w:r>
      <w:r>
        <w:rPr>
          <w:lang w:val="en-US"/>
        </w:rPr>
        <w:t xml:space="preserve">, </w:t>
      </w:r>
      <w:proofErr w:type="spellStart"/>
      <w:r>
        <w:rPr>
          <w:lang w:val="en-US"/>
        </w:rPr>
        <w:t>Mr</w:t>
      </w:r>
      <w:proofErr w:type="spellEnd"/>
      <w:r>
        <w:rPr>
          <w:lang w:val="en-US"/>
        </w:rPr>
        <w:t xml:space="preserve"> Khoja was an Indian Muslim who was living in the UK, and he was working in the Metropolitan Police as a head caterer. There was an event for which </w:t>
      </w:r>
      <w:proofErr w:type="spellStart"/>
      <w:r>
        <w:rPr>
          <w:lang w:val="en-US"/>
        </w:rPr>
        <w:t>Mr</w:t>
      </w:r>
      <w:proofErr w:type="spellEnd"/>
      <w:r>
        <w:rPr>
          <w:lang w:val="en-US"/>
        </w:rPr>
        <w:t xml:space="preserve"> Khoja was asked to cook Pork and Bacon which he refused to do because it was against his religion. </w:t>
      </w:r>
      <w:proofErr w:type="spellStart"/>
      <w:r>
        <w:rPr>
          <w:lang w:val="en-US"/>
        </w:rPr>
        <w:t>Mr</w:t>
      </w:r>
      <w:proofErr w:type="spellEnd"/>
      <w:r>
        <w:rPr>
          <w:lang w:val="en-US"/>
        </w:rPr>
        <w:t xml:space="preserve"> Khoja filed a suit against the Metropolitan Police in this situation and the court did not provide any remedy to </w:t>
      </w:r>
      <w:proofErr w:type="spellStart"/>
      <w:r>
        <w:rPr>
          <w:lang w:val="en-US"/>
        </w:rPr>
        <w:t>Mr</w:t>
      </w:r>
      <w:proofErr w:type="spellEnd"/>
      <w:r>
        <w:rPr>
          <w:lang w:val="en-US"/>
        </w:rPr>
        <w:t xml:space="preserve"> Khoja. Then, </w:t>
      </w:r>
      <w:proofErr w:type="spellStart"/>
      <w:r>
        <w:rPr>
          <w:lang w:val="en-US"/>
        </w:rPr>
        <w:t>Mr</w:t>
      </w:r>
      <w:proofErr w:type="spellEnd"/>
      <w:r>
        <w:rPr>
          <w:lang w:val="en-US"/>
        </w:rPr>
        <w:t xml:space="preserve"> Khoja filed an appeal on basis that the previous judge restricted his freedom of speech, conscience, and religion of </w:t>
      </w:r>
      <w:proofErr w:type="spellStart"/>
      <w:r>
        <w:rPr>
          <w:lang w:val="en-US"/>
        </w:rPr>
        <w:t>Mr</w:t>
      </w:r>
      <w:proofErr w:type="spellEnd"/>
      <w:r>
        <w:rPr>
          <w:lang w:val="en-US"/>
        </w:rPr>
        <w:t xml:space="preserve"> Khoja. But still, </w:t>
      </w:r>
      <w:proofErr w:type="spellStart"/>
      <w:r>
        <w:rPr>
          <w:lang w:val="en-US"/>
        </w:rPr>
        <w:t>Mr</w:t>
      </w:r>
      <w:proofErr w:type="spellEnd"/>
      <w:r>
        <w:rPr>
          <w:lang w:val="en-US"/>
        </w:rPr>
        <w:t xml:space="preserve"> Khoja was unable to claim any relief from the court</w:t>
      </w:r>
      <w:r>
        <w:rPr>
          <w:rFonts w:ascii="Arial" w:hAnsi="Arial" w:cs="Arial"/>
          <w:color w:val="000000"/>
          <w:sz w:val="20"/>
          <w:szCs w:val="20"/>
          <w:shd w:val="clear" w:color="auto" w:fill="FFFFFF"/>
          <w:lang w:val="en-US"/>
        </w:rPr>
        <w:t xml:space="preserve"> </w:t>
      </w:r>
      <w:r>
        <w:t>(Hasan Ali Khoja vs, The Metropolitan Police case, [2012])</w:t>
      </w:r>
      <w:r>
        <w:rPr>
          <w:lang w:val="en-US"/>
        </w:rPr>
        <w:t xml:space="preserve">. Thus, in this case, if the courts of the UK were diverse and the judge would have been a Muslim then he would have better understood the situation of </w:t>
      </w:r>
      <w:proofErr w:type="spellStart"/>
      <w:r>
        <w:rPr>
          <w:lang w:val="en-US"/>
        </w:rPr>
        <w:t>Mr</w:t>
      </w:r>
      <w:proofErr w:type="spellEnd"/>
      <w:r>
        <w:rPr>
          <w:lang w:val="en-US"/>
        </w:rPr>
        <w:t xml:space="preserve"> Khoja and he would have granted relief to </w:t>
      </w:r>
      <w:proofErr w:type="spellStart"/>
      <w:r>
        <w:rPr>
          <w:lang w:val="en-US"/>
        </w:rPr>
        <w:t>Mr</w:t>
      </w:r>
      <w:proofErr w:type="spellEnd"/>
      <w:r>
        <w:rPr>
          <w:lang w:val="en-US"/>
        </w:rPr>
        <w:t xml:space="preserve"> Khoja rather than putting restrictions on his claim.</w:t>
      </w:r>
    </w:p>
    <w:p w14:paraId="0CBE2074" w14:textId="77777777" w:rsidR="003D5873" w:rsidRDefault="003D5873" w:rsidP="003D5873">
      <w:pPr>
        <w:spacing w:line="360" w:lineRule="auto"/>
        <w:rPr>
          <w:lang w:val="en-US"/>
        </w:rPr>
      </w:pPr>
      <w:r>
        <w:rPr>
          <w:lang w:val="en-US"/>
        </w:rPr>
        <w:t>Diversity is also an integral part of the Judiciary because it eradicates the discrimination in the Judicial system of a country (</w:t>
      </w:r>
      <w:proofErr w:type="spellStart"/>
      <w:r>
        <w:t>Schertzer</w:t>
      </w:r>
      <w:proofErr w:type="spellEnd"/>
      <w:r>
        <w:rPr>
          <w:lang w:val="en-US"/>
        </w:rPr>
        <w:t xml:space="preserve">, 2018). In </w:t>
      </w:r>
      <w:r>
        <w:rPr>
          <w:b/>
          <w:bCs/>
          <w:i/>
          <w:iCs/>
          <w:lang w:val="en-US"/>
        </w:rPr>
        <w:t>East African Asians vs. the United Kingdom 1983</w:t>
      </w:r>
      <w:r>
        <w:rPr>
          <w:b/>
          <w:bCs/>
          <w:lang w:val="en-US"/>
        </w:rPr>
        <w:t xml:space="preserve">, </w:t>
      </w:r>
      <w:r>
        <w:rPr>
          <w:lang w:val="en-US"/>
        </w:rPr>
        <w:t>husbands of the East African Asians who were UK citizens were restricted from entering the UK. Although there was legislation available Commonwealth Immigration Act of 1983 which allowed the husbands of the UK nationals to enter the UK, the authorities did not allow the entrance (Commonwealth Immigration Act). So, the wives of such people went to court where the court also ruled against them and violated the legislation. The court also breached Articles 3 and 5 of the Human Rights Act and Articles 8 and 14 of the Commonwealth Husbands of the UK</w:t>
      </w:r>
      <w:r>
        <w:rPr>
          <w:rFonts w:ascii="Arial" w:hAnsi="Arial" w:cs="Arial"/>
          <w:color w:val="000000"/>
          <w:sz w:val="20"/>
          <w:szCs w:val="20"/>
          <w:shd w:val="clear" w:color="auto" w:fill="FFFFFF"/>
          <w:lang w:val="en-US"/>
        </w:rPr>
        <w:t xml:space="preserve"> </w:t>
      </w:r>
      <w:r>
        <w:t>(Commonwealth Husbands)</w:t>
      </w:r>
      <w:r>
        <w:rPr>
          <w:lang w:val="en-US"/>
        </w:rPr>
        <w:t xml:space="preserve"> </w:t>
      </w:r>
      <w:r>
        <w:t>(Human Rights Act)</w:t>
      </w:r>
      <w:r>
        <w:rPr>
          <w:lang w:val="en-US"/>
        </w:rPr>
        <w:t>. Thus, these articles mostly protected the freedom of movement of people and these articles also upheld the marriage and solemnized it but the court due to racial discrimination ruled against such people and violated their rights</w:t>
      </w:r>
      <w:r>
        <w:rPr>
          <w:rFonts w:ascii="Arial" w:hAnsi="Arial" w:cs="Arial"/>
          <w:color w:val="000000"/>
          <w:sz w:val="20"/>
          <w:szCs w:val="20"/>
          <w:shd w:val="clear" w:color="auto" w:fill="FFFFFF"/>
          <w:lang w:val="en-US"/>
        </w:rPr>
        <w:t xml:space="preserve"> </w:t>
      </w:r>
      <w:r>
        <w:t>(East African Asians vs. the United Kingdom, [1983])</w:t>
      </w:r>
      <w:r>
        <w:rPr>
          <w:lang w:val="en-US"/>
        </w:rPr>
        <w:t>. Thus, in this case, if the judiciary of the UK was diversified, then at least the judges from the East African Asian would have raised their voices for such people and it would have impacted the overall decision of the judges but there was no diversification or lack of diversification due to which the judiciary ruled out the rights of the minorities and discriminated over their rights.</w:t>
      </w:r>
    </w:p>
    <w:p w14:paraId="74EFA953" w14:textId="77777777" w:rsidR="003D5873" w:rsidRDefault="003D5873" w:rsidP="003D5873">
      <w:pPr>
        <w:spacing w:line="360" w:lineRule="auto"/>
        <w:rPr>
          <w:lang w:val="en-US"/>
        </w:rPr>
      </w:pPr>
      <w:r>
        <w:rPr>
          <w:lang w:val="en-US"/>
        </w:rPr>
        <w:t>Diversification in the judiciary is important otherwise it can also lead to sexual discrimination through the judiciary in their judgements (</w:t>
      </w:r>
      <w:proofErr w:type="spellStart"/>
      <w:r>
        <w:rPr>
          <w:lang w:val="en-US"/>
        </w:rPr>
        <w:t>Sourdin</w:t>
      </w:r>
      <w:proofErr w:type="spellEnd"/>
      <w:r>
        <w:rPr>
          <w:lang w:val="en-US"/>
        </w:rPr>
        <w:t xml:space="preserve"> and Corner, 2018). In the case of </w:t>
      </w:r>
      <w:r>
        <w:rPr>
          <w:b/>
          <w:bCs/>
          <w:i/>
          <w:iCs/>
        </w:rPr>
        <w:t xml:space="preserve">Andrea </w:t>
      </w:r>
      <w:proofErr w:type="spellStart"/>
      <w:r>
        <w:rPr>
          <w:b/>
          <w:bCs/>
          <w:i/>
          <w:iCs/>
        </w:rPr>
        <w:t>Madarassy</w:t>
      </w:r>
      <w:proofErr w:type="spellEnd"/>
      <w:r>
        <w:rPr>
          <w:b/>
          <w:bCs/>
          <w:i/>
          <w:iCs/>
        </w:rPr>
        <w:t xml:space="preserve"> vs. Nomura </w:t>
      </w:r>
      <w:proofErr w:type="spellStart"/>
      <w:r>
        <w:rPr>
          <w:b/>
          <w:bCs/>
          <w:i/>
          <w:iCs/>
        </w:rPr>
        <w:t>Internationa</w:t>
      </w:r>
      <w:proofErr w:type="spellEnd"/>
      <w:r>
        <w:rPr>
          <w:b/>
          <w:bCs/>
          <w:i/>
          <w:iCs/>
          <w:lang w:val="en-US"/>
        </w:rPr>
        <w:t>l</w:t>
      </w:r>
      <w:r>
        <w:rPr>
          <w:lang w:val="en-US"/>
        </w:rPr>
        <w:t xml:space="preserve">, Andrea </w:t>
      </w:r>
      <w:proofErr w:type="spellStart"/>
      <w:r>
        <w:rPr>
          <w:lang w:val="en-US"/>
        </w:rPr>
        <w:t>Madarassy</w:t>
      </w:r>
      <w:proofErr w:type="spellEnd"/>
      <w:r>
        <w:rPr>
          <w:lang w:val="en-US"/>
        </w:rPr>
        <w:t xml:space="preserve"> filed a case against the company for discrimination between the male and female employees and she claimed that the company pays less to the female employees when compared to the male employees. They were also prior cases against Nomura International in which two females sued the company in different cases for sexual harassment but in both cases, the judges were male, and they dismissed the claims of the female based on sexual harassment. In the case of Andrea </w:t>
      </w:r>
      <w:proofErr w:type="spellStart"/>
      <w:r>
        <w:rPr>
          <w:lang w:val="en-US"/>
        </w:rPr>
        <w:t>Madarassy</w:t>
      </w:r>
      <w:proofErr w:type="spellEnd"/>
      <w:r>
        <w:rPr>
          <w:lang w:val="en-US"/>
        </w:rPr>
        <w:t>, the court also dismissed the case as the judge, in this case, was also a man and the court was of the view that there was no discrimination in paying females less while paying males higher than females. Thus, such decisions are a result of a lack of diversity in the judicial system and such decisions also reflect the incompetency of the judicial system. If the then judicial system would have been diversified and this case would have heard by any female competent judge then she would have regarded such a lower pay scale as discrimination and would have fined or penalized the company but at that time, the judicial system of the UK was also haunted by the discrimination due to which they dismissed the suit.</w:t>
      </w:r>
    </w:p>
    <w:p w14:paraId="293FD548" w14:textId="77777777" w:rsidR="003D5873" w:rsidRDefault="003D5873" w:rsidP="003D5873">
      <w:pPr>
        <w:spacing w:line="360" w:lineRule="auto"/>
        <w:rPr>
          <w:lang w:val="en-US"/>
        </w:rPr>
      </w:pPr>
      <w:r>
        <w:rPr>
          <w:lang w:val="en-US"/>
        </w:rPr>
        <w:t xml:space="preserve">Diversification is a key factor in the judiciary in the UK, and it is still required in the judiciary in the UK. The racism and discrimination issues are increasing day by day and to solve their diversification in the judiciary is important. Also, diversification improves the credibility of the judicial system of a country (Zhou and Xiang, 2018). When judges meet other judges from different ethnic groups, they exchange their ideas which open and create a space for new thoughts in the mind of judges and due to which their decisions are improved, their credibility increases, and the biasness is reduced in the judicial system of the country. </w:t>
      </w:r>
    </w:p>
    <w:p w14:paraId="10E5F603" w14:textId="77777777" w:rsidR="003D5873" w:rsidRDefault="003D5873" w:rsidP="003D5873">
      <w:pPr>
        <w:pStyle w:val="Heading1"/>
        <w:spacing w:line="360" w:lineRule="auto"/>
        <w:jc w:val="both"/>
        <w:rPr>
          <w:lang w:val="en-US"/>
        </w:rPr>
      </w:pPr>
      <w:bookmarkStart w:id="4" w:name="_Toc104571082"/>
      <w:r>
        <w:rPr>
          <w:lang w:val="en-US"/>
        </w:rPr>
        <w:t>Conclusion</w:t>
      </w:r>
      <w:bookmarkEnd w:id="4"/>
    </w:p>
    <w:p w14:paraId="611B962C" w14:textId="77777777" w:rsidR="003D5873" w:rsidRDefault="003D5873" w:rsidP="003D5873">
      <w:pPr>
        <w:spacing w:line="360" w:lineRule="auto"/>
        <w:rPr>
          <w:lang w:val="en-US"/>
        </w:rPr>
      </w:pPr>
      <w:r>
        <w:rPr>
          <w:lang w:val="en-US"/>
        </w:rPr>
        <w:t xml:space="preserve">Diversity is not only an important factor in the Judiciary of the UK, but it is the most integral and most important factor of the judiciary. It increases the overall accountability and credibility of the judicial system of a country. It also increases the public confidence in the judicial system of the country as public importance is very fragile and, in the UK, the judiciary is the third organ of the state, so if the people will have confidence in the organs of the state, then it will result in the smooth running of the state and democracy. </w:t>
      </w:r>
    </w:p>
    <w:p w14:paraId="7A5D01F4" w14:textId="77777777" w:rsidR="003D5873" w:rsidRDefault="003D5873" w:rsidP="003D5873">
      <w:pPr>
        <w:spacing w:line="360" w:lineRule="auto"/>
        <w:rPr>
          <w:lang w:val="en-US"/>
        </w:rPr>
      </w:pPr>
      <w:r>
        <w:rPr>
          <w:lang w:val="en-US"/>
        </w:rPr>
        <w:br w:type="page"/>
      </w:r>
    </w:p>
    <w:bookmarkStart w:id="5" w:name="_Toc104571083" w:displacedByCustomXml="next"/>
    <w:sdt>
      <w:sdtPr>
        <w:rPr>
          <w:rFonts w:eastAsiaTheme="minorHAnsi" w:cstheme="minorBidi"/>
          <w:b w:val="0"/>
          <w:szCs w:val="22"/>
        </w:rPr>
        <w:id w:val="-1643566770"/>
        <w:docPartObj>
          <w:docPartGallery w:val="Bibliographies"/>
          <w:docPartUnique/>
        </w:docPartObj>
      </w:sdtPr>
      <w:sdtEndPr/>
      <w:sdtContent>
        <w:p w14:paraId="5D20E407" w14:textId="77777777" w:rsidR="003D5873" w:rsidRDefault="003D5873" w:rsidP="003D5873">
          <w:pPr>
            <w:pStyle w:val="Heading1"/>
            <w:spacing w:line="360" w:lineRule="auto"/>
            <w:jc w:val="both"/>
          </w:pPr>
          <w:r>
            <w:t>References</w:t>
          </w:r>
          <w:bookmarkEnd w:id="5"/>
        </w:p>
        <w:p w14:paraId="51D8BA15" w14:textId="77777777" w:rsidR="003D5873" w:rsidRDefault="003D5873" w:rsidP="003D5873">
          <w:pPr>
            <w:spacing w:line="360" w:lineRule="auto"/>
            <w:ind w:left="720" w:hanging="720"/>
            <w:rPr>
              <w:b/>
              <w:bCs/>
              <w:lang w:val="en-US"/>
            </w:rPr>
          </w:pPr>
          <w:r>
            <w:rPr>
              <w:b/>
              <w:bCs/>
              <w:lang w:val="en-US"/>
            </w:rPr>
            <w:t>Legislation</w:t>
          </w:r>
        </w:p>
        <w:p w14:paraId="026793CB" w14:textId="77777777" w:rsidR="003D5873" w:rsidRDefault="003D5873" w:rsidP="003D5873">
          <w:pPr>
            <w:spacing w:line="360" w:lineRule="auto"/>
            <w:ind w:left="720" w:hanging="720"/>
          </w:pPr>
          <w:r>
            <w:rPr>
              <w:i/>
              <w:iCs/>
            </w:rPr>
            <w:t>Commonwealth Husbands</w:t>
          </w:r>
          <w:r>
            <w:t>.</w:t>
          </w:r>
        </w:p>
        <w:p w14:paraId="5A9D9641" w14:textId="77777777" w:rsidR="003D5873" w:rsidRDefault="003D5873" w:rsidP="003D5873">
          <w:pPr>
            <w:spacing w:line="360" w:lineRule="auto"/>
            <w:ind w:left="720" w:hanging="720"/>
          </w:pPr>
          <w:r>
            <w:rPr>
              <w:i/>
              <w:iCs/>
            </w:rPr>
            <w:t>Commonwealth Immigration Act</w:t>
          </w:r>
          <w:r>
            <w:t>.</w:t>
          </w:r>
        </w:p>
        <w:p w14:paraId="6A9A2EB4" w14:textId="77777777" w:rsidR="003D5873" w:rsidRDefault="003D5873" w:rsidP="003D5873">
          <w:pPr>
            <w:spacing w:line="360" w:lineRule="auto"/>
            <w:ind w:left="720" w:hanging="720"/>
          </w:pPr>
          <w:r>
            <w:rPr>
              <w:i/>
              <w:iCs/>
            </w:rPr>
            <w:t>Human Rights Act</w:t>
          </w:r>
          <w:r>
            <w:t>.</w:t>
          </w:r>
        </w:p>
        <w:p w14:paraId="37FEA03C" w14:textId="77777777" w:rsidR="003D5873" w:rsidRDefault="003D5873" w:rsidP="003D5873">
          <w:pPr>
            <w:spacing w:line="360" w:lineRule="auto"/>
            <w:ind w:left="720" w:hanging="720"/>
          </w:pPr>
          <w:r>
            <w:rPr>
              <w:i/>
              <w:iCs/>
            </w:rPr>
            <w:t>Race Relations Act</w:t>
          </w:r>
          <w:r>
            <w:t>.</w:t>
          </w:r>
        </w:p>
        <w:p w14:paraId="3E55E667" w14:textId="77777777" w:rsidR="003D5873" w:rsidRDefault="003D5873" w:rsidP="003D5873">
          <w:pPr>
            <w:spacing w:line="360" w:lineRule="auto"/>
            <w:ind w:left="720" w:hanging="720"/>
            <w:rPr>
              <w:lang w:val="en-US"/>
            </w:rPr>
          </w:pPr>
          <w:r>
            <w:rPr>
              <w:i/>
              <w:iCs/>
            </w:rPr>
            <w:t>Sex Discrimination Act</w:t>
          </w:r>
          <w:r>
            <w:t>.</w:t>
          </w:r>
        </w:p>
        <w:p w14:paraId="0074D7A3" w14:textId="77777777" w:rsidR="003D5873" w:rsidRDefault="003D5873" w:rsidP="003D5873">
          <w:pPr>
            <w:spacing w:line="360" w:lineRule="auto"/>
            <w:ind w:left="720" w:hanging="720"/>
            <w:rPr>
              <w:b/>
              <w:bCs/>
              <w:lang w:val="en-US"/>
            </w:rPr>
          </w:pPr>
          <w:r>
            <w:rPr>
              <w:b/>
              <w:bCs/>
              <w:lang w:val="en-US"/>
            </w:rPr>
            <w:t>Case Laws</w:t>
          </w:r>
        </w:p>
        <w:p w14:paraId="1D813001" w14:textId="77777777" w:rsidR="003D5873" w:rsidRDefault="003D5873" w:rsidP="003D5873">
          <w:pPr>
            <w:spacing w:line="360" w:lineRule="auto"/>
            <w:ind w:left="720" w:hanging="720"/>
          </w:pPr>
          <w:r>
            <w:rPr>
              <w:i/>
              <w:iCs/>
            </w:rPr>
            <w:t xml:space="preserve">Andrea </w:t>
          </w:r>
          <w:proofErr w:type="spellStart"/>
          <w:r>
            <w:rPr>
              <w:i/>
              <w:iCs/>
            </w:rPr>
            <w:t>Madarassy</w:t>
          </w:r>
          <w:proofErr w:type="spellEnd"/>
          <w:r>
            <w:rPr>
              <w:i/>
              <w:iCs/>
            </w:rPr>
            <w:t xml:space="preserve"> vs. Nomura International</w:t>
          </w:r>
          <w:r>
            <w:t> [2007].</w:t>
          </w:r>
        </w:p>
        <w:p w14:paraId="001B5B27" w14:textId="77777777" w:rsidR="003D5873" w:rsidRDefault="003D5873" w:rsidP="003D5873">
          <w:pPr>
            <w:spacing w:line="360" w:lineRule="auto"/>
            <w:ind w:left="720" w:hanging="720"/>
          </w:pPr>
          <w:r>
            <w:rPr>
              <w:i/>
              <w:iCs/>
            </w:rPr>
            <w:t>East African Asians vs. the United Kingdom</w:t>
          </w:r>
          <w:r>
            <w:t> [1983].</w:t>
          </w:r>
        </w:p>
        <w:p w14:paraId="34849C68" w14:textId="77777777" w:rsidR="003D5873" w:rsidRDefault="003D5873" w:rsidP="003D5873">
          <w:pPr>
            <w:spacing w:line="360" w:lineRule="auto"/>
            <w:ind w:left="720" w:hanging="720"/>
          </w:pPr>
          <w:r>
            <w:rPr>
              <w:i/>
              <w:iCs/>
            </w:rPr>
            <w:t>Hasan Ali Khoja vs, The Metropolitan Police case</w:t>
          </w:r>
          <w:r>
            <w:t> [2012].</w:t>
          </w:r>
        </w:p>
        <w:p w14:paraId="5E710A93" w14:textId="77777777" w:rsidR="003D5873" w:rsidRDefault="003D5873" w:rsidP="003D5873">
          <w:pPr>
            <w:spacing w:line="360" w:lineRule="auto"/>
            <w:ind w:left="720" w:hanging="720"/>
            <w:rPr>
              <w:b/>
              <w:bCs/>
              <w:lang w:val="en-US"/>
            </w:rPr>
          </w:pPr>
          <w:r>
            <w:rPr>
              <w:b/>
              <w:bCs/>
              <w:lang w:val="en-US"/>
            </w:rPr>
            <w:t>Journals</w:t>
          </w:r>
        </w:p>
        <w:p w14:paraId="31AF903E" w14:textId="77777777" w:rsidR="003D5873" w:rsidRDefault="003D5873" w:rsidP="003D5873">
          <w:pPr>
            <w:spacing w:line="360" w:lineRule="auto"/>
            <w:ind w:left="720" w:hanging="720"/>
          </w:pPr>
          <w:r>
            <w:t>Armstrong, K.A., 2018. Regulatory alignment and divergence after Brexit. </w:t>
          </w:r>
          <w:r>
            <w:rPr>
              <w:i/>
              <w:iCs/>
            </w:rPr>
            <w:t>Journal of European Public Policy</w:t>
          </w:r>
          <w:r>
            <w:t>, </w:t>
          </w:r>
          <w:r>
            <w:rPr>
              <w:i/>
              <w:iCs/>
            </w:rPr>
            <w:t>25</w:t>
          </w:r>
          <w:r>
            <w:t>(8), pp.1099-1117.</w:t>
          </w:r>
        </w:p>
        <w:p w14:paraId="373D6CCC" w14:textId="77777777" w:rsidR="003D5873" w:rsidRDefault="003D5873" w:rsidP="003D5873">
          <w:pPr>
            <w:spacing w:line="360" w:lineRule="auto"/>
            <w:ind w:left="720" w:hanging="720"/>
          </w:pPr>
          <w:r>
            <w:t>Barn, R. and Powers, R.A., 2021. Rape myth acceptance in contemporary times: A comparative study of university students in India and the United Kingdom. </w:t>
          </w:r>
          <w:r>
            <w:rPr>
              <w:i/>
              <w:iCs/>
            </w:rPr>
            <w:t>Journal of interpersonal violence</w:t>
          </w:r>
          <w:r>
            <w:t>, </w:t>
          </w:r>
          <w:r>
            <w:rPr>
              <w:i/>
              <w:iCs/>
            </w:rPr>
            <w:t>36</w:t>
          </w:r>
          <w:r>
            <w:t>(7-8), pp.3514-3535.</w:t>
          </w:r>
        </w:p>
        <w:p w14:paraId="4A839285" w14:textId="77777777" w:rsidR="003D5873" w:rsidRDefault="003D5873" w:rsidP="003D5873">
          <w:pPr>
            <w:spacing w:line="360" w:lineRule="auto"/>
            <w:ind w:left="720" w:hanging="720"/>
          </w:pPr>
          <w:r>
            <w:t>Bhopal, K. and Henderson, H., 2021. Competing inequalities: gender versus race in higher education institutions in the UK. </w:t>
          </w:r>
          <w:r>
            <w:rPr>
              <w:i/>
              <w:iCs/>
            </w:rPr>
            <w:t>Educational Review</w:t>
          </w:r>
          <w:r>
            <w:t>, </w:t>
          </w:r>
          <w:r>
            <w:rPr>
              <w:i/>
              <w:iCs/>
            </w:rPr>
            <w:t>73</w:t>
          </w:r>
          <w:r>
            <w:t>(2), pp.153-169.</w:t>
          </w:r>
        </w:p>
        <w:p w14:paraId="3498CBF0" w14:textId="77777777" w:rsidR="003D5873" w:rsidRDefault="003D5873" w:rsidP="003D5873">
          <w:pPr>
            <w:spacing w:line="360" w:lineRule="auto"/>
            <w:ind w:left="720" w:hanging="720"/>
          </w:pPr>
          <w:r>
            <w:t xml:space="preserve">Bickerton, C., </w:t>
          </w:r>
          <w:proofErr w:type="spellStart"/>
          <w:r>
            <w:t>Brack</w:t>
          </w:r>
          <w:proofErr w:type="spellEnd"/>
          <w:r>
            <w:t xml:space="preserve">, N., </w:t>
          </w:r>
          <w:proofErr w:type="spellStart"/>
          <w:r>
            <w:t>Coman</w:t>
          </w:r>
          <w:proofErr w:type="spellEnd"/>
          <w:r>
            <w:t xml:space="preserve">, R. and </w:t>
          </w:r>
          <w:proofErr w:type="spellStart"/>
          <w:r>
            <w:t>Crespy</w:t>
          </w:r>
          <w:proofErr w:type="spellEnd"/>
          <w:r>
            <w:t>, A., 2022. Conflicts of sovereignty in contemporary Europe: a framework of analysis. </w:t>
          </w:r>
          <w:r>
            <w:rPr>
              <w:i/>
              <w:iCs/>
            </w:rPr>
            <w:t>Comparative European Politics</w:t>
          </w:r>
          <w:r>
            <w:t>, pp.1-18.</w:t>
          </w:r>
        </w:p>
        <w:p w14:paraId="64D484EF" w14:textId="77777777" w:rsidR="003D5873" w:rsidRDefault="003D5873" w:rsidP="003D5873">
          <w:pPr>
            <w:spacing w:line="360" w:lineRule="auto"/>
            <w:ind w:left="720" w:hanging="720"/>
          </w:pPr>
          <w:proofErr w:type="spellStart"/>
          <w:r>
            <w:t>Chríost</w:t>
          </w:r>
          <w:proofErr w:type="spellEnd"/>
          <w:r>
            <w:t xml:space="preserve">, D.M.G. and </w:t>
          </w:r>
          <w:proofErr w:type="spellStart"/>
          <w:r>
            <w:t>Bonotti</w:t>
          </w:r>
          <w:proofErr w:type="spellEnd"/>
          <w:r>
            <w:t>, M., 2018. </w:t>
          </w:r>
          <w:r>
            <w:rPr>
              <w:i/>
              <w:iCs/>
            </w:rPr>
            <w:t>Brexit, language policy and linguistic diversity</w:t>
          </w:r>
          <w:r>
            <w:t>. Springer.</w:t>
          </w:r>
        </w:p>
        <w:p w14:paraId="47FCC15B" w14:textId="77777777" w:rsidR="003D5873" w:rsidRDefault="003D5873" w:rsidP="003D5873">
          <w:pPr>
            <w:spacing w:line="360" w:lineRule="auto"/>
            <w:ind w:left="720" w:hanging="720"/>
          </w:pPr>
          <w:r>
            <w:t xml:space="preserve">De Mol, E., Cardon, M.S., de Jong, B., </w:t>
          </w:r>
          <w:proofErr w:type="spellStart"/>
          <w:r>
            <w:t>Khapova</w:t>
          </w:r>
          <w:proofErr w:type="spellEnd"/>
          <w:r>
            <w:t xml:space="preserve">, S.N. and </w:t>
          </w:r>
          <w:proofErr w:type="spellStart"/>
          <w:r>
            <w:t>Elfring</w:t>
          </w:r>
          <w:proofErr w:type="spellEnd"/>
          <w:r>
            <w:t>, T., 2020. Entrepreneurial passion diversity in new venture teams: An empirical examination of short-and long-term performance implications. </w:t>
          </w:r>
          <w:r>
            <w:rPr>
              <w:i/>
              <w:iCs/>
            </w:rPr>
            <w:t>Journal of Business Venturing</w:t>
          </w:r>
          <w:r>
            <w:t>, </w:t>
          </w:r>
          <w:r>
            <w:rPr>
              <w:i/>
              <w:iCs/>
            </w:rPr>
            <w:t>35</w:t>
          </w:r>
          <w:r>
            <w:t>(4), p.105965.</w:t>
          </w:r>
        </w:p>
        <w:p w14:paraId="4692958D" w14:textId="77777777" w:rsidR="003D5873" w:rsidRDefault="003D5873" w:rsidP="003D5873">
          <w:pPr>
            <w:spacing w:line="360" w:lineRule="auto"/>
            <w:ind w:left="720" w:hanging="720"/>
          </w:pPr>
          <w:r>
            <w:t>Harris, A.P. and Sen, M., 2019. Bias and judging. </w:t>
          </w:r>
          <w:r>
            <w:rPr>
              <w:i/>
              <w:iCs/>
            </w:rPr>
            <w:t>Annual Review of Political Science</w:t>
          </w:r>
          <w:r>
            <w:t>, </w:t>
          </w:r>
          <w:r>
            <w:rPr>
              <w:i/>
              <w:iCs/>
            </w:rPr>
            <w:t>22</w:t>
          </w:r>
          <w:r>
            <w:t>, pp.241-259.</w:t>
          </w:r>
        </w:p>
        <w:p w14:paraId="008025BB" w14:textId="77777777" w:rsidR="003D5873" w:rsidRDefault="003D5873" w:rsidP="003D5873">
          <w:pPr>
            <w:spacing w:line="360" w:lineRule="auto"/>
            <w:ind w:left="720" w:hanging="720"/>
          </w:pPr>
          <w:proofErr w:type="spellStart"/>
          <w:r>
            <w:t>Humprecht</w:t>
          </w:r>
          <w:proofErr w:type="spellEnd"/>
          <w:r>
            <w:t xml:space="preserve">, E. and </w:t>
          </w:r>
          <w:proofErr w:type="spellStart"/>
          <w:r>
            <w:t>Esser</w:t>
          </w:r>
          <w:proofErr w:type="spellEnd"/>
          <w:r>
            <w:t>, F., 2018. Diversity in online news: On the importance of ownership types and media system types. </w:t>
          </w:r>
          <w:r>
            <w:rPr>
              <w:i/>
              <w:iCs/>
            </w:rPr>
            <w:t>Journalism Studies</w:t>
          </w:r>
          <w:r>
            <w:t>, </w:t>
          </w:r>
          <w:r>
            <w:rPr>
              <w:i/>
              <w:iCs/>
            </w:rPr>
            <w:t>19</w:t>
          </w:r>
          <w:r>
            <w:t>(12), pp.1825-1847.</w:t>
          </w:r>
        </w:p>
        <w:p w14:paraId="4F3432CD" w14:textId="77777777" w:rsidR="003D5873" w:rsidRDefault="003D5873" w:rsidP="003D5873">
          <w:pPr>
            <w:spacing w:line="360" w:lineRule="auto"/>
            <w:ind w:left="720" w:hanging="720"/>
          </w:pPr>
          <w:proofErr w:type="spellStart"/>
          <w:r>
            <w:t>Kirmayer</w:t>
          </w:r>
          <w:proofErr w:type="spellEnd"/>
          <w:r>
            <w:t>, L.J., 2019. The politics of diversity: Pluralism, multiculturalism and mental health. </w:t>
          </w:r>
          <w:r>
            <w:rPr>
              <w:i/>
              <w:iCs/>
            </w:rPr>
            <w:t>Transcultural Psychiatry</w:t>
          </w:r>
          <w:r>
            <w:t>, </w:t>
          </w:r>
          <w:r>
            <w:rPr>
              <w:i/>
              <w:iCs/>
            </w:rPr>
            <w:t>56</w:t>
          </w:r>
          <w:r>
            <w:t>(6), pp.1119-1138.</w:t>
          </w:r>
        </w:p>
        <w:p w14:paraId="208DC156" w14:textId="77777777" w:rsidR="003D5873" w:rsidRDefault="003D5873" w:rsidP="003D5873">
          <w:pPr>
            <w:spacing w:line="360" w:lineRule="auto"/>
            <w:ind w:left="720" w:hanging="720"/>
          </w:pPr>
          <w:r>
            <w:t>Kyle, K., Crossley, S.A. and Jarvis, S., 2021. Assessing the validity of lexical diversity indices using direct judgements. </w:t>
          </w:r>
          <w:r>
            <w:rPr>
              <w:i/>
              <w:iCs/>
            </w:rPr>
            <w:t>Language Assessment Quarterly</w:t>
          </w:r>
          <w:r>
            <w:t>, </w:t>
          </w:r>
          <w:r>
            <w:rPr>
              <w:i/>
              <w:iCs/>
            </w:rPr>
            <w:t>18</w:t>
          </w:r>
          <w:r>
            <w:t>(2), pp.154-170.</w:t>
          </w:r>
        </w:p>
        <w:sdt>
          <w:sdtPr>
            <w:id w:val="-573587230"/>
            <w:bibliography/>
          </w:sdtPr>
          <w:sdtEndPr/>
          <w:sdtContent>
            <w:p w14:paraId="793EBD88" w14:textId="77777777" w:rsidR="003D5873" w:rsidRDefault="003D5873" w:rsidP="003D5873">
              <w:pPr>
                <w:spacing w:line="360" w:lineRule="auto"/>
                <w:ind w:left="720" w:hanging="720"/>
              </w:pPr>
              <w:r>
                <w:t xml:space="preserve">Mack, K., </w:t>
              </w:r>
              <w:proofErr w:type="spellStart"/>
              <w:r>
                <w:t>Anleu</w:t>
              </w:r>
              <w:proofErr w:type="spellEnd"/>
              <w:r>
                <w:t xml:space="preserve">, S.R. and </w:t>
              </w:r>
              <w:proofErr w:type="spellStart"/>
              <w:r>
                <w:t>Tutton</w:t>
              </w:r>
              <w:proofErr w:type="spellEnd"/>
              <w:r>
                <w:t>, J., 2018. The judiciary and the public: Judicial perceptions. </w:t>
              </w:r>
              <w:r>
                <w:rPr>
                  <w:i/>
                  <w:iCs/>
                </w:rPr>
                <w:t>Adelaide Law Review, The</w:t>
              </w:r>
              <w:r>
                <w:t>, </w:t>
              </w:r>
              <w:r>
                <w:rPr>
                  <w:i/>
                  <w:iCs/>
                </w:rPr>
                <w:t>39</w:t>
              </w:r>
              <w:r>
                <w:t>(1), pp.1-35.</w:t>
              </w:r>
            </w:p>
            <w:p w14:paraId="76F9FA92" w14:textId="77777777" w:rsidR="003D5873" w:rsidRDefault="003D5873" w:rsidP="003D5873">
              <w:pPr>
                <w:spacing w:line="360" w:lineRule="auto"/>
                <w:ind w:left="720" w:hanging="720"/>
              </w:pPr>
              <w:proofErr w:type="spellStart"/>
              <w:r>
                <w:t>Schertzer</w:t>
              </w:r>
              <w:proofErr w:type="spellEnd"/>
              <w:r>
                <w:t>, R., 2018. The judicial role in a diverse federation. In </w:t>
              </w:r>
              <w:r>
                <w:rPr>
                  <w:i/>
                  <w:iCs/>
                </w:rPr>
                <w:t>The Judicial Role in a Diverse Federation</w:t>
              </w:r>
              <w:r>
                <w:t>. University of Toronto Press.</w:t>
              </w:r>
            </w:p>
            <w:p w14:paraId="6F0EB018" w14:textId="77777777" w:rsidR="003D5873" w:rsidRDefault="003D5873" w:rsidP="003D5873">
              <w:pPr>
                <w:spacing w:line="360" w:lineRule="auto"/>
                <w:ind w:left="720" w:hanging="720"/>
              </w:pPr>
              <w:proofErr w:type="spellStart"/>
              <w:r>
                <w:t>Sourdin</w:t>
              </w:r>
              <w:proofErr w:type="spellEnd"/>
              <w:r>
                <w:t xml:space="preserve">, T. and </w:t>
              </w:r>
              <w:proofErr w:type="spellStart"/>
              <w:r>
                <w:t>Cornes</w:t>
              </w:r>
              <w:proofErr w:type="spellEnd"/>
              <w:r>
                <w:t>, R., 2018. Do judges need to be human? The implications of technology for responsive judging. In </w:t>
              </w:r>
              <w:r>
                <w:rPr>
                  <w:i/>
                  <w:iCs/>
                </w:rPr>
                <w:t>The Responsive Judge</w:t>
              </w:r>
              <w:r>
                <w:t> (pp. 87-119). Springer, Singapore.</w:t>
              </w:r>
            </w:p>
            <w:p w14:paraId="218668B4" w14:textId="77777777" w:rsidR="003D5873" w:rsidRDefault="003D5873" w:rsidP="003D5873">
              <w:pPr>
                <w:spacing w:line="360" w:lineRule="auto"/>
                <w:ind w:left="720" w:hanging="720"/>
              </w:pPr>
              <w:r>
                <w:t xml:space="preserve">Zhou, K., </w:t>
              </w:r>
              <w:proofErr w:type="spellStart"/>
              <w:r>
                <w:t>Qiao</w:t>
              </w:r>
              <w:proofErr w:type="spellEnd"/>
              <w:r>
                <w:t>, Y. and Xiang, T., 2018, April. Deep reinforcement learning for unsupervised video summarization with diversity-representativeness reward. In </w:t>
              </w:r>
              <w:r>
                <w:rPr>
                  <w:i/>
                  <w:iCs/>
                </w:rPr>
                <w:t>Proceedings of the AAAI Conference on Artificial Intelligence</w:t>
              </w:r>
              <w:r>
                <w:t> (Vol. 32, No. 1).</w:t>
              </w:r>
            </w:p>
          </w:sdtContent>
        </w:sdt>
      </w:sdtContent>
    </w:sdt>
    <w:p w14:paraId="3C6B8F18" w14:textId="77777777" w:rsidR="003D5873" w:rsidRDefault="003D5873" w:rsidP="003D5873">
      <w:pPr>
        <w:spacing w:line="360" w:lineRule="auto"/>
        <w:rPr>
          <w:lang w:val="en-US"/>
        </w:rPr>
      </w:pPr>
    </w:p>
    <w:p w14:paraId="023F8A72" w14:textId="77777777" w:rsidR="00C17998" w:rsidRDefault="00C17998"/>
    <w:sectPr w:rsidR="00C179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873"/>
    <w:rsid w:val="0027264E"/>
    <w:rsid w:val="003470B7"/>
    <w:rsid w:val="003C0301"/>
    <w:rsid w:val="003D5873"/>
    <w:rsid w:val="00892D59"/>
    <w:rsid w:val="009D051F"/>
    <w:rsid w:val="00BF4744"/>
    <w:rsid w:val="00C17998"/>
    <w:rsid w:val="00D731B1"/>
    <w:rsid w:val="00DB3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F5069"/>
  <w15:chartTrackingRefBased/>
  <w15:docId w15:val="{256B893A-F4CC-4700-B935-F33B7B190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87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3D5873"/>
    <w:pPr>
      <w:keepNext/>
      <w:keepLines/>
      <w:spacing w:before="240" w:after="0"/>
      <w:jc w:val="cente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873"/>
    <w:rPr>
      <w:rFonts w:ascii="Times New Roman" w:eastAsiaTheme="majorEastAsia" w:hAnsi="Times New Roman" w:cstheme="majorBidi"/>
      <w:b/>
      <w:sz w:val="24"/>
      <w:szCs w:val="32"/>
    </w:rPr>
  </w:style>
  <w:style w:type="character" w:styleId="Hyperlink">
    <w:name w:val="Hyperlink"/>
    <w:basedOn w:val="DefaultParagraphFont"/>
    <w:uiPriority w:val="99"/>
    <w:semiHidden/>
    <w:unhideWhenUsed/>
    <w:rsid w:val="003D5873"/>
    <w:rPr>
      <w:color w:val="0563C1" w:themeColor="hyperlink"/>
      <w:u w:val="single"/>
    </w:rPr>
  </w:style>
  <w:style w:type="paragraph" w:styleId="TOC1">
    <w:name w:val="toc 1"/>
    <w:basedOn w:val="Normal"/>
    <w:next w:val="Normal"/>
    <w:autoRedefine/>
    <w:uiPriority w:val="39"/>
    <w:semiHidden/>
    <w:unhideWhenUsed/>
    <w:rsid w:val="003D5873"/>
    <w:pPr>
      <w:spacing w:after="100"/>
    </w:pPr>
  </w:style>
  <w:style w:type="paragraph" w:styleId="Title">
    <w:name w:val="Title"/>
    <w:basedOn w:val="Normal"/>
    <w:next w:val="Normal"/>
    <w:link w:val="TitleChar"/>
    <w:uiPriority w:val="10"/>
    <w:qFormat/>
    <w:rsid w:val="003D5873"/>
    <w:pPr>
      <w:spacing w:after="0"/>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3D5873"/>
    <w:rPr>
      <w:rFonts w:ascii="Times New Roman" w:eastAsiaTheme="majorEastAsia" w:hAnsi="Times New Roman" w:cstheme="majorBidi"/>
      <w:spacing w:val="-10"/>
      <w:kern w:val="28"/>
      <w:sz w:val="24"/>
      <w:szCs w:val="56"/>
    </w:rPr>
  </w:style>
  <w:style w:type="paragraph" w:styleId="TOCHeading">
    <w:name w:val="TOC Heading"/>
    <w:basedOn w:val="Heading1"/>
    <w:next w:val="Normal"/>
    <w:uiPriority w:val="39"/>
    <w:semiHidden/>
    <w:unhideWhenUsed/>
    <w:qFormat/>
    <w:rsid w:val="003D5873"/>
    <w:pPr>
      <w:spacing w:line="256" w:lineRule="auto"/>
      <w:jc w:val="left"/>
      <w:outlineLvl w:val="9"/>
    </w:pPr>
    <w:rPr>
      <w:rFonts w:asciiTheme="majorHAnsi" w:hAnsiTheme="majorHAnsi"/>
      <w:b w:val="0"/>
      <w:color w:val="2F5496" w:themeColor="accent1" w:themeShade="BF"/>
      <w:sz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83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ajra\Downloads\Diversity%20in%20the%20Judiciary.docx" TargetMode="External" /><Relationship Id="rId3" Type="http://schemas.openxmlformats.org/officeDocument/2006/relationships/webSettings" Target="webSettings.xml" /><Relationship Id="rId7" Type="http://schemas.openxmlformats.org/officeDocument/2006/relationships/hyperlink" Target="file:///C:\Users\hajra\Downloads\Diversity%20in%20the%20Judiciary.docx"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file:///C:\Users\hajra\Downloads\Diversity%20in%20the%20Judiciary.docx" TargetMode="External" /><Relationship Id="rId11" Type="http://schemas.openxmlformats.org/officeDocument/2006/relationships/theme" Target="theme/theme1.xml" /><Relationship Id="rId5" Type="http://schemas.openxmlformats.org/officeDocument/2006/relationships/hyperlink" Target="file:///C:\Users\hajra\Downloads\Diversity%20in%20the%20Judiciary.docx" TargetMode="External" /><Relationship Id="rId10" Type="http://schemas.openxmlformats.org/officeDocument/2006/relationships/fontTable" Target="fontTable.xml" /><Relationship Id="rId4" Type="http://schemas.openxmlformats.org/officeDocument/2006/relationships/hyperlink" Target="file:///C:\Users\hajra\Downloads\Diversity%20in%20the%20Judiciary.docx" TargetMode="External" /><Relationship Id="rId9" Type="http://schemas.openxmlformats.org/officeDocument/2006/relationships/hyperlink" Target="file:///C:\Users\hajra\Downloads\Diversity%20in%20the%20Judiciary.doc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1986</Words>
  <Characters>11326</Characters>
  <Application>Microsoft Office Word</Application>
  <DocSecurity>0</DocSecurity>
  <Lines>94</Lines>
  <Paragraphs>26</Paragraphs>
  <ScaleCrop>false</ScaleCrop>
  <Company/>
  <LinksUpToDate>false</LinksUpToDate>
  <CharactersWithSpaces>13286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Javed</dc:creator>
  <cp:keywords/>
  <dc:description/>
  <cp:lastModifiedBy>mian.nasir39@yahoo.com</cp:lastModifiedBy>
  <cp:revision>2</cp:revision>
  <dcterms:created xsi:type="dcterms:W3CDTF">2022-06-11T23:30:00Z</dcterms:created>
  <dcterms:modified xsi:type="dcterms:W3CDTF">2022-06-11T23:30:00Z</dcterms:modified>
</cp:coreProperties>
</file>