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pStyle w:val="5"/>
        <w:spacing w:beforeAutospacing="0" w:afterAutospacing="0"/>
        <w:ind w:left="-180" w:right="-334"/>
      </w:pPr>
      <w:bookmarkStart w:id="0" w:name="OLE_LINK6"/>
      <w:r>
        <w:rPr>
          <w:lang w:eastAsia="en-GB"/>
        </w:rPr>
        <w:drawing>
          <wp:inline distT="0" distB="0" distL="114300" distR="114300">
            <wp:extent cx="2058035" cy="856615"/>
            <wp:effectExtent l="0" t="0" r="12065" b="6985"/>
            <wp:docPr id="5" name="图片 5" descr="C:\Users\ablettm\AppData\Local\Microsoft\Windows\Temporary Internet Files\Content.Outlook\R41HOZLM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图片 5" descr="C:\Users\ablettm\AppData\Local\Microsoft\Windows\Temporary Internet Files\Content.Outlook\R41HOZLM\UWTSD Logo.jpg"/>
                    <pic:cNvPicPr>
                      <a:picLocks noChangeAspect="1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058035" cy="856615"/>
                    </a:xfrm>
                    <a:prstGeom prst="rect">
                      <a:avLst/>
                    </a:prstGeom>
                    <a:noFill/>
                    <a:ln w="9525">
                      <a:noFill/>
                    </a:ln>
                  </pic:spPr>
                </pic:pic>
              </a:graphicData>
            </a:graphic>
          </wp:inline>
        </w:drawing>
      </w:r>
    </w:p>
    <w:p>
      <w:pPr>
        <w:pStyle w:val="5"/>
        <w:spacing w:beforeAutospacing="0" w:afterAutospacing="0"/>
        <w:ind w:left="-180" w:right="-334"/>
      </w:pPr>
    </w:p>
    <w:p>
      <w:pPr>
        <w:pStyle w:val="5"/>
        <w:spacing w:beforeAutospacing="0" w:afterAutospacing="0"/>
        <w:ind w:left="-180" w:right="-334"/>
      </w:pPr>
    </w:p>
    <w:p>
      <w:pPr>
        <w:pStyle w:val="5"/>
        <w:spacing w:beforeAutospacing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>
        <w:rPr>
          <w:rFonts w:ascii="Arial" w:hAnsi="Arial" w:cs="Arial"/>
          <w:b/>
          <w:sz w:val="28"/>
          <w:szCs w:val="28"/>
          <w:lang w:val="cy-GB"/>
        </w:rPr>
        <w:t xml:space="preserve">Postgraduate/Distance Learning </w:t>
      </w:r>
    </w:p>
    <w:p>
      <w:pPr>
        <w:pStyle w:val="5"/>
        <w:spacing w:beforeAutospacing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Assignment coversheet &amp; feedback form</w:t>
      </w:r>
    </w:p>
    <w:p>
      <w:pPr>
        <w:rPr>
          <w:rFonts w:ascii="Arial" w:hAnsi="Arial" w:cs="Arial"/>
          <w:sz w:val="28"/>
          <w:szCs w:val="28"/>
          <w:lang w:val="cy-GB"/>
        </w:rPr>
      </w:pPr>
    </w:p>
    <w:p>
      <w:pPr>
        <w:pStyle w:val="2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>
      <w:pPr>
        <w:pStyle w:val="2"/>
        <w:jc w:val="center"/>
        <w:rPr>
          <w:rFonts w:ascii="Trebuchet MS" w:hAnsi="Trebuchet MS"/>
        </w:rPr>
      </w:pPr>
    </w:p>
    <w:tbl>
      <w:tblPr>
        <w:tblStyle w:val="7"/>
        <w:tblW w:w="8856" w:type="dxa"/>
        <w:tblInd w:w="0" w:type="dxa"/>
        <w:tblBorders>
          <w:top w:val="single" w:color="000000" w:sz="4" w:space="0"/>
          <w:left w:val="single" w:color="000000" w:sz="4" w:space="0"/>
          <w:bottom w:val="single" w:color="000000" w:sz="4" w:space="0"/>
          <w:right w:val="single" w:color="000000" w:sz="4" w:space="0"/>
          <w:insideH w:val="single" w:color="000000" w:sz="4" w:space="0"/>
          <w:insideV w:val="single" w:color="000000" w:sz="4" w:space="0"/>
        </w:tblBorders>
        <w:tblLayout w:type="fixed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4788"/>
        <w:gridCol w:w="423"/>
        <w:gridCol w:w="1557"/>
        <w:gridCol w:w="286"/>
        <w:gridCol w:w="1802"/>
      </w:tblGrid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614" w:hRule="atLeast"/>
        </w:trPr>
        <w:tc>
          <w:tcPr>
            <w:tcW w:w="8856" w:type="dxa"/>
            <w:gridSpan w:val="5"/>
          </w:tcPr>
          <w:p>
            <w:pPr>
              <w:pStyle w:val="5"/>
              <w:spacing w:beforeAutospacing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the 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718" w:hRule="atLeast"/>
        </w:trPr>
        <w:tc>
          <w:tcPr>
            <w:tcW w:w="8856" w:type="dxa"/>
            <w:gridSpan w:val="5"/>
          </w:tcPr>
          <w:p>
            <w:pPr>
              <w:pStyle w:val="5"/>
              <w:spacing w:beforeAutospacing="0" w:afterAutospacing="0"/>
              <w:ind w:right="34"/>
              <w:rPr>
                <w:rFonts w:hint="eastAsia" w:ascii="Arial" w:hAnsi="Arial" w:cs="Arial" w:eastAsiaTheme="minorEastAsia"/>
                <w:sz w:val="22"/>
                <w:szCs w:val="22"/>
                <w:lang w:val="en-US" w:eastAsia="zh-CN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hint="eastAsia" w:ascii="Arial" w:hAnsi="Arial" w:cs="Arial"/>
                <w:sz w:val="22"/>
                <w:szCs w:val="22"/>
                <w:lang w:val="en-US" w:eastAsia="zh-CN"/>
              </w:rPr>
              <w:t>Peilin Zhuang</w:t>
            </w:r>
          </w:p>
          <w:p>
            <w:pPr>
              <w:pStyle w:val="5"/>
              <w:spacing w:beforeAutospacing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849" w:hRule="atLeast"/>
        </w:trPr>
        <w:tc>
          <w:tcPr>
            <w:tcW w:w="4788" w:type="dxa"/>
          </w:tcPr>
          <w:p>
            <w:pPr>
              <w:pStyle w:val="5"/>
              <w:spacing w:beforeAutospacing="0" w:afterAutospacing="0"/>
              <w:ind w:right="34"/>
              <w:rPr>
                <w:rFonts w:ascii="Arial" w:hAnsi="Arial" w:eastAsia="宋体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hint="eastAsia" w:ascii="Arial" w:hAnsi="Arial" w:cs="Arial"/>
                <w:sz w:val="22"/>
                <w:szCs w:val="22"/>
              </w:rPr>
              <w:t>SICH3003</w:t>
            </w:r>
          </w:p>
          <w:p>
            <w:pPr>
              <w:pStyle w:val="5"/>
              <w:spacing w:beforeAutospacing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ind w:right="34"/>
              <w:rPr>
                <w:rFonts w:ascii="Arial" w:hAnsi="Arial" w:eastAsia="宋体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title: Explaining and memorizing the classical Chinese text</w:t>
            </w:r>
          </w:p>
          <w:p>
            <w:pPr>
              <w:pStyle w:val="5"/>
              <w:spacing w:beforeAutospacing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>
            <w:pPr>
              <w:pStyle w:val="5"/>
              <w:spacing w:beforeAutospacing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>
            <w:pPr>
              <w:pStyle w:val="5"/>
              <w:spacing w:beforeAutospacing="0" w:afterAutospacing="0"/>
              <w:ind w:right="34"/>
              <w:rPr>
                <w:rFonts w:hint="eastAsia" w:ascii="Arial" w:hAnsi="Arial" w:cs="Arial" w:eastAsiaTheme="minorEastAsia"/>
                <w:sz w:val="22"/>
                <w:szCs w:val="22"/>
                <w:lang w:val="en-US" w:eastAsia="zh-CN"/>
              </w:rPr>
            </w:pPr>
            <w:r>
              <w:rPr>
                <w:rFonts w:hint="eastAsia" w:ascii="Arial" w:hAnsi="Arial" w:cs="Arial"/>
                <w:sz w:val="22"/>
                <w:szCs w:val="22"/>
              </w:rPr>
              <w:t>18043</w:t>
            </w:r>
            <w:r>
              <w:rPr>
                <w:rFonts w:hint="eastAsia" w:ascii="Arial" w:hAnsi="Arial" w:cs="Arial"/>
                <w:sz w:val="22"/>
                <w:szCs w:val="22"/>
                <w:lang w:val="en-US" w:eastAsia="zh-CN"/>
              </w:rPr>
              <w:t>91</w:t>
            </w:r>
          </w:p>
        </w:tc>
        <w:tc>
          <w:tcPr>
            <w:tcW w:w="1802" w:type="dxa"/>
          </w:tcPr>
          <w:p>
            <w:pPr>
              <w:pStyle w:val="5"/>
              <w:spacing w:beforeAutospacing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>
            <w:pPr>
              <w:pStyle w:val="5"/>
              <w:spacing w:beforeAutospacing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trike/>
                <w:sz w:val="22"/>
                <w:szCs w:val="22"/>
              </w:rPr>
              <w:t>Yes</w:t>
            </w:r>
            <w:r>
              <w:rPr>
                <w:rFonts w:ascii="Arial" w:hAnsi="Arial" w:cs="Arial"/>
                <w:sz w:val="22"/>
                <w:szCs w:val="22"/>
              </w:rPr>
              <w:t>/No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1139" w:hRule="atLeast"/>
        </w:trPr>
        <w:tc>
          <w:tcPr>
            <w:tcW w:w="8856" w:type="dxa"/>
            <w:gridSpan w:val="5"/>
          </w:tcPr>
          <w:p>
            <w:pPr>
              <w:pStyle w:val="5"/>
              <w:spacing w:beforeAutospacing="0" w:afterAutospacing="0"/>
              <w:ind w:right="34"/>
              <w:rPr>
                <w:rFonts w:ascii="Arial" w:hAnsi="Arial" w:eastAsia="宋体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tutor:</w:t>
            </w:r>
            <w:r>
              <w:rPr>
                <w:rFonts w:hint="eastAsia" w:ascii="Arial" w:hAnsi="Arial" w:cs="Arial"/>
                <w:sz w:val="22"/>
                <w:szCs w:val="22"/>
              </w:rPr>
              <w:t xml:space="preserve"> Professor Chia-Feng Hsieh </w:t>
            </w:r>
          </w:p>
          <w:p>
            <w:pPr>
              <w:pStyle w:val="5"/>
              <w:spacing w:beforeAutospacing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ind w:right="34"/>
              <w:rPr>
                <w:rFonts w:ascii="Arial" w:hAnsi="Arial" w:eastAsia="宋体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Assignment due date:11</w:t>
            </w:r>
            <w:r>
              <w:rPr>
                <w:rFonts w:hint="eastAsia" w:ascii="Arial" w:hAnsi="Arial" w:cs="Arial"/>
                <w:sz w:val="22"/>
                <w:szCs w:val="22"/>
              </w:rPr>
              <w:t>th January, 2019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978" w:hRule="atLeast"/>
        </w:trPr>
        <w:tc>
          <w:tcPr>
            <w:tcW w:w="8856" w:type="dxa"/>
            <w:gridSpan w:val="5"/>
            <w:tcBorders>
              <w:bottom w:val="single" w:color="000000" w:sz="4" w:space="0"/>
            </w:tcBorders>
          </w:tcPr>
          <w:p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If your module has multiple submissions please indicate which piece of work this is.</w:t>
            </w:r>
          </w:p>
          <w:p>
            <w:pPr>
              <w:rPr>
                <w:rFonts w:ascii="Arial" w:hAnsi="Arial" w:cs="Arial"/>
                <w:sz w:val="22"/>
                <w:szCs w:val="22"/>
              </w:rPr>
            </w:pPr>
          </w:p>
          <w:p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1" w:name="Check13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>
              <w:rPr>
                <w:rFonts w:hint="eastAsia" w:ascii="Arial" w:hAnsi="Arial" w:cs="Arial"/>
                <w:sz w:val="22"/>
                <w:szCs w:val="22"/>
              </w:rPr>
              <w:t xml:space="preserve">   </w:t>
            </w:r>
            <w:r>
              <w:rPr>
                <w:rFonts w:ascii="Arial" w:hAnsi="Arial" w:cs="Arial"/>
                <w:sz w:val="22"/>
                <w:szCs w:val="22"/>
              </w:rPr>
              <w:t>2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2" w:name="Check14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>
              <w:rPr>
                <w:rFonts w:ascii="Arial" w:hAnsi="Arial" w:cs="Arial"/>
                <w:sz w:val="22"/>
                <w:szCs w:val="22"/>
              </w:rPr>
              <w:t xml:space="preserve"> √    3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3" w:name="Check15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4" w:name="Check16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5" w:name="Check17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5"/>
            <w:r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  <w:checked w:val="0"/>
                  </w:checkBox>
                </w:ffData>
              </w:fldChar>
            </w:r>
            <w:bookmarkStart w:id="6" w:name="Check18"/>
            <w:r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>
              <w:rPr>
                <w:rFonts w:ascii="Arial" w:hAnsi="Arial" w:cs="Arial"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6"/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978" w:hRule="atLeast"/>
        </w:trPr>
        <w:tc>
          <w:tcPr>
            <w:tcW w:w="8856" w:type="dxa"/>
            <w:gridSpan w:val="5"/>
            <w:shd w:val="clear" w:color="auto" w:fill="D9D9D9"/>
          </w:tcPr>
          <w:p>
            <w:pPr>
              <w:pStyle w:val="5"/>
              <w:spacing w:beforeAutospacing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>
            <w:pPr>
              <w:pStyle w:val="5"/>
              <w:spacing w:beforeAutospacing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Signed </w:t>
            </w:r>
            <w:r>
              <w:rPr>
                <w:rFonts w:hint="eastAsia" w:ascii="Arial" w:hAnsi="Arial" w:cs="Arial"/>
                <w:sz w:val="22"/>
                <w:szCs w:val="22"/>
                <w:lang w:val="en-US" w:eastAsia="zh-CN"/>
              </w:rPr>
              <w:t>Peilin Zhuang</w:t>
            </w:r>
            <w:r>
              <w:rPr>
                <w:rFonts w:ascii="Arial" w:hAnsi="Arial" w:cs="Arial"/>
                <w:sz w:val="22"/>
                <w:szCs w:val="22"/>
              </w:rPr>
              <w:t>……………………………………………………………</w:t>
            </w:r>
          </w:p>
          <w:p>
            <w:pPr>
              <w:pStyle w:val="5"/>
              <w:spacing w:beforeAutospacing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>
              <w:rPr>
                <w:rFonts w:ascii="Calibri" w:hAnsi="Calibri" w:cs="Tahoma"/>
                <w:b/>
              </w:rPr>
              <w:t>Email submission: if you are submitting this form via email, please tick this box</w:t>
            </w:r>
            <w:r>
              <w:rPr>
                <w:rFonts w:ascii="Calibri" w:hAnsi="Calibri" w:cs="Tahoma"/>
                <w:b/>
                <w:sz w:val="36"/>
                <w:szCs w:val="36"/>
              </w:rPr>
              <w:sym w:font="Wingdings" w:char="00FE"/>
            </w:r>
          </w:p>
          <w:p>
            <w:pPr>
              <w:pStyle w:val="5"/>
              <w:spacing w:beforeAutospacing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</w:rPr>
              <w:t>(as a substitute for your signature) to confirm that you agree to the above declaration.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3972" w:hRule="atLeast"/>
        </w:trPr>
        <w:tc>
          <w:tcPr>
            <w:tcW w:w="8856" w:type="dxa"/>
            <w:gridSpan w:val="5"/>
          </w:tcPr>
          <w:p>
            <w:pPr>
              <w:rPr>
                <w:rFonts w:ascii="Arial" w:hAnsi="Arial"/>
                <w:b/>
              </w:rPr>
            </w:pPr>
          </w:p>
          <w:p>
            <w:pPr>
              <w:rPr>
                <w:rFonts w:ascii="Arial" w:hAnsi="Arial"/>
              </w:rPr>
            </w:pPr>
            <w:r>
              <w:rPr>
                <w:rFonts w:ascii="Arial" w:hAnsi="Arial"/>
                <w:b/>
              </w:rPr>
              <w:t>Assignment Mark</w:t>
            </w:r>
          </w:p>
          <w:tbl>
            <w:tblPr>
              <w:tblStyle w:val="7"/>
              <w:tblW w:w="8630" w:type="dxa"/>
              <w:tblInd w:w="0" w:type="dxa"/>
              <w:tblBorders>
                <w:top w:val="single" w:color="auto" w:sz="4" w:space="0"/>
                <w:left w:val="single" w:color="auto" w:sz="4" w:space="0"/>
                <w:bottom w:val="single" w:color="auto" w:sz="4" w:space="0"/>
                <w:right w:val="single" w:color="auto" w:sz="4" w:space="0"/>
                <w:insideH w:val="single" w:color="auto" w:sz="4" w:space="0"/>
                <w:insideV w:val="single" w:color="auto" w:sz="4" w:space="0"/>
              </w:tblBorders>
              <w:tblLayout w:type="fixed"/>
              <w:tblCellMar>
                <w:top w:w="0" w:type="dxa"/>
                <w:left w:w="108" w:type="dxa"/>
                <w:bottom w:w="0" w:type="dxa"/>
                <w:right w:w="108" w:type="dxa"/>
              </w:tblCellMar>
            </w:tblPr>
            <w:tblGrid>
              <w:gridCol w:w="6970"/>
              <w:gridCol w:w="1660"/>
            </w:tblGrid>
            <w:tr>
              <w:tblPrEx>
                <w:tblBorders>
                  <w:top w:val="single" w:color="auto" w:sz="4" w:space="0"/>
                  <w:left w:val="single" w:color="auto" w:sz="4" w:space="0"/>
                  <w:bottom w:val="single" w:color="auto" w:sz="4" w:space="0"/>
                  <w:right w:val="single" w:color="auto" w:sz="4" w:space="0"/>
                  <w:insideH w:val="single" w:color="auto" w:sz="4" w:space="0"/>
                  <w:insideV w:val="single" w:color="auto" w:sz="4" w:space="0"/>
                </w:tblBorders>
                <w:tblLayout w:type="fixed"/>
                <w:tblCellMar>
                  <w:top w:w="0" w:type="dxa"/>
                  <w:left w:w="108" w:type="dxa"/>
                  <w:bottom w:w="0" w:type="dxa"/>
                  <w:right w:w="108" w:type="dxa"/>
                </w:tblCellMar>
              </w:tblPrEx>
              <w:tc>
                <w:tcPr>
                  <w:tcW w:w="6970" w:type="dxa"/>
                </w:tcPr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>
              <w:tblPrEx>
                <w:tblBorders>
                  <w:top w:val="single" w:color="auto" w:sz="4" w:space="0"/>
                  <w:left w:val="single" w:color="auto" w:sz="4" w:space="0"/>
                  <w:bottom w:val="single" w:color="auto" w:sz="4" w:space="0"/>
                  <w:right w:val="single" w:color="auto" w:sz="4" w:space="0"/>
                  <w:insideH w:val="single" w:color="auto" w:sz="4" w:space="0"/>
                  <w:insideV w:val="single" w:color="auto" w:sz="4" w:space="0"/>
                </w:tblBorders>
                <w:tblLayout w:type="fixed"/>
                <w:tblCellMar>
                  <w:top w:w="0" w:type="dxa"/>
                  <w:left w:w="108" w:type="dxa"/>
                  <w:bottom w:w="0" w:type="dxa"/>
                  <w:right w:w="108" w:type="dxa"/>
                </w:tblCellMar>
              </w:tblPrEx>
              <w:tc>
                <w:tcPr>
                  <w:tcW w:w="6970" w:type="dxa"/>
                </w:tcPr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>
              <w:tblPrEx>
                <w:tblBorders>
                  <w:top w:val="single" w:color="auto" w:sz="4" w:space="0"/>
                  <w:left w:val="single" w:color="auto" w:sz="4" w:space="0"/>
                  <w:bottom w:val="single" w:color="auto" w:sz="4" w:space="0"/>
                  <w:right w:val="single" w:color="auto" w:sz="4" w:space="0"/>
                  <w:insideH w:val="single" w:color="auto" w:sz="4" w:space="0"/>
                  <w:insideV w:val="single" w:color="auto" w:sz="4" w:space="0"/>
                </w:tblBorders>
                <w:tblLayout w:type="fixed"/>
                <w:tblCellMar>
                  <w:top w:w="0" w:type="dxa"/>
                  <w:left w:w="108" w:type="dxa"/>
                  <w:bottom w:w="0" w:type="dxa"/>
                  <w:right w:w="108" w:type="dxa"/>
                </w:tblCellMar>
              </w:tblPrEx>
              <w:tc>
                <w:tcPr>
                  <w:tcW w:w="6970" w:type="dxa"/>
                </w:tcPr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Agreed Internal Mark: </w:t>
                  </w:r>
                </w:p>
                <w:p>
                  <w:pPr>
                    <w:rPr>
                      <w:rFonts w:ascii="Arial" w:hAnsi="Arial"/>
                      <w:sz w:val="20"/>
                      <w:szCs w:val="20"/>
                      <w:highlight w:val="yellow"/>
                    </w:rPr>
                  </w:pPr>
                </w:p>
              </w:tc>
              <w:tc>
                <w:tcPr>
                  <w:tcW w:w="1660" w:type="dxa"/>
                </w:tcPr>
                <w:p>
                  <w:pPr>
                    <w:rPr>
                      <w:rFonts w:ascii="Arial" w:hAnsi="Arial"/>
                      <w:sz w:val="20"/>
                      <w:szCs w:val="20"/>
                      <w:highlight w:val="yellow"/>
                    </w:rPr>
                  </w:pPr>
                </w:p>
              </w:tc>
            </w:tr>
            <w:tr>
              <w:tblPrEx>
                <w:tblBorders>
                  <w:top w:val="single" w:color="auto" w:sz="4" w:space="0"/>
                  <w:left w:val="single" w:color="auto" w:sz="4" w:space="0"/>
                  <w:bottom w:val="single" w:color="auto" w:sz="4" w:space="0"/>
                  <w:right w:val="single" w:color="auto" w:sz="4" w:space="0"/>
                  <w:insideH w:val="single" w:color="auto" w:sz="4" w:space="0"/>
                  <w:insideV w:val="single" w:color="auto" w:sz="4" w:space="0"/>
                </w:tblBorders>
                <w:tblLayout w:type="fixed"/>
                <w:tblCellMar>
                  <w:top w:w="0" w:type="dxa"/>
                  <w:left w:w="108" w:type="dxa"/>
                  <w:bottom w:w="0" w:type="dxa"/>
                  <w:right w:w="108" w:type="dxa"/>
                </w:tblCellMar>
              </w:tblPrEx>
              <w:tc>
                <w:tcPr>
                  <w:tcW w:w="6970" w:type="dxa"/>
                </w:tcPr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sz w:val="20"/>
                      <w:szCs w:val="20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>
              <w:tblPrEx>
                <w:tblBorders>
                  <w:top w:val="single" w:color="auto" w:sz="4" w:space="0"/>
                  <w:left w:val="single" w:color="auto" w:sz="4" w:space="0"/>
                  <w:bottom w:val="single" w:color="auto" w:sz="4" w:space="0"/>
                  <w:right w:val="single" w:color="auto" w:sz="4" w:space="0"/>
                  <w:insideH w:val="single" w:color="auto" w:sz="4" w:space="0"/>
                  <w:insideV w:val="single" w:color="auto" w:sz="4" w:space="0"/>
                </w:tblBorders>
                <w:tblLayout w:type="fixed"/>
                <w:tblCellMar>
                  <w:top w:w="0" w:type="dxa"/>
                  <w:left w:w="108" w:type="dxa"/>
                  <w:bottom w:w="0" w:type="dxa"/>
                  <w:right w:w="108" w:type="dxa"/>
                </w:tblCellMar>
              </w:tblPrEx>
              <w:tc>
                <w:tcPr>
                  <w:tcW w:w="6970" w:type="dxa"/>
                </w:tcPr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>
            <w:pPr>
              <w:pStyle w:val="5"/>
              <w:spacing w:beforeAutospacing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NB.</w:t>
            </w:r>
            <w:r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Final Examination Board.</w:t>
            </w:r>
          </w:p>
          <w:p>
            <w:pPr>
              <w:pStyle w:val="5"/>
              <w:spacing w:beforeAutospacing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Marker 1 :</w:t>
            </w:r>
          </w:p>
          <w:p>
            <w:pPr>
              <w:pStyle w:val="5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Comments:</w:t>
            </w:r>
          </w:p>
          <w:p>
            <w:pPr>
              <w:pStyle w:val="5"/>
              <w:rPr>
                <w:rFonts w:ascii="Arial" w:hAnsi="Arial" w:cs="Arial"/>
                <w:sz w:val="22"/>
                <w:szCs w:val="22"/>
              </w:rPr>
            </w:pP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492" w:hRule="atLeast"/>
        </w:trPr>
        <w:tc>
          <w:tcPr>
            <w:tcW w:w="6768" w:type="dxa"/>
            <w:gridSpan w:val="3"/>
          </w:tcPr>
          <w:p>
            <w:pPr>
              <w:pStyle w:val="5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Marker’s signature:</w:t>
            </w:r>
          </w:p>
        </w:tc>
        <w:tc>
          <w:tcPr>
            <w:tcW w:w="2088" w:type="dxa"/>
            <w:gridSpan w:val="2"/>
          </w:tcPr>
          <w:p>
            <w:pPr>
              <w:pStyle w:val="5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c>
          <w:tcPr>
            <w:tcW w:w="8856" w:type="dxa"/>
            <w:gridSpan w:val="5"/>
          </w:tcPr>
          <w:p>
            <w:pPr>
              <w:pStyle w:val="5"/>
              <w:spacing w:beforeAutospacing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Marker 2/Moderator:</w:t>
            </w:r>
          </w:p>
          <w:p>
            <w:pPr>
              <w:pStyle w:val="5"/>
              <w:spacing w:beforeAutospacing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>
            <w:pPr>
              <w:pStyle w:val="5"/>
              <w:spacing w:beforeAutospacing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720" w:hRule="atLeast"/>
        </w:trPr>
        <w:tc>
          <w:tcPr>
            <w:tcW w:w="5211" w:type="dxa"/>
            <w:gridSpan w:val="2"/>
          </w:tcPr>
          <w:p>
            <w:pPr>
              <w:pStyle w:val="5"/>
              <w:spacing w:beforeAutospacing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Marker’s Signature:</w:t>
            </w:r>
          </w:p>
        </w:tc>
        <w:tc>
          <w:tcPr>
            <w:tcW w:w="3645" w:type="dxa"/>
            <w:gridSpan w:val="3"/>
          </w:tcPr>
          <w:p>
            <w:pPr>
              <w:pStyle w:val="5"/>
              <w:spacing w:beforeAutospacing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720" w:hRule="atLeast"/>
        </w:trPr>
        <w:tc>
          <w:tcPr>
            <w:tcW w:w="8856" w:type="dxa"/>
            <w:gridSpan w:val="5"/>
          </w:tcPr>
          <w:p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AGREED INTERNAL MARK (where necessary):</w:t>
            </w:r>
          </w:p>
          <w:p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Comment on process on arriving at agreed mark:</w:t>
            </w:r>
          </w:p>
          <w:p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  <w:p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720" w:hRule="atLeast"/>
        </w:trPr>
        <w:tc>
          <w:tcPr>
            <w:tcW w:w="8856" w:type="dxa"/>
            <w:gridSpan w:val="5"/>
          </w:tcPr>
          <w:p>
            <w:pPr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>
            <w:pPr>
              <w:pStyle w:val="5"/>
              <w:spacing w:beforeAutospacing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>
            <w:pPr>
              <w:pStyle w:val="5"/>
              <w:spacing w:beforeAutospacing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ayout w:type="fixed"/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720" w:hRule="atLeast"/>
        </w:trPr>
        <w:tc>
          <w:tcPr>
            <w:tcW w:w="5211" w:type="dxa"/>
            <w:gridSpan w:val="2"/>
          </w:tcPr>
          <w:p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bookmarkEnd w:id="0"/>
    </w:tbl>
    <w:p>
      <w:pPr>
        <w:rPr>
          <w:rFonts w:hint="eastAsia" w:eastAsiaTheme="minorEastAsia"/>
          <w:lang w:val="en-US" w:eastAsia="zh-CN"/>
        </w:rPr>
      </w:pPr>
    </w:p>
    <w:p>
      <w:pPr>
        <w:rPr>
          <w:rFonts w:hint="eastAsia" w:eastAsiaTheme="minorEastAsia"/>
          <w:lang w:val="en-US" w:eastAsia="zh-CN"/>
        </w:rPr>
      </w:pPr>
    </w:p>
    <w:p>
      <w:pPr>
        <w:rPr>
          <w:rFonts w:hint="eastAsia" w:eastAsiaTheme="minorEastAsia"/>
          <w:lang w:val="en-US" w:eastAsia="zh-CN"/>
        </w:rPr>
      </w:pPr>
    </w:p>
    <w:p>
      <w:pPr>
        <w:rPr>
          <w:rFonts w:hint="eastAsia" w:eastAsiaTheme="minorEastAsia"/>
          <w:lang w:val="en-US" w:eastAsia="zh-CN"/>
        </w:rPr>
      </w:pPr>
    </w:p>
    <w:p>
      <w:pPr>
        <w:rPr>
          <w:rFonts w:hint="eastAsia" w:eastAsiaTheme="minorEastAsia"/>
          <w:lang w:val="en-US" w:eastAsia="zh-CN"/>
        </w:rPr>
      </w:pPr>
    </w:p>
    <w:p>
      <w:pPr>
        <w:rPr>
          <w:rFonts w:hint="eastAsia" w:eastAsiaTheme="minorEastAsia"/>
          <w:lang w:val="en-US" w:eastAsia="zh-CN"/>
        </w:rPr>
      </w:pPr>
    </w:p>
    <w:p>
      <w:pPr>
        <w:rPr>
          <w:rFonts w:hint="eastAsia" w:eastAsiaTheme="minorEastAsia"/>
          <w:lang w:val="en-US" w:eastAsia="zh-CN"/>
        </w:rPr>
      </w:pPr>
    </w:p>
    <w:p>
      <w:pPr>
        <w:rPr>
          <w:rFonts w:hint="eastAsia" w:eastAsiaTheme="minorEastAsia"/>
          <w:lang w:val="en-US" w:eastAsia="zh-CN"/>
        </w:rPr>
      </w:pPr>
    </w:p>
    <w:p>
      <w:pPr>
        <w:rPr>
          <w:rFonts w:hint="eastAsia" w:eastAsiaTheme="minorEastAsia"/>
          <w:lang w:val="en-US" w:eastAsia="zh-CN"/>
        </w:rPr>
      </w:pPr>
    </w:p>
    <w:p>
      <w:pPr>
        <w:rPr>
          <w:rFonts w:hint="eastAsia" w:eastAsiaTheme="minorEastAsia"/>
          <w:lang w:val="en-US" w:eastAsia="zh-CN"/>
        </w:rPr>
      </w:pPr>
    </w:p>
    <w:p>
      <w:pPr>
        <w:rPr>
          <w:rFonts w:hint="eastAsia" w:eastAsiaTheme="minorEastAsia"/>
          <w:lang w:val="en-US" w:eastAsia="zh-CN"/>
        </w:rPr>
      </w:pPr>
    </w:p>
    <w:p>
      <w:pPr>
        <w:rPr>
          <w:rFonts w:hint="eastAsia" w:eastAsiaTheme="minorEastAsia"/>
          <w:lang w:val="en-US" w:eastAsia="zh-CN"/>
        </w:rPr>
      </w:pPr>
    </w:p>
    <w:p>
      <w:pPr>
        <w:rPr>
          <w:rFonts w:hint="eastAsia" w:eastAsiaTheme="minorEastAsia"/>
          <w:lang w:val="en-US" w:eastAsia="zh-CN"/>
        </w:rPr>
      </w:pPr>
    </w:p>
    <w:p>
      <w:pPr>
        <w:rPr>
          <w:rFonts w:hint="eastAsia" w:eastAsiaTheme="minorEastAsia"/>
          <w:lang w:val="en-US" w:eastAsia="zh-CN"/>
        </w:rPr>
      </w:pPr>
    </w:p>
    <w:p>
      <w:pPr>
        <w:rPr>
          <w:rFonts w:hint="eastAsia" w:eastAsiaTheme="minorEastAsia"/>
          <w:lang w:val="en-US" w:eastAsia="zh-CN"/>
        </w:rPr>
      </w:pPr>
    </w:p>
    <w:p>
      <w:pPr>
        <w:rPr>
          <w:rFonts w:hint="eastAsia" w:eastAsiaTheme="minorEastAsia"/>
          <w:lang w:val="en-US" w:eastAsia="zh-CN"/>
        </w:rPr>
      </w:pPr>
    </w:p>
    <w:p>
      <w:pPr>
        <w:jc w:val="center"/>
        <w:rPr>
          <w:rFonts w:hint="eastAsia" w:ascii="DFKai-SB" w:hAnsi="DFKai-SB" w:eastAsia="DFKai-SB" w:cs="DFKai-SB"/>
          <w:sz w:val="36"/>
          <w:szCs w:val="36"/>
          <w:lang w:eastAsia="zh-TW"/>
        </w:rPr>
      </w:pPr>
      <w:r>
        <w:rPr>
          <w:rFonts w:hint="eastAsia" w:ascii="DFKai-SB" w:hAnsi="DFKai-SB" w:eastAsia="DFKai-SB" w:cs="DFKai-SB"/>
          <w:sz w:val="36"/>
          <w:szCs w:val="36"/>
          <w:lang w:eastAsia="zh-TW"/>
        </w:rPr>
        <w:t>背誦內容</w:t>
      </w:r>
    </w:p>
    <w:p>
      <w:pPr>
        <w:spacing w:line="360" w:lineRule="auto"/>
        <w:rPr>
          <w:rFonts w:hint="eastAsia" w:ascii="PMingLiU" w:hAnsi="PMingLiU" w:eastAsia="PMingLiU" w:cs="PMingLiU"/>
          <w:b w:val="0"/>
          <w:bCs w:val="0"/>
          <w:sz w:val="28"/>
          <w:szCs w:val="28"/>
          <w:lang w:val="en-US" w:eastAsia="zh-CN"/>
        </w:rPr>
      </w:pPr>
      <w:r>
        <w:rPr>
          <w:rFonts w:hint="eastAsia" w:ascii="PMingLiU" w:hAnsi="PMingLiU" w:eastAsia="PMingLiU" w:cs="PMingLiU"/>
          <w:b w:val="0"/>
          <w:bCs w:val="0"/>
          <w:sz w:val="28"/>
          <w:szCs w:val="28"/>
          <w:lang w:val="en-US" w:eastAsia="zh-CN"/>
        </w:rPr>
        <w:t>注：</w:t>
      </w:r>
    </w:p>
    <w:p>
      <w:pPr>
        <w:spacing w:line="360" w:lineRule="auto"/>
        <w:rPr>
          <w:rFonts w:hint="eastAsia" w:ascii="PMingLiU" w:hAnsi="PMingLiU" w:eastAsia="PMingLiU" w:cs="PMingLiU"/>
          <w:b w:val="0"/>
          <w:bCs w:val="0"/>
          <w:sz w:val="28"/>
          <w:szCs w:val="28"/>
          <w:highlight w:val="red"/>
          <w:lang w:val="en-US" w:eastAsia="zh-CN"/>
        </w:rPr>
      </w:pPr>
      <w:r>
        <w:rPr>
          <w:rFonts w:hint="eastAsia" w:ascii="PMingLiU" w:hAnsi="PMingLiU" w:eastAsia="PMingLiU" w:cs="PMingLiU"/>
          <w:b w:val="0"/>
          <w:bCs w:val="0"/>
          <w:sz w:val="28"/>
          <w:szCs w:val="28"/>
          <w:highlight w:val="red"/>
          <w:lang w:val="en-US" w:eastAsia="zh-CN"/>
        </w:rPr>
        <w:t>紅色：背錯</w:t>
      </w:r>
    </w:p>
    <w:p>
      <w:pPr>
        <w:spacing w:line="360" w:lineRule="auto"/>
        <w:rPr>
          <w:rFonts w:hint="eastAsia" w:ascii="PMingLiU" w:hAnsi="PMingLiU" w:eastAsia="PMingLiU" w:cs="PMingLiU"/>
          <w:b w:val="0"/>
          <w:bCs w:val="0"/>
          <w:sz w:val="28"/>
          <w:szCs w:val="28"/>
          <w:highlight w:val="green"/>
          <w:lang w:val="en-US" w:eastAsia="zh-CN"/>
        </w:rPr>
      </w:pPr>
      <w:r>
        <w:rPr>
          <w:rFonts w:hint="eastAsia" w:ascii="PMingLiU" w:hAnsi="PMingLiU" w:eastAsia="PMingLiU" w:cs="PMingLiU"/>
          <w:b w:val="0"/>
          <w:bCs w:val="0"/>
          <w:sz w:val="28"/>
          <w:szCs w:val="28"/>
          <w:highlight w:val="green"/>
          <w:lang w:val="en-US" w:eastAsia="zh-CN"/>
        </w:rPr>
        <w:t>綠色：背漏</w:t>
      </w:r>
    </w:p>
    <w:p>
      <w:pPr>
        <w:spacing w:line="360" w:lineRule="auto"/>
        <w:rPr>
          <w:rFonts w:hint="eastAsia" w:ascii="PMingLiU" w:hAnsi="PMingLiU" w:eastAsia="PMingLiU" w:cs="PMingLiU"/>
          <w:b w:val="0"/>
          <w:bCs w:val="0"/>
          <w:sz w:val="28"/>
          <w:szCs w:val="28"/>
          <w:highlight w:val="yellow"/>
          <w:lang w:val="en-US" w:eastAsia="zh-CN"/>
        </w:rPr>
      </w:pPr>
      <w:r>
        <w:rPr>
          <w:rFonts w:hint="eastAsia" w:ascii="PMingLiU" w:hAnsi="PMingLiU" w:eastAsia="PMingLiU" w:cs="PMingLiU"/>
          <w:b w:val="0"/>
          <w:bCs w:val="0"/>
          <w:sz w:val="28"/>
          <w:szCs w:val="28"/>
          <w:highlight w:val="yellow"/>
          <w:lang w:val="en-US" w:eastAsia="zh-CN"/>
        </w:rPr>
        <w:t>黃色：卡頓</w:t>
      </w:r>
    </w:p>
    <w:p>
      <w:pPr>
        <w:rPr>
          <w:rFonts w:ascii="PMingLiU" w:hAnsi="PMingLiU" w:eastAsia="PMingLiU" w:cs="PMingLiU"/>
          <w:sz w:val="28"/>
          <w:szCs w:val="28"/>
          <w:lang w:eastAsia="zh-TW"/>
        </w:rPr>
      </w:pPr>
    </w:p>
    <w:p>
      <w:pPr>
        <w:rPr>
          <w:rFonts w:hint="eastAsia" w:ascii="PMingLiU" w:hAnsi="PMingLiU" w:eastAsia="PMingLiU" w:cs="PMingLiU"/>
          <w:sz w:val="28"/>
          <w:szCs w:val="28"/>
          <w:lang w:eastAsia="zh-TW"/>
        </w:rPr>
      </w:pPr>
      <w:r>
        <w:rPr>
          <w:rFonts w:hint="eastAsia" w:ascii="PMingLiU" w:hAnsi="PMingLiU" w:eastAsia="PMingLiU" w:cs="PMingLiU"/>
          <w:sz w:val="28"/>
          <w:szCs w:val="28"/>
          <w:lang w:eastAsia="zh-TW"/>
        </w:rPr>
        <w:t>《大學》背誦：</w:t>
      </w:r>
    </w:p>
    <w:p>
      <w:pPr>
        <w:ind w:firstLine="560" w:firstLineChars="20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</w:pP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  <w:t>詩雲：</w:t>
      </w:r>
      <w:r>
        <w:rPr>
          <w:rFonts w:hint="eastAsia" w:ascii="DFKai-SB" w:hAnsi="DFKai-SB" w:eastAsia="宋体" w:cs="DFKai-SB"/>
          <w:i w:val="0"/>
          <w:caps w:val="0"/>
          <w:color w:val="111111"/>
          <w:spacing w:val="0"/>
          <w:sz w:val="28"/>
          <w:szCs w:val="28"/>
          <w:shd w:val="clear" w:fill="FFFFFF"/>
          <w:lang w:eastAsia="zh-CN"/>
        </w:rPr>
        <w:t>「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  <w:t>殷之未喪師，克配上帝，儀監于殷，峻命不易。</w:t>
      </w:r>
      <w:r>
        <w:rPr>
          <w:rFonts w:hint="eastAsia" w:ascii="DFKai-SB" w:hAnsi="DFKai-SB" w:eastAsia="宋体" w:cs="DFKai-SB"/>
          <w:i w:val="0"/>
          <w:caps w:val="0"/>
          <w:color w:val="111111"/>
          <w:spacing w:val="0"/>
          <w:sz w:val="28"/>
          <w:szCs w:val="28"/>
          <w:shd w:val="clear" w:fill="FFFFFF"/>
          <w:lang w:eastAsia="zh-CN"/>
        </w:rPr>
        <w:t>」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  <w:t>道得眾，則得國；失眾，則失國。是故君子先慎乎德，有德此有人，有人此有土，有土此有財，有財此有用。德者本也，財者末也。外本內末，爭民施奪。是故財聚則民散，財散則民聚。是故言悖而出者，亦悖而入；貨悖而入者，亦悖而出。</w:t>
      </w:r>
    </w:p>
    <w:p>
      <w:pPr>
        <w:ind w:firstLine="560" w:firstLineChars="20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</w:pP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  <w:t>康誥曰：</w:t>
      </w:r>
      <w:r>
        <w:rPr>
          <w:rFonts w:hint="eastAsia" w:ascii="DFKai-SB" w:hAnsi="DFKai-SB" w:eastAsia="宋体" w:cs="DFKai-SB"/>
          <w:i w:val="0"/>
          <w:caps w:val="0"/>
          <w:color w:val="111111"/>
          <w:spacing w:val="0"/>
          <w:sz w:val="28"/>
          <w:szCs w:val="28"/>
          <w:shd w:val="clear" w:fill="FFFFFF"/>
          <w:lang w:eastAsia="zh-CN"/>
        </w:rPr>
        <w:t>「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  <w:t>唯命不于常。</w:t>
      </w:r>
      <w:r>
        <w:rPr>
          <w:rFonts w:hint="eastAsia" w:ascii="DFKai-SB" w:hAnsi="DFKai-SB" w:eastAsia="宋体" w:cs="DFKai-SB"/>
          <w:i w:val="0"/>
          <w:caps w:val="0"/>
          <w:color w:val="111111"/>
          <w:spacing w:val="0"/>
          <w:sz w:val="28"/>
          <w:szCs w:val="28"/>
          <w:shd w:val="clear" w:fill="FFFFFF"/>
          <w:lang w:eastAsia="zh-CN"/>
        </w:rPr>
        <w:t>」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  <w:t>道善則得之，不善則失之矣。楚書曰：</w:t>
      </w:r>
      <w:r>
        <w:rPr>
          <w:rFonts w:hint="eastAsia" w:ascii="DFKai-SB" w:hAnsi="DFKai-SB" w:eastAsia="宋体" w:cs="DFKai-SB"/>
          <w:i w:val="0"/>
          <w:caps w:val="0"/>
          <w:color w:val="111111"/>
          <w:spacing w:val="0"/>
          <w:sz w:val="28"/>
          <w:szCs w:val="28"/>
          <w:shd w:val="clear" w:fill="FFFFFF"/>
          <w:lang w:eastAsia="zh-CN"/>
        </w:rPr>
        <w:t>「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  <w:t>楚國無以為寶，惟善以為寶。</w:t>
      </w:r>
      <w:r>
        <w:rPr>
          <w:rFonts w:hint="eastAsia" w:ascii="DFKai-SB" w:hAnsi="DFKai-SB" w:eastAsia="宋体" w:cs="DFKai-SB"/>
          <w:i w:val="0"/>
          <w:caps w:val="0"/>
          <w:color w:val="111111"/>
          <w:spacing w:val="0"/>
          <w:sz w:val="28"/>
          <w:szCs w:val="28"/>
          <w:shd w:val="clear" w:fill="FFFFFF"/>
          <w:lang w:eastAsia="zh-CN"/>
        </w:rPr>
        <w:t>」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  <w:t>舅犯曰：</w:t>
      </w:r>
      <w:r>
        <w:rPr>
          <w:rFonts w:hint="eastAsia" w:ascii="DFKai-SB" w:hAnsi="DFKai-SB" w:eastAsia="宋体" w:cs="DFKai-SB"/>
          <w:i w:val="0"/>
          <w:caps w:val="0"/>
          <w:color w:val="111111"/>
          <w:spacing w:val="0"/>
          <w:sz w:val="28"/>
          <w:szCs w:val="28"/>
          <w:shd w:val="clear" w:fill="FFFFFF"/>
          <w:lang w:eastAsia="zh-CN"/>
        </w:rPr>
        <w:t>「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  <w:t>亡人無以為寶，仁親為寶。</w:t>
      </w:r>
      <w:r>
        <w:rPr>
          <w:rFonts w:hint="eastAsia" w:ascii="DFKai-SB" w:hAnsi="DFKai-SB" w:eastAsia="宋体" w:cs="DFKai-SB"/>
          <w:i w:val="0"/>
          <w:caps w:val="0"/>
          <w:color w:val="111111"/>
          <w:spacing w:val="0"/>
          <w:sz w:val="28"/>
          <w:szCs w:val="28"/>
          <w:shd w:val="clear" w:fill="FFFFFF"/>
          <w:lang w:eastAsia="zh-CN"/>
        </w:rPr>
        <w:t>」</w:t>
      </w:r>
    </w:p>
    <w:p>
      <w:pP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</w:pPr>
    </w:p>
    <w:p>
      <w:pPr>
        <w:numPr>
          <w:ilvl w:val="0"/>
          <w:numId w:val="1"/>
        </w:numP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</w:pPr>
      <w:r>
        <w:rPr>
          <w:rFonts w:hint="eastAsia" w:ascii="DFKai-SB" w:hAnsi="DFKai-SB" w:eastAsia="宋体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 xml:space="preserve"> 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  <w:t>所謂平天下在治其國者，上老老而民興孝，上長長而民興弟，上恤孤而民不倍，是以君子有挈矩之道也。所惡于上，毋以使下；所惡于下，毋以事上；所惡于前，毋以先後；所惡于後，毋以從前；所惡于右，毋以交于左；所惡于左，毋以交於右，此之謂挈矩之道。</w:t>
      </w:r>
    </w:p>
    <w:p>
      <w:pPr>
        <w:numPr>
          <w:ilvl w:val="0"/>
          <w:numId w:val="0"/>
        </w:numPr>
        <w:ind w:firstLine="560" w:firstLineChars="20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</w:pP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  <w:t>詩雲：</w:t>
      </w:r>
      <w:r>
        <w:rPr>
          <w:rFonts w:hint="eastAsia" w:ascii="DFKai-SB" w:hAnsi="DFKai-SB" w:eastAsia="宋体" w:cs="DFKai-SB"/>
          <w:i w:val="0"/>
          <w:caps w:val="0"/>
          <w:color w:val="111111"/>
          <w:spacing w:val="0"/>
          <w:sz w:val="28"/>
          <w:szCs w:val="28"/>
          <w:shd w:val="clear" w:fill="FFFFFF"/>
          <w:lang w:eastAsia="zh-CN"/>
        </w:rPr>
        <w:t>「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  <w:t>樂只君子，民之父母。</w:t>
      </w:r>
      <w:r>
        <w:rPr>
          <w:rFonts w:hint="eastAsia" w:ascii="DFKai-SB" w:hAnsi="DFKai-SB" w:eastAsia="宋体" w:cs="DFKai-SB"/>
          <w:i w:val="0"/>
          <w:caps w:val="0"/>
          <w:color w:val="111111"/>
          <w:spacing w:val="0"/>
          <w:sz w:val="28"/>
          <w:szCs w:val="28"/>
          <w:shd w:val="clear" w:fill="FFFFFF"/>
          <w:lang w:eastAsia="zh-CN"/>
        </w:rPr>
        <w:t>」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  <w:t>民之所好好之，民之所惡惡之，</w:t>
      </w:r>
      <w:r>
        <w:rPr>
          <w:rFonts w:hint="eastAsia" w:ascii="DFKai-SB" w:hAnsi="DFKai-SB" w:eastAsia="DFKai-SB" w:cs="DFKai-SB"/>
          <w:i w:val="0"/>
          <w:caps w:val="0"/>
          <w:color w:val="auto"/>
          <w:spacing w:val="0"/>
          <w:sz w:val="28"/>
          <w:szCs w:val="28"/>
          <w:highlight w:val="green"/>
          <w:shd w:val="clear" w:fill="FFFFFF"/>
        </w:rPr>
        <w:t>此之謂民之父母。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  <w:t>詩雲：</w:t>
      </w:r>
      <w:r>
        <w:rPr>
          <w:rFonts w:hint="eastAsia" w:ascii="DFKai-SB" w:hAnsi="DFKai-SB" w:eastAsia="宋体" w:cs="DFKai-SB"/>
          <w:i w:val="0"/>
          <w:caps w:val="0"/>
          <w:color w:val="111111"/>
          <w:spacing w:val="0"/>
          <w:sz w:val="28"/>
          <w:szCs w:val="28"/>
          <w:shd w:val="clear" w:fill="FFFFFF"/>
          <w:lang w:eastAsia="zh-CN"/>
        </w:rPr>
        <w:t>「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  <w:t>節彼南山，維石岩岩，赫赫師尹，民具爾瞻。</w:t>
      </w:r>
      <w:r>
        <w:rPr>
          <w:rFonts w:hint="eastAsia" w:ascii="DFKai-SB" w:hAnsi="DFKai-SB" w:eastAsia="宋体" w:cs="DFKai-SB"/>
          <w:i w:val="0"/>
          <w:caps w:val="0"/>
          <w:color w:val="111111"/>
          <w:spacing w:val="0"/>
          <w:sz w:val="28"/>
          <w:szCs w:val="28"/>
          <w:shd w:val="clear" w:fill="FFFFFF"/>
          <w:lang w:eastAsia="zh-CN"/>
        </w:rPr>
        <w:t>」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  <w:t>有國者不可以不慎，辟則為天下僇矣。</w:t>
      </w:r>
    </w:p>
    <w:p>
      <w:pPr>
        <w:numPr>
          <w:ilvl w:val="0"/>
          <w:numId w:val="1"/>
        </w:numPr>
        <w:ind w:left="0" w:leftChars="0" w:firstLine="0" w:firstLineChars="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</w:pP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  <w:t>大学之道，在明明德，在親民，在止於至善。知止而後有定，定而後能靜，靜而後能安，安而後能慮，慮而後能得。物有本末，事有終始，知所先後，則近道矣。</w:t>
      </w:r>
    </w:p>
    <w:p>
      <w:pPr>
        <w:numPr>
          <w:ilvl w:val="0"/>
          <w:numId w:val="0"/>
        </w:numPr>
        <w:ind w:leftChars="0" w:firstLine="560" w:firstLineChars="20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</w:pP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  <w:t>古之欲明明德於天下者，先治其國，欲治其國者，先齊其家；欲齊其家者，先修其身；欲修其身者，先正其心；欲正其心者，先誠其意；欲誠其意者，先致其知，致知在格物。物格而後知至，知至而後意誠，意誠而後心正，心正而後身修，身修而後家齊，家齊而後國治，國治而後天下平。</w:t>
      </w:r>
    </w:p>
    <w:p>
      <w:pPr>
        <w:numPr>
          <w:ilvl w:val="0"/>
          <w:numId w:val="0"/>
        </w:numPr>
        <w:ind w:leftChars="0" w:firstLine="560" w:firstLineChars="20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</w:pP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  <w:t>自天子以至於庶人，壹是皆以修身為本。其本亂而末治者，否矣。其所厚者薄，而其所薄者厚，未之有也。此謂知本，此謂知之至也。</w:t>
      </w:r>
    </w:p>
    <w:p>
      <w:pP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eastAsia="zh-CN"/>
        </w:rPr>
      </w:pPr>
    </w:p>
    <w:p>
      <w:pP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eastAsia="zh-CN"/>
        </w:rPr>
      </w:pP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eastAsia="zh-CN"/>
        </w:rPr>
        <w:t>《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中庸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eastAsia="zh-CN"/>
        </w:rPr>
        <w:t>》</w:t>
      </w:r>
    </w:p>
    <w:p>
      <w:pPr>
        <w:ind w:firstLine="560" w:firstLineChars="20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</w:pPr>
      <w:r>
        <w:rPr>
          <w:rFonts w:hint="eastAsia" w:ascii="DFKai-SB" w:hAnsi="DFKai-SB" w:eastAsia="宋体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1.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  <w:t>天命之謂性，率性之謂道，修道之謂教。道也者，不可須臾離也，可離非道也。</w:t>
      </w:r>
    </w:p>
    <w:p>
      <w:pPr>
        <w:ind w:firstLine="560" w:firstLineChars="20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</w:pP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  <w:t>是故君子戒慎乎其所不睹，恐懼乎其所不聞。莫見乎隱，莫顯乎微，故君子慎其獨也。</w:t>
      </w:r>
    </w:p>
    <w:p>
      <w:pPr>
        <w:ind w:firstLine="560" w:firstLineChars="20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</w:pP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  <w:t>喜怒哀樂之未發，謂之中；發而皆中節，謂之和。中也者，天下之大本也；和也者，天下之達道也。致中和。天地位焉，萬物育焉。</w:t>
      </w:r>
    </w:p>
    <w:p>
      <w:pPr>
        <w:ind w:firstLine="560" w:firstLineChars="200"/>
        <w:rPr>
          <w:rFonts w:hint="eastAsia" w:ascii="DFKai-SB" w:hAnsi="DFKai-SB" w:eastAsia="宋体" w:cs="DFKai-SB"/>
          <w:i w:val="0"/>
          <w:caps w:val="0"/>
          <w:color w:val="111111"/>
          <w:spacing w:val="0"/>
          <w:sz w:val="28"/>
          <w:szCs w:val="28"/>
          <w:shd w:val="clear" w:fill="FFFFFF"/>
          <w:lang w:eastAsia="zh-CN"/>
        </w:rPr>
      </w:pP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  <w:t>仲尼曰：</w:t>
      </w:r>
      <w:r>
        <w:rPr>
          <w:rFonts w:hint="eastAsia" w:ascii="DFKai-SB" w:hAnsi="DFKai-SB" w:eastAsia="宋体" w:cs="DFKai-SB"/>
          <w:i w:val="0"/>
          <w:caps w:val="0"/>
          <w:color w:val="111111"/>
          <w:spacing w:val="0"/>
          <w:sz w:val="28"/>
          <w:szCs w:val="28"/>
          <w:shd w:val="clear" w:fill="FFFFFF"/>
          <w:lang w:eastAsia="zh-CN"/>
        </w:rPr>
        <w:t>「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  <w:t>君子中庸，小人反中庸。君子之中庸也，君子而時中；小人之中庸也，小人而無忌憚也。</w:t>
      </w:r>
      <w:r>
        <w:rPr>
          <w:rFonts w:hint="eastAsia" w:ascii="DFKai-SB" w:hAnsi="DFKai-SB" w:eastAsia="宋体" w:cs="DFKai-SB"/>
          <w:i w:val="0"/>
          <w:caps w:val="0"/>
          <w:color w:val="111111"/>
          <w:spacing w:val="0"/>
          <w:sz w:val="28"/>
          <w:szCs w:val="28"/>
          <w:shd w:val="clear" w:fill="FFFFFF"/>
          <w:lang w:eastAsia="zh-CN"/>
        </w:rPr>
        <w:t>」</w:t>
      </w:r>
    </w:p>
    <w:p>
      <w:pPr>
        <w:ind w:firstLine="560" w:firstLineChars="20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</w:pPr>
    </w:p>
    <w:p>
      <w:pPr>
        <w:numPr>
          <w:ilvl w:val="0"/>
          <w:numId w:val="0"/>
        </w:numPr>
        <w:ind w:firstLine="560" w:firstLineChars="200"/>
        <w:rPr>
          <w:rFonts w:hint="eastAsia" w:ascii="DFKai-SB" w:hAnsi="DFKai-SB" w:eastAsia="宋体" w:cs="DFKai-SB"/>
          <w:i w:val="0"/>
          <w:caps w:val="0"/>
          <w:color w:val="111111"/>
          <w:spacing w:val="0"/>
          <w:sz w:val="28"/>
          <w:szCs w:val="28"/>
          <w:shd w:val="clear" w:fill="FFFFFF"/>
          <w:lang w:eastAsia="zh-CN"/>
        </w:rPr>
      </w:pPr>
      <w:r>
        <w:rPr>
          <w:rFonts w:hint="eastAsia" w:ascii="DFKai-SB" w:hAnsi="DFKai-SB" w:eastAsia="宋体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2.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  <w:t>君子素其位而行，不願乎其外。素富貴，行乎富貴；素貧賤，行乎貧賤；素夷狄，行乎夷狄；素患難，行乎患難：君子無入而不自得焉。在上位不陵下，在下位不援上，正己而不求于人，則無怨。上不怨天，下不尤人。故君子居易以俟命，小人行險以僥幸。</w:t>
      </w:r>
      <w:r>
        <w:rPr>
          <w:rFonts w:hint="eastAsia" w:ascii="DFKai-SB" w:hAnsi="DFKai-SB" w:eastAsia="宋体" w:cs="DFKai-SB"/>
          <w:i w:val="0"/>
          <w:caps w:val="0"/>
          <w:color w:val="111111"/>
          <w:spacing w:val="0"/>
          <w:sz w:val="28"/>
          <w:szCs w:val="28"/>
          <w:shd w:val="clear" w:fill="FFFFFF"/>
          <w:lang w:eastAsia="zh-CN"/>
        </w:rPr>
        <w:t>」</w:t>
      </w:r>
    </w:p>
    <w:p>
      <w:pPr>
        <w:numPr>
          <w:ilvl w:val="0"/>
          <w:numId w:val="0"/>
        </w:numPr>
        <w:ind w:firstLine="560" w:firstLineChars="20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eastAsia="zh-CN"/>
        </w:rPr>
      </w:pP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  <w:t>子曰：</w:t>
      </w:r>
      <w:r>
        <w:rPr>
          <w:rFonts w:hint="eastAsia" w:ascii="DFKai-SB" w:hAnsi="DFKai-SB" w:eastAsia="宋体" w:cs="DFKai-SB"/>
          <w:i w:val="0"/>
          <w:caps w:val="0"/>
          <w:color w:val="111111"/>
          <w:spacing w:val="0"/>
          <w:sz w:val="28"/>
          <w:szCs w:val="28"/>
          <w:shd w:val="clear" w:fill="FFFFFF"/>
          <w:lang w:eastAsia="zh-CN"/>
        </w:rPr>
        <w:t>「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  <w:t>射有似乎君子；失諸正鹄，反求諸其身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eastAsia="zh-CN"/>
        </w:rPr>
        <w:t>。」</w:t>
      </w:r>
    </w:p>
    <w:p>
      <w:pP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eastAsia="zh-CN"/>
        </w:rPr>
      </w:pPr>
    </w:p>
    <w:p>
      <w:pPr>
        <w:numPr>
          <w:ilvl w:val="0"/>
          <w:numId w:val="0"/>
        </w:numPr>
        <w:ind w:leftChars="0" w:firstLine="560" w:firstLineChars="200"/>
        <w:rPr>
          <w:rFonts w:hint="eastAsia" w:ascii="DFKai-SB" w:hAnsi="DFKai-SB" w:eastAsia="宋体" w:cs="DFKai-SB"/>
          <w:i w:val="0"/>
          <w:caps w:val="0"/>
          <w:color w:val="111111"/>
          <w:spacing w:val="0"/>
          <w:sz w:val="28"/>
          <w:szCs w:val="28"/>
          <w:shd w:val="clear" w:fill="FFFFFF"/>
          <w:lang w:eastAsia="zh-CN"/>
        </w:rPr>
      </w:pPr>
      <w:r>
        <w:rPr>
          <w:rFonts w:hint="eastAsia" w:ascii="DFKai-SB" w:hAnsi="DFKai-SB" w:eastAsia="宋体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3.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  <w:t>哀公問政。子曰：</w:t>
      </w:r>
      <w:r>
        <w:rPr>
          <w:rFonts w:hint="eastAsia" w:ascii="DFKai-SB" w:hAnsi="DFKai-SB" w:eastAsia="宋体" w:cs="DFKai-SB"/>
          <w:i w:val="0"/>
          <w:caps w:val="0"/>
          <w:color w:val="111111"/>
          <w:spacing w:val="0"/>
          <w:sz w:val="28"/>
          <w:szCs w:val="28"/>
          <w:shd w:val="clear" w:fill="FFFFFF"/>
          <w:lang w:eastAsia="zh-CN"/>
        </w:rPr>
        <w:t>「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  <w:t>文、武之政，布在方策。其人存，則其政舉；其人亡，則其政息。人道敏政，地道敏樹。夫政也者，蒲盧也。故為政在人，取人以身，修身以道，修道以仁。仁者人也，親親為大；義者宜也，尊賢為大。親親之殺，尊賢之等，禮所生也。在下位不獲乎上，民不可得而治矣！故君子不可以不修身；思修身，不可以不事親；思事親，不可以不知人；思知人，不可以不知天。</w:t>
      </w:r>
      <w:r>
        <w:rPr>
          <w:rFonts w:hint="eastAsia" w:ascii="DFKai-SB" w:hAnsi="DFKai-SB" w:eastAsia="宋体" w:cs="DFKai-SB"/>
          <w:i w:val="0"/>
          <w:caps w:val="0"/>
          <w:color w:val="111111"/>
          <w:spacing w:val="0"/>
          <w:sz w:val="28"/>
          <w:szCs w:val="28"/>
          <w:shd w:val="clear" w:fill="FFFFFF"/>
          <w:lang w:eastAsia="zh-CN"/>
        </w:rPr>
        <w:t>」</w:t>
      </w:r>
    </w:p>
    <w:p>
      <w:pPr>
        <w:numPr>
          <w:ilvl w:val="0"/>
          <w:numId w:val="0"/>
        </w:numPr>
        <w:ind w:leftChars="0" w:firstLine="560" w:firstLineChars="200"/>
        <w:rPr>
          <w:rFonts w:hint="eastAsia" w:ascii="DFKai-SB" w:hAnsi="DFKai-SB" w:eastAsia="宋体" w:cs="DFKai-SB"/>
          <w:i w:val="0"/>
          <w:caps w:val="0"/>
          <w:color w:val="111111"/>
          <w:spacing w:val="0"/>
          <w:sz w:val="28"/>
          <w:szCs w:val="28"/>
          <w:shd w:val="clear" w:fill="FFFFFF"/>
          <w:lang w:eastAsia="zh-CN"/>
        </w:rPr>
      </w:pPr>
      <w:r>
        <w:rPr>
          <w:rFonts w:hint="eastAsia" w:ascii="DFKai-SB" w:hAnsi="DFKai-SB" w:eastAsia="宋体" w:cs="DFKai-SB"/>
          <w:i w:val="0"/>
          <w:caps w:val="0"/>
          <w:color w:val="111111"/>
          <w:spacing w:val="0"/>
          <w:sz w:val="28"/>
          <w:szCs w:val="28"/>
          <w:shd w:val="clear" w:fill="FFFFFF"/>
          <w:lang w:eastAsia="zh-CN"/>
        </w:rPr>
        <w:t>「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  <w:t>天下之達道五，所以行之者三。曰：君臣也，父子也，夫婦也，昆弟也，朋友之交也，五者天下之達道也。知，仁，勇，三者天下之達德也，所以行之者一也。或生而知之，或學而知之，或因而知之；及其知之，一也。或安而行之，或利而行之，或勉強而行之；及其成功，一也。</w:t>
      </w:r>
      <w:r>
        <w:rPr>
          <w:rFonts w:hint="eastAsia" w:ascii="DFKai-SB" w:hAnsi="DFKai-SB" w:eastAsia="宋体" w:cs="DFKai-SB"/>
          <w:i w:val="0"/>
          <w:caps w:val="0"/>
          <w:color w:val="111111"/>
          <w:spacing w:val="0"/>
          <w:sz w:val="28"/>
          <w:szCs w:val="28"/>
          <w:shd w:val="clear" w:fill="FFFFFF"/>
          <w:lang w:eastAsia="zh-CN"/>
        </w:rPr>
        <w:t>」</w:t>
      </w:r>
    </w:p>
    <w:p>
      <w:pP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</w:pPr>
    </w:p>
    <w:p>
      <w:pPr>
        <w:ind w:firstLine="560" w:firstLineChars="20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</w:pPr>
      <w:r>
        <w:rPr>
          <w:rFonts w:hint="eastAsia" w:ascii="DFKai-SB" w:hAnsi="DFKai-SB" w:eastAsia="宋体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4.</w:t>
      </w:r>
      <w:r>
        <w:rPr>
          <w:rFonts w:hint="eastAsia" w:ascii="DFKai-SB" w:hAnsi="DFKai-SB" w:eastAsia="宋体" w:cs="DFKai-SB"/>
          <w:i w:val="0"/>
          <w:caps w:val="0"/>
          <w:color w:val="111111"/>
          <w:spacing w:val="0"/>
          <w:sz w:val="28"/>
          <w:szCs w:val="28"/>
          <w:shd w:val="clear" w:fill="FFFFFF"/>
          <w:lang w:eastAsia="zh-CN"/>
        </w:rPr>
        <w:t>「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  <w:t>自誠明，謂之性。自明誠，謂之教。誠則明矣，明則誠矣。唯天下至誠，為能盡其性；能盡其性；則能盡人之性；能盡人之性，則能盡物之性；能盡物之性，則可以贊天地之化育；可以贊天地之化育，則可以與天地參矣。</w:t>
      </w:r>
    </w:p>
    <w:p>
      <w:pP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</w:pPr>
    </w:p>
    <w:p>
      <w:pPr>
        <w:rPr>
          <w:rFonts w:hint="eastAsia" w:ascii="PMingLiU" w:hAnsi="PMingLiU" w:eastAsia="PMingLiU" w:cs="PMingLiU"/>
          <w:color w:val="000000"/>
          <w:sz w:val="28"/>
          <w:szCs w:val="28"/>
          <w:shd w:val="clear" w:color="auto" w:fill="FFFFFF"/>
        </w:rPr>
      </w:pPr>
      <w:r>
        <w:rPr>
          <w:rFonts w:hint="eastAsia" w:ascii="PMingLiU" w:hAnsi="PMingLiU" w:eastAsia="PMingLiU" w:cs="PMingLiU"/>
          <w:color w:val="000000"/>
          <w:sz w:val="28"/>
          <w:szCs w:val="28"/>
          <w:shd w:val="clear" w:color="auto" w:fill="FFFFFF"/>
        </w:rPr>
        <w:t>《論語》背誦：</w:t>
      </w:r>
    </w:p>
    <w:p>
      <w:pP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</w:pPr>
      <w:r>
        <w:rPr>
          <w:rFonts w:hint="eastAsia" w:ascii="PMingLiU" w:hAnsi="PMingLiU" w:eastAsia="宋体" w:cs="PMingLiU"/>
          <w:color w:val="000000"/>
          <w:sz w:val="28"/>
          <w:szCs w:val="28"/>
          <w:shd w:val="clear" w:color="auto" w:fill="FFFFFF"/>
          <w:lang w:val="en-US" w:eastAsia="zh-CN"/>
        </w:rPr>
        <w:t>1.</w:t>
      </w: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  <w:t>〈</w:t>
      </w: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val="en-US" w:eastAsia="zh-CN"/>
        </w:rPr>
        <w:t>季氏第十六</w:t>
      </w: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  <w:t>〉</w:t>
      </w:r>
    </w:p>
    <w:p>
      <w:pPr>
        <w:ind w:firstLine="560" w:firstLineChars="20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</w:pP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孔子曰：「益者三友，損者三友。友直，友諒，友多聞，益矣。友便辟，友善柔，友便佞，損矣。」</w:t>
      </w:r>
    </w:p>
    <w:p>
      <w:pPr>
        <w:ind w:firstLine="560" w:firstLineChars="20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</w:pP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孔子曰：「益者三樂，損者三樂。樂節禮樂，樂道人之善，樂多賢友，益矣。樂驕樂，樂佚遊，樂宴樂，損矣。」</w:t>
      </w:r>
    </w:p>
    <w:p>
      <w:pPr>
        <w:ind w:firstLine="560" w:firstLineChars="20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</w:pP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孔子曰：「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highlight w:val="yellow"/>
          <w:shd w:val="clear" w:fill="FFFFFF"/>
          <w:lang w:val="en-US" w:eastAsia="zh-CN"/>
        </w:rPr>
        <w:t>侍於君子有三愆。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言未及之而言，謂之躁，言及之而不言，謂之隱，未見顏色而言，謂之瞽。」</w:t>
      </w:r>
    </w:p>
    <w:p>
      <w:pPr>
        <w:ind w:firstLine="560" w:firstLineChars="20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</w:pP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孔子曰：「君子有三戒。少之時，血氣未定，戒之在色；及其壯也，血氣方剛，戒之在鬥；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highlight w:val="none"/>
          <w:shd w:val="clear" w:fill="FFFFFF"/>
          <w:lang w:val="en-US" w:eastAsia="zh-CN"/>
        </w:rPr>
        <w:t>及其老也，血氣既衰，戒之在得。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」</w:t>
      </w:r>
    </w:p>
    <w:p>
      <w:pPr>
        <w:ind w:firstLine="560" w:firstLineChars="20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</w:pP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孔子曰：「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highlight w:val="yellow"/>
          <w:shd w:val="clear" w:fill="FFFFFF"/>
          <w:lang w:val="en-US" w:eastAsia="zh-CN"/>
        </w:rPr>
        <w:t>君子有三畏：畏天命，畏大人，畏聖人之言。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小人不知天命而不畏也，狎大人，侮聖人之言。」</w:t>
      </w:r>
    </w:p>
    <w:p>
      <w:pPr>
        <w:ind w:firstLine="560" w:firstLineChars="200"/>
        <w:rPr>
          <w:rFonts w:hint="eastAsia" w:ascii="DFKai-SB" w:hAnsi="DFKai-SB" w:eastAsia="DFKai-SB" w:cs="DFKai-SB"/>
          <w:i w:val="0"/>
          <w:caps w:val="0"/>
          <w:color w:val="auto"/>
          <w:spacing w:val="0"/>
          <w:sz w:val="28"/>
          <w:szCs w:val="28"/>
          <w:highlight w:val="red"/>
          <w:shd w:val="clear" w:fill="FFFFFF"/>
          <w:lang w:val="en-US" w:eastAsia="zh-CN"/>
        </w:rPr>
      </w:pPr>
      <w:r>
        <w:rPr>
          <w:rFonts w:hint="eastAsia" w:ascii="DFKai-SB" w:hAnsi="DFKai-SB" w:eastAsia="DFKai-SB" w:cs="DFKai-SB"/>
          <w:i w:val="0"/>
          <w:caps w:val="0"/>
          <w:color w:val="auto"/>
          <w:spacing w:val="0"/>
          <w:sz w:val="28"/>
          <w:szCs w:val="28"/>
          <w:highlight w:val="red"/>
          <w:shd w:val="clear" w:fill="FFFFFF"/>
          <w:lang w:val="en-US" w:eastAsia="zh-CN"/>
        </w:rPr>
        <w:t>孔子曰：「生而知之者，上也；學而知之者，次也；困而學之，又其次也。困而不學，民斯為下矣！」（考官提醒）</w:t>
      </w:r>
    </w:p>
    <w:p>
      <w:pPr>
        <w:ind w:firstLine="560" w:firstLineChars="20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</w:pP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孔子曰：「君子有九思：視思明，聽思聰，色思溫，貌思恭，言思忠，事思敬，疑思問，忿思難，見得思義。」</w:t>
      </w:r>
    </w:p>
    <w:p>
      <w:pPr>
        <w:ind w:firstLine="560" w:firstLineChars="20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</w:pPr>
    </w:p>
    <w:p>
      <w:pP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</w:pP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1.&lt;子罕第九&gt;</w:t>
      </w:r>
    </w:p>
    <w:p>
      <w:pPr>
        <w:ind w:firstLine="560" w:firstLineChars="20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</w:pP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子曰：「法語之言，能無從乎？改之為貴！巽與之言，能無說乎？繹之為貴！說而不繹，從而不改，吾末如之何也已矣！」</w:t>
      </w:r>
    </w:p>
    <w:p>
      <w:pPr>
        <w:ind w:firstLine="560" w:firstLineChars="20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</w:pP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子曰：「主忠信。毋友不如己者。過則勿憚改。」</w:t>
      </w:r>
    </w:p>
    <w:p>
      <w:pPr>
        <w:ind w:firstLine="560" w:firstLineChars="20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</w:pP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子曰：「三軍可奪帥也，匹夫不可奪志也。」</w:t>
      </w:r>
    </w:p>
    <w:p>
      <w:pPr>
        <w:ind w:firstLine="560" w:firstLineChars="20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</w:pP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子曰：「衣敝縕袍，與衣狐貉者立，而不恥者，其由也與！『不忮不求，何用不臧？』」子路終身誦之。子曰：「是道也，何足以臧！」</w:t>
      </w:r>
    </w:p>
    <w:p>
      <w:pPr>
        <w:ind w:firstLine="560" w:firstLineChars="20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</w:pP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子曰：「歲寒，然後知松柏之後彫也。」</w:t>
      </w:r>
    </w:p>
    <w:p>
      <w:pPr>
        <w:ind w:firstLine="560" w:firstLineChars="20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</w:pP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子曰：「知者不惑；仁者不憂；勇者不懼。」</w:t>
      </w:r>
    </w:p>
    <w:p>
      <w:pPr>
        <w:ind w:firstLine="560" w:firstLineChars="20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</w:pP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子曰：「可與共學，未可與適道；可與適道，未可與立；可與立，未可與權。」</w:t>
      </w:r>
    </w:p>
    <w:p>
      <w:pPr>
        <w:ind w:firstLine="560" w:firstLineChars="20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</w:pPr>
    </w:p>
    <w:p>
      <w:pP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</w:pP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2.&lt;泰伯第八&gt;</w:t>
      </w:r>
    </w:p>
    <w:p>
      <w:pPr>
        <w:ind w:firstLine="560" w:firstLineChars="20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</w:pP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曾子有疾，孟敬子問之。曾子言曰：「鳥之將死，其鳴也哀；人之將死，其言也善。君子所貴乎道者三：動容貌，斯遠暴慢矣；正顏色，斯近信矣；出辭氣，斯遠鄙倍矣。籩豆之事，則有司存。」</w:t>
      </w:r>
    </w:p>
    <w:p>
      <w:pPr>
        <w:ind w:firstLine="560" w:firstLineChars="20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</w:pP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曾子曰：「以能問於不能，以多問於寡，有若無，實若虛，犯而不校，昔者吾友，嘗從事於斯矣。」</w:t>
      </w:r>
    </w:p>
    <w:p>
      <w:pPr>
        <w:ind w:firstLine="560" w:firstLineChars="20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</w:pP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曾子曰：「可以託六尺之孤，可以寄百里之命，臨大節而不可奪也，君子人與？君子人也。」</w:t>
      </w:r>
    </w:p>
    <w:p>
      <w:pPr>
        <w:ind w:firstLine="560" w:firstLineChars="20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</w:pP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曾子曰：「士不可以不弘毅，任重而道遠。仁以為己任，不亦重乎，死而後已，不亦遠乎。」</w:t>
      </w:r>
    </w:p>
    <w:p>
      <w:pPr>
        <w:ind w:firstLine="560" w:firstLineChars="20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</w:pP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子曰：「興於詩。立於禮。成於樂。」</w:t>
      </w:r>
    </w:p>
    <w:p>
      <w:pPr>
        <w:ind w:firstLine="560" w:firstLineChars="20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</w:pP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子曰：「民可使由之，不可使知之。」</w:t>
      </w:r>
    </w:p>
    <w:p>
      <w:pPr>
        <w:ind w:firstLine="560" w:firstLineChars="20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</w:pP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子曰：「好勇疾貧，亂也。人而不仁，疾之已甚，亂也。」</w:t>
      </w:r>
    </w:p>
    <w:p>
      <w:pPr>
        <w:ind w:firstLine="560" w:firstLineChars="20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</w:pP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子曰：「如有周公之才之美，使驕且吝，其餘不足觀也已。」</w:t>
      </w:r>
    </w:p>
    <w:p>
      <w:pPr>
        <w:rPr>
          <w:rFonts w:hint="eastAsia" w:ascii="PMingLiU" w:hAnsi="PMingLiU" w:eastAsia="PMingLiU" w:cs="PMingLiU"/>
          <w:color w:val="000000"/>
          <w:sz w:val="28"/>
          <w:szCs w:val="28"/>
          <w:shd w:val="clear" w:color="auto" w:fill="FFFFFF"/>
        </w:rPr>
      </w:pPr>
    </w:p>
    <w:p>
      <w:pPr>
        <w:rPr>
          <w:rFonts w:hint="eastAsia" w:ascii="PMingLiU" w:hAnsi="PMingLiU" w:eastAsia="PMingLiU" w:cs="PMingLiU"/>
          <w:color w:val="000000"/>
          <w:sz w:val="28"/>
          <w:szCs w:val="28"/>
          <w:shd w:val="clear" w:color="auto" w:fill="FFFFFF"/>
        </w:rPr>
      </w:pPr>
      <w:r>
        <w:rPr>
          <w:rFonts w:hint="eastAsia" w:ascii="PMingLiU" w:hAnsi="PMingLiU" w:eastAsia="PMingLiU" w:cs="PMingLiU"/>
          <w:color w:val="000000"/>
          <w:sz w:val="28"/>
          <w:szCs w:val="28"/>
          <w:shd w:val="clear" w:color="auto" w:fill="FFFFFF"/>
        </w:rPr>
        <w:t>《孟子》背誦：</w:t>
      </w:r>
    </w:p>
    <w:p>
      <w:pPr>
        <w:numPr>
          <w:ilvl w:val="0"/>
          <w:numId w:val="2"/>
        </w:numPr>
        <w:tabs>
          <w:tab w:val="clear" w:pos="312"/>
        </w:tabs>
        <w:rPr>
          <w:rFonts w:hint="eastAsia" w:ascii="PMingLiU" w:hAnsi="PMingLiU" w:eastAsia="PMingLiU" w:cs="PMingLiU"/>
          <w:color w:val="000000"/>
          <w:sz w:val="28"/>
          <w:szCs w:val="28"/>
          <w:shd w:val="clear" w:color="auto" w:fill="FFFFFF"/>
        </w:rPr>
      </w:pP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  <w:t>〈告子章句上〉</w:t>
      </w:r>
    </w:p>
    <w:p>
      <w:pPr>
        <w:ind w:firstLine="560" w:firstLineChars="20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</w:pP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孟子曰：「魚，我所欲也；熊掌，亦我所欲也，二者不可得兼，舍魚而取熊掌者也。生，亦我所欲也；義，亦我所欲也，二者不可得兼，舍生而取義者也。生，亦我所欲，所欲有甚於生者，故不為苟得也；死，亦我所惡，所惡有甚於死者，故患有所不辟也。如使人之所欲莫甚於生，則凡可以得生者，何不用也？使人之所</w:t>
      </w:r>
      <w:r>
        <w:rPr>
          <w:rFonts w:hint="eastAsia" w:ascii="DFKai-SB" w:hAnsi="DFKai-SB" w:eastAsia="DFKai-SB" w:cs="DFKai-SB"/>
          <w:i w:val="0"/>
          <w:caps w:val="0"/>
          <w:color w:val="auto"/>
          <w:spacing w:val="0"/>
          <w:sz w:val="28"/>
          <w:szCs w:val="28"/>
          <w:highlight w:val="red"/>
          <w:shd w:val="clear" w:fill="FFFFFF"/>
          <w:lang w:val="en-US" w:eastAsia="zh-CN"/>
        </w:rPr>
        <w:t>惡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莫甚於死者，則凡可以辟患者，何不為也？由是則生，而有不用也，由是則可以辟患，而有不為也。</w:t>
      </w:r>
      <w:r>
        <w:rPr>
          <w:rFonts w:hint="eastAsia" w:ascii="DFKai-SB" w:hAnsi="DFKai-SB" w:eastAsia="DFKai-SB" w:cs="DFKai-SB"/>
          <w:i w:val="0"/>
          <w:caps w:val="0"/>
          <w:color w:val="auto"/>
          <w:spacing w:val="0"/>
          <w:sz w:val="28"/>
          <w:szCs w:val="28"/>
          <w:highlight w:val="red"/>
          <w:shd w:val="clear" w:fill="FFFFFF"/>
          <w:lang w:val="en-US" w:eastAsia="zh-CN"/>
        </w:rPr>
        <w:t>是故，所欲有甚於生者（考官提醒），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所惡有甚於死者，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highlight w:val="red"/>
          <w:shd w:val="clear" w:fill="FFFFFF"/>
          <w:lang w:val="en-US" w:eastAsia="zh-CN"/>
        </w:rPr>
        <w:t>非獨賢者有是心也，人皆有之（考官提醒）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，賢者能勿喪耳。</w:t>
      </w:r>
    </w:p>
    <w:p>
      <w:pPr>
        <w:ind w:firstLine="560" w:firstLineChars="20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</w:pPr>
    </w:p>
    <w:p>
      <w:pPr>
        <w:numPr>
          <w:ilvl w:val="0"/>
          <w:numId w:val="2"/>
        </w:numPr>
        <w:tabs>
          <w:tab w:val="clear" w:pos="312"/>
        </w:tabs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</w:pP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  <w:t>〈</w:t>
      </w: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val="en-US" w:eastAsia="zh-CN"/>
        </w:rPr>
        <w:t>梁惠王</w:t>
      </w:r>
      <w:r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</w:rPr>
        <w:t>句上〉</w:t>
      </w:r>
    </w:p>
    <w:p>
      <w:pPr>
        <w:ind w:firstLine="560" w:firstLineChars="200"/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</w:pPr>
      <w:r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  <w:t>孟子見梁惠王。王曰：「叟!不遠千里而來，亦將有以利吾國乎？」</w:t>
      </w:r>
    </w:p>
    <w:p>
      <w:pPr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</w:pPr>
      <w:r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  <w:t>孟子對曰：「王何必曰利？亦有仁義而已矣。王曰『何以利吾國』？大夫曰『何以利吾家』？士庶人曰『何以利吾身』？上下交征利而國危矣。萬乘之國弒其君者，必千乘之家；千乘之國弒其君者，必百乘之家。萬取千焉，千取百焉，不為不多矣。苟為後義而先利，不奪不饜。未有仁而遺其親者也，未有義而後其君者也。王亦曰仁義而已矣，何必曰利？」</w:t>
      </w:r>
    </w:p>
    <w:p>
      <w:pPr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</w:pPr>
    </w:p>
    <w:p>
      <w:pPr>
        <w:rPr>
          <w:rFonts w:hint="eastAsia" w:ascii="DFKai-SB" w:hAnsi="DFKai-SB" w:eastAsia="宋体" w:cs="DFKai-SB"/>
          <w:sz w:val="28"/>
          <w:szCs w:val="28"/>
          <w:shd w:val="clear" w:color="auto" w:fill="FFFFFF"/>
          <w:lang w:val="en-US" w:eastAsia="zh-CN"/>
        </w:rPr>
      </w:pPr>
      <w:r>
        <w:rPr>
          <w:rFonts w:hint="eastAsia" w:ascii="DFKai-SB" w:hAnsi="DFKai-SB" w:eastAsia="宋体" w:cs="DFKai-SB"/>
          <w:sz w:val="28"/>
          <w:szCs w:val="28"/>
          <w:shd w:val="clear" w:color="auto" w:fill="FFFFFF"/>
          <w:lang w:val="en-US" w:eastAsia="zh-CN"/>
        </w:rPr>
        <w:t>3.&lt;</w:t>
      </w:r>
      <w:r>
        <w:rPr>
          <w:rFonts w:hint="eastAsia" w:ascii="DFKai-SB" w:hAnsi="DFKai-SB" w:eastAsia="DFKai-SB" w:cs="DFKai-SB"/>
          <w:sz w:val="28"/>
          <w:szCs w:val="28"/>
          <w:shd w:val="clear" w:color="auto" w:fill="FFFFFF"/>
          <w:lang w:val="en-US" w:eastAsia="zh-CN"/>
        </w:rPr>
        <w:t>公孫醜章句上</w:t>
      </w:r>
      <w:r>
        <w:rPr>
          <w:rFonts w:hint="eastAsia" w:ascii="DFKai-SB" w:hAnsi="DFKai-SB" w:eastAsia="宋体" w:cs="DFKai-SB"/>
          <w:sz w:val="28"/>
          <w:szCs w:val="28"/>
          <w:shd w:val="clear" w:color="auto" w:fill="FFFFFF"/>
          <w:lang w:val="en-US" w:eastAsia="zh-CN"/>
        </w:rPr>
        <w:t>&gt;</w:t>
      </w:r>
    </w:p>
    <w:p>
      <w:pPr>
        <w:ind w:firstLine="560" w:firstLineChars="200"/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</w:pPr>
      <w:r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  <w:t>孟子曰：「人皆有不忍人之心。先王有不忍人之心，斯有不忍人之政矣。以不忍人之心，行不忍人之政，治天下可運之掌上。</w:t>
      </w:r>
    </w:p>
    <w:p>
      <w:pPr>
        <w:ind w:firstLine="560" w:firstLineChars="200"/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</w:pPr>
      <w:r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  <w:t>所以謂人皆有不忍人之心者，今人乍見孺子將入於井，皆有怵惕惻隱之心。非所以內交於孺子之父母也，非所以要譽於鄉黨朋</w:t>
      </w:r>
      <w:bookmarkStart w:id="7" w:name="_GoBack"/>
      <w:bookmarkEnd w:id="7"/>
      <w:r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  <w:t>友也，非惡其聲而然也。由是觀之，無惻隱之心，非人也；無羞惡之心，非人也；無辭讓之心，非人也；無是非之心，非人也。惻隱之心，仁之端也；羞惡之心，義之端也；辭讓之心，禮之端也；是非之心，智之端也。人之有是四端也，猶其有四體也。有是四端而自謂不能者，自賊者也；謂其君不能者，賊其君者也。</w:t>
      </w:r>
    </w:p>
    <w:p>
      <w:pPr>
        <w:rPr>
          <w:rFonts w:hint="eastAsia" w:ascii="DFKai-SB" w:hAnsi="DFKai-SB" w:eastAsia="DFKai-SB" w:cs="DFKai-SB"/>
          <w:sz w:val="28"/>
          <w:szCs w:val="28"/>
          <w:shd w:val="clear" w:color="auto" w:fill="FFFFFF"/>
        </w:rPr>
      </w:pPr>
    </w:p>
    <w:p>
      <w:pPr>
        <w:jc w:val="center"/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hint="eastAsia" w:ascii="DFKai-SB" w:hAnsi="DFKai-SB" w:eastAsia="DFKai-SB" w:cs="DFKai-SB"/>
          <w:color w:val="000000"/>
          <w:sz w:val="36"/>
          <w:szCs w:val="36"/>
          <w:shd w:val="clear" w:color="auto" w:fill="FFFFFF"/>
          <w:lang w:eastAsia="zh-TW"/>
        </w:rPr>
        <w:t>經文淺釋</w:t>
      </w:r>
    </w:p>
    <w:p>
      <w:pPr>
        <w:jc w:val="center"/>
        <w:rPr>
          <w:rFonts w:hint="eastAsia" w:ascii="DFKai-SB" w:hAnsi="DFKai-SB" w:eastAsia="DFKai-SB" w:cs="DFKai-SB"/>
          <w:color w:val="000000"/>
          <w:sz w:val="28"/>
          <w:szCs w:val="28"/>
          <w:shd w:val="clear" w:color="auto" w:fill="FFFFFF"/>
          <w:lang w:eastAsia="zh-TW"/>
        </w:rPr>
      </w:pPr>
    </w:p>
    <w:p>
      <w:pPr>
        <w:rPr>
          <w:rFonts w:hint="eastAsia" w:ascii="PMingLiU" w:hAnsi="PMingLiU" w:eastAsia="PMingLiU" w:cs="PMingLiU"/>
          <w:color w:val="000000"/>
          <w:sz w:val="28"/>
          <w:szCs w:val="28"/>
          <w:shd w:val="clear" w:color="auto" w:fill="FFFFFF"/>
          <w:lang w:eastAsia="zh-TW"/>
        </w:rPr>
      </w:pPr>
      <w:r>
        <w:rPr>
          <w:rFonts w:hint="eastAsia" w:ascii="PMingLiU" w:hAnsi="PMingLiU" w:eastAsia="PMingLiU" w:cs="PMingLiU"/>
          <w:color w:val="000000"/>
          <w:sz w:val="28"/>
          <w:szCs w:val="28"/>
          <w:shd w:val="clear" w:color="auto" w:fill="FFFFFF"/>
          <w:lang w:eastAsia="zh-TW"/>
        </w:rPr>
        <w:t>經文：</w:t>
      </w:r>
    </w:p>
    <w:p>
      <w:pPr>
        <w:ind w:firstLine="560" w:firstLineChars="200"/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</w:pP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  <w:t>喜怒哀樂之未發，謂之中；發而皆中節，謂之和。</w:t>
      </w:r>
    </w:p>
    <w:p>
      <w:pP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</w:pPr>
      <w:r>
        <w:rPr>
          <w:rFonts w:hint="eastAsia" w:ascii="DFKai-SB" w:hAnsi="DFKai-SB" w:eastAsia="宋体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浅释：</w:t>
      </w:r>
    </w:p>
    <w:p>
      <w:pPr>
        <w:ind w:firstLine="560" w:firstLineChars="200"/>
        <w:rPr>
          <w:rFonts w:hint="eastAsia" w:ascii="PMingLiU" w:hAnsi="PMingLiU" w:eastAsia="PMingLiU" w:cs="PMingLiU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</w:pPr>
      <w:r>
        <w:rPr>
          <w:rFonts w:hint="eastAsia" w:ascii="DFKai-SB" w:hAnsi="DFKai-SB" w:eastAsia="宋体" w:cs="DFKai-SB"/>
          <w:i w:val="0"/>
          <w:caps w:val="0"/>
          <w:color w:val="111111"/>
          <w:spacing w:val="0"/>
          <w:sz w:val="28"/>
          <w:szCs w:val="28"/>
          <w:shd w:val="clear" w:fill="FFFFFF"/>
          <w:lang w:eastAsia="zh-CN"/>
        </w:rPr>
        <w:t>「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  <w:t>喜怒哀樂</w:t>
      </w:r>
      <w:r>
        <w:rPr>
          <w:rFonts w:hint="eastAsia" w:ascii="DFKai-SB" w:hAnsi="DFKai-SB" w:eastAsia="宋体" w:cs="DFKai-SB"/>
          <w:i w:val="0"/>
          <w:caps w:val="0"/>
          <w:color w:val="111111"/>
          <w:spacing w:val="0"/>
          <w:sz w:val="28"/>
          <w:szCs w:val="28"/>
          <w:shd w:val="clear" w:fill="FFFFFF"/>
          <w:lang w:eastAsia="zh-CN"/>
        </w:rPr>
        <w:t>」</w:t>
      </w:r>
      <w:r>
        <w:rPr>
          <w:rFonts w:hint="eastAsia" w:ascii="PMingLiU" w:hAnsi="PMingLiU" w:eastAsia="PMingLiU" w:cs="PMingLiU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即是指我們在時常生活中，所發出來的喜怒哀樂愛惡欲等一切妄情，是我們常人所講的七情六欲。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「未發」</w:t>
      </w:r>
      <w:r>
        <w:rPr>
          <w:rFonts w:hint="eastAsia" w:ascii="PMingLiU" w:hAnsi="PMingLiU" w:eastAsia="PMingLiU" w:cs="PMingLiU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是指妄情還沒有生出來，處在一個很平常心的狀態。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「謂之中」</w:t>
      </w:r>
      <w:r>
        <w:rPr>
          <w:rFonts w:hint="eastAsia" w:ascii="PMingLiU" w:hAnsi="PMingLiU" w:eastAsia="PMingLiU" w:cs="PMingLiU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，還沒有發出來的狀態就是中道，我們時常都要保持在這個中道裡面。</w:t>
      </w:r>
      <w:r>
        <w:rPr>
          <w:rFonts w:hint="eastAsia" w:ascii="DFKai-SB" w:hAnsi="DFKai-SB" w:eastAsia="宋体" w:cs="DFKai-SB"/>
          <w:i w:val="0"/>
          <w:caps w:val="0"/>
          <w:color w:val="111111"/>
          <w:spacing w:val="0"/>
          <w:sz w:val="28"/>
          <w:szCs w:val="28"/>
          <w:shd w:val="clear" w:fill="FFFFFF"/>
          <w:lang w:eastAsia="zh-CN"/>
        </w:rPr>
        <w:t>「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發而皆中節</w:t>
      </w:r>
      <w:r>
        <w:rPr>
          <w:rFonts w:hint="eastAsia" w:ascii="DFKai-SB" w:hAnsi="DFKai-SB" w:eastAsia="宋体" w:cs="DFKai-SB"/>
          <w:i w:val="0"/>
          <w:caps w:val="0"/>
          <w:color w:val="111111"/>
          <w:spacing w:val="0"/>
          <w:sz w:val="28"/>
          <w:szCs w:val="28"/>
          <w:shd w:val="clear" w:fill="FFFFFF"/>
          <w:lang w:eastAsia="zh-CN"/>
        </w:rPr>
        <w:t>」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eastAsia="zh-CN"/>
        </w:rPr>
        <w:t>，</w:t>
      </w:r>
      <w:r>
        <w:rPr>
          <w:rFonts w:hint="eastAsia" w:ascii="PMingLiU" w:hAnsi="PMingLiU" w:eastAsia="PMingLiU" w:cs="PMingLiU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其實呢，這個七情六慾不單單是我們凡人有，</w:t>
      </w:r>
      <w:r>
        <w:rPr>
          <w:rFonts w:hint="eastAsia" w:ascii="PMingLiU" w:hAnsi="PMingLiU" w:eastAsia="PMingLiU" w:cs="PMingLiU"/>
          <w:i w:val="0"/>
          <w:caps w:val="0"/>
          <w:color w:val="111111"/>
          <w:spacing w:val="0"/>
          <w:sz w:val="28"/>
          <w:szCs w:val="28"/>
          <w:highlight w:val="red"/>
          <w:shd w:val="clear" w:fill="FFFFFF"/>
          <w:lang w:val="en-US" w:eastAsia="zh-CN"/>
        </w:rPr>
        <w:t>聖人也是有七情六欲的（講解錯誤）</w:t>
      </w:r>
      <w:r>
        <w:rPr>
          <w:rFonts w:hint="eastAsia" w:ascii="PMingLiU" w:hAnsi="PMingLiU" w:eastAsia="PMingLiU" w:cs="PMingLiU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，只是說他們節制的很好，在我們還沒有像聖人那麼高的境界的，我們要把自己的心，保持在一個明明德的狀態裡面，《三字經》裡講的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「人之初，性本善」</w:t>
      </w:r>
      <w:r>
        <w:rPr>
          <w:rFonts w:hint="eastAsia" w:ascii="PMingLiU" w:hAnsi="PMingLiU" w:eastAsia="PMingLiU" w:cs="PMingLiU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。《大學》裡講的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「明明德」。「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</w:rPr>
        <w:t>發而皆中節</w:t>
      </w:r>
      <w:r>
        <w:rPr>
          <w:rFonts w:hint="eastAsia" w:ascii="DFKai-SB" w:hAnsi="DFKai-SB" w:eastAsia="DFKai-SB" w:cs="DFKai-SB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」</w:t>
      </w:r>
      <w:r>
        <w:rPr>
          <w:rFonts w:hint="eastAsia" w:ascii="PMingLiU" w:hAnsi="PMingLiU" w:eastAsia="PMingLiU" w:cs="PMingLiU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聖人和我們一樣是有好惡的，但是，只有聖人的好惡才能達到道上面。</w:t>
      </w:r>
      <w:r>
        <w:rPr>
          <w:rFonts w:hint="eastAsia" w:ascii="PMingLiU" w:hAnsi="PMingLiU" w:eastAsia="PMingLiU" w:cs="PMingLiU"/>
          <w:i w:val="0"/>
          <w:caps w:val="0"/>
          <w:color w:val="111111"/>
          <w:spacing w:val="0"/>
          <w:sz w:val="28"/>
          <w:szCs w:val="28"/>
          <w:shd w:val="clear" w:fill="FFFFFF"/>
        </w:rPr>
        <w:t>發而皆中</w:t>
      </w:r>
      <w:r>
        <w:rPr>
          <w:rFonts w:hint="eastAsia" w:ascii="PMingLiU" w:hAnsi="PMingLiU" w:eastAsia="PMingLiU" w:cs="PMingLiU"/>
          <w:i w:val="0"/>
          <w:caps w:val="0"/>
          <w:color w:val="111111"/>
          <w:spacing w:val="0"/>
          <w:sz w:val="28"/>
          <w:szCs w:val="28"/>
          <w:shd w:val="clear" w:fill="FFFFFF"/>
          <w:lang w:val="en-US" w:eastAsia="zh-CN"/>
        </w:rPr>
        <w:t>就是和的狀態，我們日常生活中跟同學相處的時候，也是六和敬裡講的口和無爭論。</w:t>
      </w:r>
    </w:p>
    <w:sectPr>
      <w:footerReference r:id="rId3" w:type="default"/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0002EFF" w:usb1="C000247B" w:usb2="00000009" w:usb3="00000000" w:csb0="200001FF" w:csb1="00000000"/>
  </w:font>
  <w:font w:name="Tahoma">
    <w:panose1 w:val="020B0604030504040204"/>
    <w:charset w:val="00"/>
    <w:family w:val="swiss"/>
    <w:pitch w:val="default"/>
    <w:sig w:usb0="E1002EFF" w:usb1="C000605B" w:usb2="00000029" w:usb3="00000000" w:csb0="200101FF" w:csb1="20280000"/>
  </w:font>
  <w:font w:name="Trebuchet MS">
    <w:panose1 w:val="020B0603020202020204"/>
    <w:charset w:val="00"/>
    <w:family w:val="swiss"/>
    <w:pitch w:val="default"/>
    <w:sig w:usb0="00000687" w:usb1="00000000" w:usb2="00000000" w:usb3="00000000" w:csb0="2000009F" w:csb1="00000000"/>
  </w:font>
  <w:font w:name="DFKai-SB">
    <w:panose1 w:val="03000509000000000000"/>
    <w:charset w:val="88"/>
    <w:family w:val="script"/>
    <w:pitch w:val="default"/>
    <w:sig w:usb0="00000003" w:usb1="082E0000" w:usb2="00000016" w:usb3="00000000" w:csb0="00100001" w:csb1="00000000"/>
  </w:font>
  <w:font w:name="PMingLiU">
    <w:panose1 w:val="02020500000000000000"/>
    <w:charset w:val="88"/>
    <w:family w:val="roman"/>
    <w:pitch w:val="default"/>
    <w:sig w:usb0="A00002FF" w:usb1="28CFFCFA" w:usb2="00000016" w:usb3="00000000" w:csb0="001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3"/>
    </w:pPr>
    <w:r>
      <w:rPr>
        <w:sz w:val="18"/>
      </w:rPr>
      <mc:AlternateContent>
        <mc:Choice Requires="wps">
          <w:drawing>
            <wp:anchor distT="0" distB="0" distL="114300" distR="114300" simplePos="0" relativeHeight="251658240" behindDoc="0" locked="0" layoutInCell="1" allowOverlap="1">
              <wp:simplePos x="0" y="0"/>
              <wp:positionH relativeFrom="margin">
                <wp:align>center</wp:align>
              </wp:positionH>
              <wp:positionV relativeFrom="paragraph">
                <wp:posOffset>0</wp:posOffset>
              </wp:positionV>
              <wp:extent cx="1828800" cy="1828800"/>
              <wp:effectExtent l="0" t="0" r="0" b="0"/>
              <wp:wrapNone/>
              <wp:docPr id="1" name="文本框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828800" cy="1828800"/>
                      </a:xfrm>
                      <a:prstGeom prst="rect">
                        <a:avLst/>
                      </a:prstGeom>
                      <a:noFill/>
                      <a:ln w="6350">
                        <a:noFill/>
                      </a:ln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>
                          <w:pPr>
                            <w:pStyle w:val="3"/>
                            <w:rPr>
                              <w:rFonts w:hint="eastAsia" w:eastAsiaTheme="minorEastAsia"/>
                              <w:lang w:eastAsia="zh-CN"/>
                            </w:rPr>
                          </w:pPr>
                          <w:r>
                            <w:rPr>
                              <w:rFonts w:hint="eastAsia"/>
                              <w:lang w:eastAsia="zh-CN"/>
                            </w:rPr>
                            <w:fldChar w:fldCharType="begin"/>
                          </w:r>
                          <w:r>
                            <w:rPr>
                              <w:rFonts w:hint="eastAsia"/>
                              <w:lang w:eastAsia="zh-CN"/>
                            </w:rPr>
                            <w:instrText xml:space="preserve"> PAGE  \* MERGEFORMAT </w:instrText>
                          </w:r>
                          <w:r>
                            <w:rPr>
                              <w:rFonts w:hint="eastAsia"/>
                              <w:lang w:eastAsia="zh-CN"/>
                            </w:rPr>
                            <w:fldChar w:fldCharType="separate"/>
                          </w:r>
                          <w:r>
                            <w:rPr>
                              <w:rFonts w:hint="eastAsia"/>
                              <w:lang w:eastAsia="zh-CN"/>
                            </w:rPr>
                            <w:t>1</w:t>
                          </w:r>
                          <w:r>
                            <w:rPr>
                              <w:rFonts w:hint="eastAsia"/>
                              <w:lang w:eastAsia="zh-CN"/>
                            </w:rPr>
                            <w:fldChar w:fldCharType="end"/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0" numCol="1" spcCol="0" rtlCol="0" fromWordArt="0" anchor="t" anchorCtr="0" forceAA="0" upright="0" compatLnSpc="1"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 id="_x0000_s1026" o:spid="_x0000_s1026" o:spt="202" type="#_x0000_t202" style="position:absolute;left:0pt;margin-top:0pt;height:144pt;width:144pt;mso-position-horizontal:center;mso-position-horizontal-relative:margin;mso-wrap-style:none;z-index:251658240;mso-width-relative:page;mso-height-relative:page;" filled="f" stroked="f" coordsize="21600,21600" o:gfxdata="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">
              <v:fill on="f" focussize="0,0"/>
              <v:stroke on="f" weight="0.5pt"/>
              <v:imagedata o:title=""/>
              <o:lock v:ext="edit" aspectratio="f"/>
              <v:textbox inset="0mm,0mm,0mm,0mm" style="mso-fit-shape-to-text:t;">
                <w:txbxContent>
                  <w:p>
                    <w:pPr>
                      <w:pStyle w:val="3"/>
                      <w:rPr>
                        <w:rFonts w:hint="eastAsia" w:eastAsiaTheme="minorEastAsia"/>
                        <w:lang w:eastAsia="zh-CN"/>
                      </w:rPr>
                    </w:pPr>
                    <w:r>
                      <w:rPr>
                        <w:rFonts w:hint="eastAsia"/>
                        <w:lang w:eastAsia="zh-CN"/>
                      </w:rPr>
                      <w:fldChar w:fldCharType="begin"/>
                    </w:r>
                    <w:r>
                      <w:rPr>
                        <w:rFonts w:hint="eastAsia"/>
                        <w:lang w:eastAsia="zh-CN"/>
                      </w:rPr>
                      <w:instrText xml:space="preserve"> PAGE  \* MERGEFORMAT </w:instrText>
                    </w:r>
                    <w:r>
                      <w:rPr>
                        <w:rFonts w:hint="eastAsia"/>
                        <w:lang w:eastAsia="zh-CN"/>
                      </w:rPr>
                      <w:fldChar w:fldCharType="separate"/>
                    </w:r>
                    <w:r>
                      <w:rPr>
                        <w:rFonts w:hint="eastAsia"/>
                        <w:lang w:eastAsia="zh-CN"/>
                      </w:rPr>
                      <w:t>1</w:t>
                    </w:r>
                    <w:r>
                      <w:rPr>
                        <w:rFonts w:hint="eastAsia"/>
                        <w:lang w:eastAsia="zh-CN"/>
                      </w:rPr>
                      <w:fldChar w:fldCharType="end"/>
                    </w:r>
                  </w:p>
                </w:txbxContent>
              </v:textbox>
            </v:shape>
          </w:pict>
        </mc:Fallback>
      </mc:AlternateContent>
    </w:r>
  </w:p>
</w:ft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DCBCE1E8"/>
    <w:multiLevelType w:val="singleLevel"/>
    <w:tmpl w:val="DCBCE1E8"/>
    <w:lvl w:ilvl="0" w:tentative="0">
      <w:start w:val="1"/>
      <w:numFmt w:val="decimal"/>
      <w:lvlText w:val="%1."/>
      <w:lvlJc w:val="left"/>
      <w:pPr>
        <w:tabs>
          <w:tab w:val="left" w:pos="312"/>
        </w:tabs>
      </w:pPr>
    </w:lvl>
  </w:abstractNum>
  <w:abstractNum w:abstractNumId="1">
    <w:nsid w:val="12F87421"/>
    <w:multiLevelType w:val="singleLevel"/>
    <w:tmpl w:val="12F87421"/>
    <w:lvl w:ilvl="0" w:tentative="0">
      <w:start w:val="2"/>
      <w:numFmt w:val="decimal"/>
      <w:suff w:val="space"/>
      <w:lvlText w:val="%1."/>
      <w:lvlJc w:val="left"/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bordersDoNotSurroundHeader w:val="0"/>
  <w:bordersDoNotSurroundFooter w:val="0"/>
  <w:documentProtection w:enforcement="0"/>
  <w:defaultTabStop w:val="420"/>
  <w:drawingGridVerticalSpacing w:val="156"/>
  <w:displayHorizontalDrawingGridEvery w:val="1"/>
  <w:displayVerticalDrawingGridEvery w:val="1"/>
  <w:noPunctuationKerning w:val="1"/>
  <w:characterSpacingControl w:val="compressPunctuation"/>
  <w:compat>
    <w:spaceForUL/>
    <w:balanceSingleByteDoubleByteWidth/>
    <w:doNotLeaveBackslashAlone/>
    <w:ulTrailSpace/>
    <w:doNotExpandShiftReturn/>
    <w:adjustLineHeightInTable/>
    <w:doNotWrapTextWithPunct/>
    <w:doNotUseEastAsianBreakRules/>
    <w:useFELayout/>
    <w:doNotUseIndentAsNumberingTabStop/>
    <w:useAltKinsokuLineBreakRules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70D70BB7"/>
    <w:rsid w:val="19C57234"/>
    <w:rsid w:val="2456378B"/>
    <w:rsid w:val="32506126"/>
    <w:rsid w:val="41F461A7"/>
    <w:rsid w:val="4A9326B3"/>
    <w:rsid w:val="503E2F90"/>
    <w:rsid w:val="55B30AEB"/>
    <w:rsid w:val="5AB8072F"/>
    <w:rsid w:val="6BBE6B2E"/>
    <w:rsid w:val="70D70B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="Times New Roman" w:hAnsi="Times New Roman" w:eastAsia="宋体" w:cs="Times New Roman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nhideWhenUsed="0" w:uiPriority="0" w:semiHidden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qFormat="1" w:unhideWhenUsed="0" w:uiPriority="0" w:semiHidden="0" w:name="header"/>
    <w:lsdException w:qFormat="1"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qFormat="1"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spacing w:after="160" w:line="259" w:lineRule="auto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paragraph" w:styleId="2">
    <w:name w:val="heading 3"/>
    <w:basedOn w:val="1"/>
    <w:next w:val="1"/>
    <w:qFormat/>
    <w:uiPriority w:val="0"/>
    <w:pPr>
      <w:keepNext/>
      <w:ind w:left="720"/>
      <w:outlineLvl w:val="2"/>
    </w:pPr>
    <w:rPr>
      <w:rFonts w:ascii="Tahoma" w:hAnsi="Tahoma" w:cs="Tahoma"/>
      <w:b/>
      <w:bCs/>
      <w:sz w:val="20"/>
      <w:szCs w:val="20"/>
    </w:rPr>
  </w:style>
  <w:style w:type="character" w:default="1" w:styleId="6">
    <w:name w:val="Default Paragraph Font"/>
    <w:semiHidden/>
    <w:uiPriority w:val="0"/>
  </w:style>
  <w:style w:type="table" w:default="1" w:styleId="7">
    <w:name w:val="Normal Table"/>
    <w:semiHidden/>
    <w:qFormat/>
    <w:uiPriority w:val="0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paragraph" w:styleId="3">
    <w:name w:val="footer"/>
    <w:basedOn w:val="1"/>
    <w:qFormat/>
    <w:uiPriority w:val="0"/>
    <w:pPr>
      <w:tabs>
        <w:tab w:val="center" w:pos="4153"/>
        <w:tab w:val="right" w:pos="8306"/>
      </w:tabs>
      <w:snapToGrid w:val="0"/>
      <w:jc w:val="left"/>
    </w:pPr>
    <w:rPr>
      <w:sz w:val="18"/>
    </w:rPr>
  </w:style>
  <w:style w:type="paragraph" w:styleId="4">
    <w:name w:val="header"/>
    <w:basedOn w:val="1"/>
    <w:qFormat/>
    <w:uiPriority w:val="0"/>
    <w:pPr>
      <w:pBdr>
        <w:top w:val="none" w:color="auto" w:sz="0" w:space="1"/>
        <w:left w:val="none" w:color="auto" w:sz="0" w:space="4"/>
        <w:bottom w:val="none" w:color="auto" w:sz="0" w:space="1"/>
        <w:right w:val="none" w:color="auto" w:sz="0" w:space="4"/>
      </w:pBdr>
      <w:tabs>
        <w:tab w:val="center" w:pos="4153"/>
        <w:tab w:val="right" w:pos="8306"/>
      </w:tabs>
      <w:snapToGrid w:val="0"/>
      <w:spacing w:line="240" w:lineRule="auto"/>
      <w:jc w:val="both"/>
      <w:outlineLvl w:val="9"/>
    </w:pPr>
    <w:rPr>
      <w:sz w:val="18"/>
    </w:rPr>
  </w:style>
  <w:style w:type="paragraph" w:styleId="5">
    <w:name w:val="Normal (Web)"/>
    <w:basedOn w:val="1"/>
    <w:qFormat/>
    <w:uiPriority w:val="0"/>
    <w:pPr>
      <w:spacing w:beforeAutospacing="1" w:after="0" w:afterAutospacing="1"/>
      <w:jc w:val="left"/>
    </w:pPr>
    <w:rPr>
      <w:rFonts w:cs="Times New Roman"/>
      <w:kern w:val="0"/>
      <w:sz w:val="24"/>
    </w:rPr>
  </w:style>
</w:style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7" Type="http://schemas.openxmlformats.org/officeDocument/2006/relationships/numbering" Target="numbering.xml"/><Relationship Id="rId6" Type="http://schemas.openxmlformats.org/officeDocument/2006/relationships/customXml" Target="../customXml/item1.xml"/><Relationship Id="rId5" Type="http://schemas.openxmlformats.org/officeDocument/2006/relationships/image" Target="media/image1.jpeg"/><Relationship Id="rId4" Type="http://schemas.openxmlformats.org/officeDocument/2006/relationships/theme" Target="theme/theme1.xml"/><Relationship Id="rId3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1026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26</TotalTime>
  <ScaleCrop>false</ScaleCrop>
  <LinksUpToDate>false</LinksUpToDate>
  <CharactersWithSpaces>0</CharactersWithSpaces>
  <Application>WPS Office_11.1.0.8214_F1E327BC-269C-435d-A152-05C5408002CA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2019-01-09T11:01:00Z</dcterms:created>
  <dc:creator>沛霖</dc:creator>
  <cp:lastModifiedBy>沛霖</cp:lastModifiedBy>
  <dcterms:modified xsi:type="dcterms:W3CDTF">2019-01-11T05:53:47Z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2052-11.1.0.8214</vt:lpwstr>
  </property>
</Properties>
</file>