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4EB26" w14:textId="19659C1F" w:rsidR="004D1ACF" w:rsidRPr="00647DC0" w:rsidRDefault="004D1ACF" w:rsidP="004C0959">
      <w:pPr>
        <w:spacing w:after="0" w:line="360" w:lineRule="auto"/>
        <w:ind w:firstLine="0"/>
        <w:jc w:val="left"/>
        <w:rPr>
          <w:rFonts w:cs="Arial"/>
          <w:sz w:val="22"/>
        </w:rPr>
      </w:pPr>
      <w:r w:rsidRPr="00647DC0">
        <w:rPr>
          <w:rFonts w:eastAsia="Calibri" w:cs="Arial"/>
          <w:noProof/>
          <w:sz w:val="22"/>
        </w:rPr>
        <mc:AlternateContent>
          <mc:Choice Requires="wpg">
            <w:drawing>
              <wp:inline distT="0" distB="0" distL="0" distR="0" wp14:anchorId="43EF9CE1" wp14:editId="5A624DB0">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39B976B0" w14:textId="77777777" w:rsidR="004D1ACF" w:rsidRDefault="004D1ACF" w:rsidP="004D1ACF">
                              <w:pPr>
                                <w:spacing w:after="160" w:line="259" w:lineRule="auto"/>
                                <w:ind w:firstLine="0"/>
                              </w:pPr>
                              <w:r>
                                <w:rPr>
                                  <w:rFonts w:eastAsia="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1368414C" w14:textId="77777777" w:rsidR="004D1ACF" w:rsidRDefault="004D1ACF" w:rsidP="004D1ACF">
                              <w:pPr>
                                <w:spacing w:after="160" w:line="259" w:lineRule="auto"/>
                                <w:ind w:firstLine="0"/>
                              </w:pPr>
                              <w:r>
                                <w:rPr>
                                  <w:rFonts w:eastAsia="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399F86D6" w14:textId="77777777" w:rsidR="004D1ACF" w:rsidRDefault="004D1ACF" w:rsidP="004D1ACF">
                              <w:pPr>
                                <w:spacing w:after="160" w:line="259" w:lineRule="auto"/>
                                <w:ind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43EF9CE1"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39B976B0" w14:textId="77777777" w:rsidR="004D1ACF" w:rsidRDefault="004D1ACF" w:rsidP="004D1ACF">
                        <w:pPr>
                          <w:spacing w:after="160" w:line="259" w:lineRule="auto"/>
                          <w:ind w:firstLine="0"/>
                        </w:pPr>
                        <w:r>
                          <w:rPr>
                            <w:rFonts w:eastAsia="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368414C" w14:textId="77777777" w:rsidR="004D1ACF" w:rsidRDefault="004D1ACF" w:rsidP="004D1ACF">
                        <w:pPr>
                          <w:spacing w:after="160" w:line="259" w:lineRule="auto"/>
                          <w:ind w:firstLine="0"/>
                        </w:pPr>
                        <w:r>
                          <w:rPr>
                            <w:rFonts w:eastAsia="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399F86D6" w14:textId="77777777" w:rsidR="004D1ACF" w:rsidRDefault="004D1ACF" w:rsidP="004D1ACF">
                        <w:pPr>
                          <w:spacing w:after="160" w:line="259" w:lineRule="auto"/>
                          <w:ind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611DE566" w14:textId="77777777" w:rsidR="004D1ACF" w:rsidRPr="00647DC0" w:rsidRDefault="004D1ACF" w:rsidP="004C0959">
      <w:pPr>
        <w:spacing w:after="0" w:line="360" w:lineRule="auto"/>
        <w:ind w:firstLine="0"/>
        <w:jc w:val="left"/>
        <w:rPr>
          <w:rFonts w:cs="Arial"/>
          <w:sz w:val="22"/>
        </w:rPr>
      </w:pPr>
      <w:r w:rsidRPr="00647DC0">
        <w:rPr>
          <w:rFonts w:cs="Arial"/>
          <w:sz w:val="22"/>
        </w:rPr>
        <w:t xml:space="preserve"> </w:t>
      </w:r>
    </w:p>
    <w:p w14:paraId="52F656AA" w14:textId="77777777" w:rsidR="004D1ACF" w:rsidRPr="00647DC0" w:rsidRDefault="004D1ACF" w:rsidP="004C0959">
      <w:pPr>
        <w:spacing w:after="0" w:line="360" w:lineRule="auto"/>
        <w:ind w:right="958" w:firstLine="0"/>
        <w:jc w:val="left"/>
        <w:rPr>
          <w:rFonts w:cs="Arial"/>
          <w:sz w:val="22"/>
        </w:rPr>
      </w:pPr>
      <w:r w:rsidRPr="00647DC0">
        <w:rPr>
          <w:rFonts w:cs="Arial"/>
          <w:sz w:val="22"/>
        </w:rPr>
        <w:t xml:space="preserve">Sefydliad Dysgu Canol Dinas / </w:t>
      </w:r>
    </w:p>
    <w:p w14:paraId="4F67A514" w14:textId="0876942D" w:rsidR="004D1ACF" w:rsidRPr="00647DC0" w:rsidRDefault="004D1ACF" w:rsidP="004C0959">
      <w:pPr>
        <w:spacing w:after="0" w:line="360" w:lineRule="auto"/>
        <w:ind w:right="1322" w:firstLine="0"/>
        <w:jc w:val="left"/>
        <w:rPr>
          <w:rFonts w:cs="Arial"/>
          <w:sz w:val="22"/>
        </w:rPr>
      </w:pPr>
      <w:r w:rsidRPr="00647DC0">
        <w:rPr>
          <w:rFonts w:cs="Arial"/>
          <w:sz w:val="22"/>
        </w:rPr>
        <w:t xml:space="preserve">Institute of </w:t>
      </w:r>
      <w:r w:rsidR="00FB4BDB" w:rsidRPr="00647DC0">
        <w:rPr>
          <w:rFonts w:cs="Arial"/>
          <w:sz w:val="22"/>
        </w:rPr>
        <w:t>Inner-City</w:t>
      </w:r>
      <w:r w:rsidRPr="00647DC0">
        <w:rPr>
          <w:rFonts w:cs="Arial"/>
          <w:sz w:val="22"/>
        </w:rPr>
        <w:t xml:space="preserve"> Learning  </w:t>
      </w:r>
    </w:p>
    <w:p w14:paraId="5634CAA1" w14:textId="77777777" w:rsidR="004D1ACF" w:rsidRPr="00647DC0" w:rsidRDefault="004D1ACF" w:rsidP="004C0959">
      <w:pPr>
        <w:spacing w:after="0" w:line="360" w:lineRule="auto"/>
        <w:ind w:firstLine="0"/>
        <w:jc w:val="left"/>
        <w:rPr>
          <w:rFonts w:cs="Arial"/>
          <w:sz w:val="22"/>
        </w:rPr>
      </w:pPr>
      <w:r w:rsidRPr="00647DC0">
        <w:rPr>
          <w:rFonts w:cs="Arial"/>
          <w:sz w:val="22"/>
        </w:rPr>
        <w:t xml:space="preserve"> </w:t>
      </w:r>
    </w:p>
    <w:p w14:paraId="424E5E93" w14:textId="77777777" w:rsidR="004D1ACF" w:rsidRPr="00647DC0" w:rsidRDefault="004D1ACF" w:rsidP="004C0959">
      <w:pPr>
        <w:spacing w:after="321" w:line="360" w:lineRule="auto"/>
        <w:ind w:firstLine="0"/>
        <w:jc w:val="left"/>
        <w:rPr>
          <w:rFonts w:cs="Arial"/>
          <w:sz w:val="22"/>
        </w:rPr>
      </w:pPr>
      <w:r w:rsidRPr="00647DC0">
        <w:rPr>
          <w:rFonts w:cs="Arial"/>
          <w:sz w:val="22"/>
        </w:rPr>
        <w:t xml:space="preserve"> </w:t>
      </w:r>
    </w:p>
    <w:p w14:paraId="538F104F" w14:textId="77777777" w:rsidR="004D1ACF" w:rsidRPr="00647DC0" w:rsidRDefault="004D1ACF" w:rsidP="004C0959">
      <w:pPr>
        <w:spacing w:after="0" w:line="360" w:lineRule="auto"/>
        <w:ind w:left="413" w:firstLine="0"/>
        <w:jc w:val="left"/>
        <w:rPr>
          <w:rFonts w:cs="Arial"/>
          <w:sz w:val="22"/>
        </w:rPr>
      </w:pPr>
      <w:r w:rsidRPr="00647DC0">
        <w:rPr>
          <w:rFonts w:cs="Arial"/>
          <w:sz w:val="22"/>
        </w:rPr>
        <w:t xml:space="preserve"> </w:t>
      </w:r>
    </w:p>
    <w:p w14:paraId="3271778C" w14:textId="77777777" w:rsidR="004D1ACF" w:rsidRPr="00647DC0" w:rsidRDefault="004D1ACF" w:rsidP="004C0959">
      <w:pPr>
        <w:spacing w:after="0" w:line="360" w:lineRule="auto"/>
        <w:ind w:left="413" w:firstLine="0"/>
        <w:jc w:val="left"/>
        <w:rPr>
          <w:rFonts w:cs="Arial"/>
          <w:sz w:val="22"/>
        </w:rPr>
      </w:pPr>
      <w:r w:rsidRPr="00647DC0">
        <w:rPr>
          <w:rFonts w:cs="Arial"/>
          <w:sz w:val="22"/>
        </w:rPr>
        <w:t xml:space="preserve"> </w:t>
      </w:r>
    </w:p>
    <w:p w14:paraId="46040F53" w14:textId="77777777" w:rsidR="004D1ACF" w:rsidRPr="00647DC0" w:rsidRDefault="004D1ACF" w:rsidP="004C0959">
      <w:pPr>
        <w:spacing w:after="0" w:line="360" w:lineRule="auto"/>
        <w:ind w:firstLine="0"/>
        <w:jc w:val="left"/>
        <w:rPr>
          <w:rFonts w:cs="Arial"/>
          <w:sz w:val="22"/>
        </w:rPr>
      </w:pPr>
      <w:r w:rsidRPr="00647DC0">
        <w:rPr>
          <w:rFonts w:cs="Arial"/>
          <w:sz w:val="22"/>
        </w:rPr>
        <w:t>BA Leadership and Management</w:t>
      </w:r>
    </w:p>
    <w:p w14:paraId="246166D0" w14:textId="6C75ADF7" w:rsidR="004D1ACF" w:rsidRPr="00647DC0" w:rsidRDefault="004D1ACF" w:rsidP="004C0959">
      <w:pPr>
        <w:spacing w:after="0" w:line="360" w:lineRule="auto"/>
        <w:ind w:left="452" w:firstLine="0"/>
        <w:jc w:val="left"/>
        <w:rPr>
          <w:rFonts w:cs="Arial"/>
          <w:sz w:val="22"/>
        </w:rPr>
      </w:pPr>
      <w:r w:rsidRPr="00647DC0">
        <w:rPr>
          <w:rFonts w:cs="Arial"/>
          <w:sz w:val="22"/>
        </w:rPr>
        <w:t xml:space="preserve"> </w:t>
      </w:r>
    </w:p>
    <w:p w14:paraId="47B1EF23" w14:textId="77777777" w:rsidR="004D1ACF" w:rsidRPr="00647DC0" w:rsidRDefault="004D1ACF" w:rsidP="004C0959">
      <w:pPr>
        <w:spacing w:line="360" w:lineRule="auto"/>
        <w:jc w:val="left"/>
        <w:rPr>
          <w:rFonts w:cs="Arial"/>
          <w:sz w:val="22"/>
        </w:rPr>
      </w:pPr>
    </w:p>
    <w:p w14:paraId="102FE6B0" w14:textId="77777777" w:rsidR="004D1ACF" w:rsidRPr="00647DC0" w:rsidRDefault="004D1ACF" w:rsidP="004C0959">
      <w:pPr>
        <w:spacing w:line="360" w:lineRule="auto"/>
        <w:jc w:val="left"/>
        <w:rPr>
          <w:rFonts w:cs="Arial"/>
          <w:sz w:val="22"/>
        </w:rPr>
      </w:pPr>
    </w:p>
    <w:p w14:paraId="18B1A0AB" w14:textId="77777777" w:rsidR="004D1ACF" w:rsidRPr="00647DC0" w:rsidRDefault="004D1ACF" w:rsidP="004C0959">
      <w:pPr>
        <w:tabs>
          <w:tab w:val="left" w:pos="2505"/>
        </w:tabs>
        <w:spacing w:line="360" w:lineRule="auto"/>
        <w:jc w:val="left"/>
        <w:rPr>
          <w:rFonts w:cs="Arial"/>
          <w:sz w:val="22"/>
        </w:rPr>
        <w:sectPr w:rsidR="004D1ACF" w:rsidRPr="00647DC0" w:rsidSect="00FB4BDB">
          <w:footerReference w:type="even" r:id="rId10"/>
          <w:footerReference w:type="default" r:id="rId11"/>
          <w:headerReference w:type="first" r:id="rId12"/>
          <w:footerReference w:type="first" r:id="rId13"/>
          <w:pgSz w:w="12240" w:h="15840"/>
          <w:pgMar w:top="1440" w:right="1440" w:bottom="1440" w:left="1440" w:header="720" w:footer="720" w:gutter="0"/>
          <w:cols w:space="720"/>
        </w:sectPr>
      </w:pPr>
      <w:r w:rsidRPr="00647DC0">
        <w:rPr>
          <w:rFonts w:cs="Arial"/>
          <w:sz w:val="22"/>
        </w:rPr>
        <w:tab/>
      </w:r>
      <w:r w:rsidRPr="00647DC0">
        <w:rPr>
          <w:rFonts w:cs="Arial"/>
          <w:sz w:val="22"/>
        </w:rPr>
        <w:tab/>
      </w:r>
    </w:p>
    <w:p w14:paraId="66AC091D" w14:textId="6D9F92BB" w:rsidR="004D1ACF" w:rsidRPr="00647DC0" w:rsidRDefault="00F82672" w:rsidP="004C0959">
      <w:pPr>
        <w:spacing w:line="360" w:lineRule="auto"/>
        <w:ind w:firstLine="0"/>
        <w:jc w:val="left"/>
        <w:rPr>
          <w:rFonts w:cs="Arial"/>
          <w:sz w:val="22"/>
        </w:rPr>
      </w:pPr>
      <w:r w:rsidRPr="00647DC0">
        <w:rPr>
          <w:rFonts w:cs="Arial"/>
          <w:sz w:val="22"/>
        </w:rPr>
        <w:lastRenderedPageBreak/>
        <w:t>Evaluating Leadership and Strategic Management Practices at Ford Motor Company During Technological and Organisational Transformation</w:t>
      </w:r>
      <w:r w:rsidR="004D1ACF" w:rsidRPr="00647DC0">
        <w:rPr>
          <w:rFonts w:cs="Arial"/>
          <w:sz w:val="22"/>
        </w:rPr>
        <w:t xml:space="preserve"> </w:t>
      </w:r>
    </w:p>
    <w:p w14:paraId="70E679FE" w14:textId="77777777" w:rsidR="004D1ACF" w:rsidRPr="00647DC0" w:rsidRDefault="004D1ACF" w:rsidP="004C0959">
      <w:pPr>
        <w:spacing w:after="0" w:line="360" w:lineRule="auto"/>
        <w:ind w:left="97" w:firstLine="0"/>
        <w:jc w:val="left"/>
        <w:rPr>
          <w:rFonts w:cs="Arial"/>
          <w:sz w:val="22"/>
        </w:rPr>
      </w:pPr>
      <w:r w:rsidRPr="00647DC0">
        <w:rPr>
          <w:rFonts w:cs="Arial"/>
          <w:sz w:val="22"/>
        </w:rPr>
        <w:t xml:space="preserve"> </w:t>
      </w:r>
    </w:p>
    <w:p w14:paraId="252AA180" w14:textId="3D9240FF" w:rsidR="004D1ACF" w:rsidRPr="00647DC0" w:rsidRDefault="00795E82" w:rsidP="004C0959">
      <w:pPr>
        <w:spacing w:after="0" w:line="360" w:lineRule="auto"/>
        <w:ind w:left="97" w:firstLine="0"/>
        <w:jc w:val="left"/>
        <w:rPr>
          <w:rFonts w:cs="Arial"/>
          <w:sz w:val="22"/>
          <w:lang w:val="nl-NL"/>
        </w:rPr>
      </w:pPr>
      <w:r w:rsidRPr="00647DC0">
        <w:rPr>
          <w:rFonts w:cs="Arial"/>
          <w:sz w:val="22"/>
        </w:rPr>
        <w:t xml:space="preserve">                                                </w:t>
      </w:r>
      <w:r w:rsidR="004D1ACF" w:rsidRPr="00647DC0">
        <w:rPr>
          <w:rFonts w:cs="Arial"/>
          <w:sz w:val="22"/>
        </w:rPr>
        <w:t xml:space="preserve"> </w:t>
      </w:r>
      <w:r w:rsidR="005812A9" w:rsidRPr="00647DC0">
        <w:rPr>
          <w:rFonts w:cs="Arial"/>
          <w:sz w:val="22"/>
          <w:lang w:val="nl-NL"/>
        </w:rPr>
        <w:t>S</w:t>
      </w:r>
      <w:r w:rsidR="0021494D" w:rsidRPr="00647DC0">
        <w:rPr>
          <w:rFonts w:cs="Arial"/>
          <w:sz w:val="22"/>
          <w:lang w:val="nl-NL"/>
        </w:rPr>
        <w:t>tu</w:t>
      </w:r>
      <w:r w:rsidR="005812A9" w:rsidRPr="00647DC0">
        <w:rPr>
          <w:rFonts w:cs="Arial"/>
          <w:sz w:val="22"/>
          <w:lang w:val="nl-NL"/>
        </w:rPr>
        <w:t xml:space="preserve">dent name  </w:t>
      </w:r>
      <w:r w:rsidR="00E543D9" w:rsidRPr="00647DC0">
        <w:rPr>
          <w:rFonts w:cs="Arial"/>
          <w:sz w:val="22"/>
          <w:lang w:val="nl-NL"/>
        </w:rPr>
        <w:t xml:space="preserve"> Carmen Goulei</w:t>
      </w:r>
    </w:p>
    <w:p w14:paraId="6AB167AF" w14:textId="20430AED" w:rsidR="004D1ACF" w:rsidRPr="00647DC0" w:rsidRDefault="00795E82" w:rsidP="004C0959">
      <w:pPr>
        <w:spacing w:after="0" w:line="360" w:lineRule="auto"/>
        <w:ind w:left="97" w:firstLine="0"/>
        <w:jc w:val="left"/>
        <w:rPr>
          <w:rFonts w:cs="Arial"/>
          <w:sz w:val="22"/>
          <w:lang w:val="nl-NL"/>
        </w:rPr>
      </w:pPr>
      <w:r w:rsidRPr="00647DC0">
        <w:rPr>
          <w:rFonts w:cs="Arial"/>
          <w:sz w:val="22"/>
          <w:lang w:val="nl-NL"/>
        </w:rPr>
        <w:t xml:space="preserve">                                                </w:t>
      </w:r>
      <w:r w:rsidR="004D1ACF" w:rsidRPr="00647DC0">
        <w:rPr>
          <w:rFonts w:cs="Arial"/>
          <w:sz w:val="22"/>
          <w:lang w:val="nl-NL"/>
        </w:rPr>
        <w:t xml:space="preserve"> Student Number</w:t>
      </w:r>
      <w:r w:rsidR="005812A9" w:rsidRPr="00647DC0">
        <w:rPr>
          <w:rFonts w:cs="Arial"/>
          <w:sz w:val="22"/>
          <w:lang w:val="nl-NL"/>
        </w:rPr>
        <w:t xml:space="preserve">  </w:t>
      </w:r>
      <w:r w:rsidRPr="00647DC0">
        <w:rPr>
          <w:rFonts w:cs="Arial"/>
          <w:sz w:val="22"/>
          <w:lang w:val="nl-NL"/>
        </w:rPr>
        <w:t>2310474</w:t>
      </w:r>
      <w:r w:rsidR="004D1ACF" w:rsidRPr="00647DC0">
        <w:rPr>
          <w:rFonts w:cs="Arial"/>
          <w:b/>
          <w:i/>
          <w:sz w:val="22"/>
          <w:lang w:val="nl-NL"/>
        </w:rPr>
        <w:t xml:space="preserve"> </w:t>
      </w:r>
      <w:r w:rsidR="004D1ACF" w:rsidRPr="00647DC0">
        <w:rPr>
          <w:rFonts w:eastAsia="Calibri" w:cs="Arial"/>
          <w:sz w:val="22"/>
          <w:lang w:val="nl-NL"/>
        </w:rPr>
        <w:t xml:space="preserve"> </w:t>
      </w:r>
      <w:r w:rsidR="004D1ACF" w:rsidRPr="00647DC0">
        <w:rPr>
          <w:rFonts w:cs="Arial"/>
          <w:sz w:val="22"/>
          <w:lang w:val="nl-NL"/>
        </w:rPr>
        <w:t xml:space="preserve"> </w:t>
      </w:r>
    </w:p>
    <w:p w14:paraId="32E38C80" w14:textId="1DFC2D3D" w:rsidR="004D1ACF" w:rsidRPr="00647DC0" w:rsidRDefault="0021494D" w:rsidP="004C0959">
      <w:pPr>
        <w:spacing w:after="0" w:line="360" w:lineRule="auto"/>
        <w:ind w:right="55" w:firstLine="0"/>
        <w:jc w:val="left"/>
        <w:rPr>
          <w:rFonts w:cs="Arial"/>
          <w:bCs/>
          <w:sz w:val="22"/>
        </w:rPr>
      </w:pPr>
      <w:r w:rsidRPr="00647DC0">
        <w:rPr>
          <w:rFonts w:cs="Arial"/>
          <w:bCs/>
          <w:sz w:val="22"/>
          <w:lang w:val="nl-NL"/>
        </w:rPr>
        <w:t xml:space="preserve">                                                   </w:t>
      </w:r>
      <w:r w:rsidR="004D1ACF" w:rsidRPr="00647DC0">
        <w:rPr>
          <w:rFonts w:cs="Arial"/>
          <w:bCs/>
          <w:sz w:val="22"/>
        </w:rPr>
        <w:t>Supervisor Name</w:t>
      </w:r>
      <w:r w:rsidR="005812A9" w:rsidRPr="00647DC0">
        <w:rPr>
          <w:rFonts w:cs="Arial"/>
          <w:bCs/>
          <w:sz w:val="22"/>
        </w:rPr>
        <w:t xml:space="preserve">  Eric Osei</w:t>
      </w:r>
      <w:r w:rsidR="004D1ACF" w:rsidRPr="00647DC0">
        <w:rPr>
          <w:rFonts w:cs="Arial"/>
          <w:bCs/>
          <w:sz w:val="22"/>
        </w:rPr>
        <w:t xml:space="preserve"> </w:t>
      </w:r>
    </w:p>
    <w:p w14:paraId="091F3FA6" w14:textId="66BAE4E2" w:rsidR="004D1ACF" w:rsidRPr="00647DC0" w:rsidRDefault="004D1ACF" w:rsidP="004C0959">
      <w:pPr>
        <w:spacing w:after="0" w:line="360" w:lineRule="auto"/>
        <w:ind w:left="30" w:firstLine="0"/>
        <w:jc w:val="left"/>
        <w:rPr>
          <w:rFonts w:cs="Arial"/>
          <w:sz w:val="22"/>
        </w:rPr>
      </w:pPr>
      <w:r w:rsidRPr="00647DC0">
        <w:rPr>
          <w:rFonts w:cs="Arial"/>
          <w:sz w:val="22"/>
        </w:rPr>
        <w:t xml:space="preserve">  </w:t>
      </w:r>
    </w:p>
    <w:p w14:paraId="0ED97716" w14:textId="77777777" w:rsidR="004D1ACF" w:rsidRPr="00647DC0" w:rsidRDefault="004D1ACF" w:rsidP="004C0959">
      <w:pPr>
        <w:spacing w:after="0" w:line="360" w:lineRule="auto"/>
        <w:ind w:left="30" w:firstLine="0"/>
        <w:jc w:val="left"/>
        <w:rPr>
          <w:rFonts w:cs="Arial"/>
          <w:sz w:val="22"/>
        </w:rPr>
      </w:pPr>
      <w:r w:rsidRPr="00647DC0">
        <w:rPr>
          <w:rFonts w:cs="Arial"/>
          <w:sz w:val="22"/>
        </w:rPr>
        <w:t>Dissertation submitted as part of the requirements for the award of BA Leadership and Management</w:t>
      </w:r>
    </w:p>
    <w:p w14:paraId="47BA3ECE" w14:textId="77777777" w:rsidR="004D1ACF" w:rsidRPr="00647DC0" w:rsidRDefault="004D1ACF" w:rsidP="004C0959">
      <w:pPr>
        <w:spacing w:after="0" w:line="360" w:lineRule="auto"/>
        <w:ind w:left="30" w:right="57" w:firstLine="0"/>
        <w:jc w:val="left"/>
        <w:rPr>
          <w:rFonts w:cs="Arial"/>
          <w:sz w:val="22"/>
        </w:rPr>
      </w:pPr>
    </w:p>
    <w:p w14:paraId="4F083BCA" w14:textId="77777777" w:rsidR="004D1ACF" w:rsidRPr="00647DC0" w:rsidRDefault="004D1ACF" w:rsidP="004C0959">
      <w:pPr>
        <w:spacing w:after="0" w:line="360" w:lineRule="auto"/>
        <w:ind w:left="30" w:firstLine="0"/>
        <w:jc w:val="left"/>
        <w:rPr>
          <w:rFonts w:cs="Arial"/>
          <w:sz w:val="22"/>
        </w:rPr>
      </w:pPr>
      <w:r w:rsidRPr="00647DC0">
        <w:rPr>
          <w:rFonts w:cs="Arial"/>
          <w:sz w:val="22"/>
        </w:rPr>
        <w:t xml:space="preserve"> </w:t>
      </w:r>
    </w:p>
    <w:p w14:paraId="09EA998A" w14:textId="4FE5C2B1" w:rsidR="004D1ACF" w:rsidRPr="00647DC0" w:rsidRDefault="004D1ACF" w:rsidP="004C0959">
      <w:pPr>
        <w:spacing w:after="141" w:line="360" w:lineRule="auto"/>
        <w:ind w:left="30" w:right="54" w:firstLine="0"/>
        <w:jc w:val="left"/>
        <w:rPr>
          <w:rFonts w:cs="Arial"/>
          <w:sz w:val="22"/>
        </w:rPr>
      </w:pPr>
    </w:p>
    <w:p w14:paraId="0810FEDB" w14:textId="77777777" w:rsidR="004D1ACF" w:rsidRPr="00647DC0" w:rsidRDefault="004D1ACF" w:rsidP="004C0959">
      <w:pPr>
        <w:spacing w:after="0" w:line="360" w:lineRule="auto"/>
        <w:ind w:left="30" w:firstLine="0"/>
        <w:jc w:val="left"/>
        <w:rPr>
          <w:rFonts w:cs="Arial"/>
          <w:sz w:val="22"/>
        </w:rPr>
      </w:pPr>
      <w:r w:rsidRPr="00647DC0">
        <w:rPr>
          <w:rFonts w:eastAsia="Calibri" w:cs="Arial"/>
          <w:sz w:val="22"/>
        </w:rPr>
        <w:t xml:space="preserve"> </w:t>
      </w:r>
    </w:p>
    <w:p w14:paraId="68F03A4B" w14:textId="2AEBA2CC" w:rsidR="004D1ACF" w:rsidRPr="00647DC0" w:rsidRDefault="004D1ACF" w:rsidP="004C0959">
      <w:pPr>
        <w:spacing w:after="0" w:line="360" w:lineRule="auto"/>
        <w:ind w:firstLine="0"/>
        <w:jc w:val="left"/>
        <w:rPr>
          <w:rFonts w:cs="Arial"/>
          <w:sz w:val="22"/>
        </w:rPr>
      </w:pPr>
      <w:r w:rsidRPr="00647DC0">
        <w:rPr>
          <w:rFonts w:eastAsia="Calibri" w:cs="Arial"/>
          <w:sz w:val="22"/>
        </w:rPr>
        <w:t xml:space="preserve"> </w:t>
      </w:r>
      <w:r w:rsidRPr="00647DC0">
        <w:rPr>
          <w:rFonts w:cs="Arial"/>
          <w:sz w:val="22"/>
        </w:rPr>
        <w:t xml:space="preserve"> </w:t>
      </w:r>
    </w:p>
    <w:p w14:paraId="24B8805F" w14:textId="77777777" w:rsidR="004D1ACF" w:rsidRPr="00647DC0" w:rsidRDefault="004D1ACF" w:rsidP="004C0959">
      <w:pPr>
        <w:spacing w:before="0" w:after="160" w:line="360" w:lineRule="auto"/>
        <w:ind w:firstLine="0"/>
        <w:contextualSpacing w:val="0"/>
        <w:jc w:val="left"/>
        <w:rPr>
          <w:rFonts w:cs="Arial"/>
          <w:i/>
          <w:sz w:val="22"/>
        </w:rPr>
      </w:pPr>
      <w:r w:rsidRPr="00647DC0">
        <w:rPr>
          <w:rFonts w:cs="Arial"/>
          <w:sz w:val="22"/>
        </w:rPr>
        <w:br w:type="page"/>
      </w:r>
    </w:p>
    <w:p w14:paraId="62F93B24" w14:textId="5F65A91E" w:rsidR="004D1ACF" w:rsidRPr="00647DC0" w:rsidRDefault="004D1ACF" w:rsidP="004C0959">
      <w:pPr>
        <w:spacing w:line="360" w:lineRule="auto"/>
        <w:ind w:firstLine="0"/>
        <w:jc w:val="left"/>
        <w:rPr>
          <w:rFonts w:cs="Arial"/>
          <w:b/>
          <w:bCs/>
          <w:sz w:val="22"/>
        </w:rPr>
      </w:pPr>
      <w:r w:rsidRPr="00647DC0">
        <w:rPr>
          <w:rFonts w:cs="Arial"/>
          <w:b/>
          <w:bCs/>
          <w:sz w:val="22"/>
        </w:rPr>
        <w:lastRenderedPageBreak/>
        <w:t>DECLARATION</w:t>
      </w:r>
    </w:p>
    <w:p w14:paraId="647EBCCC" w14:textId="3BF88D85" w:rsidR="004D1ACF" w:rsidRPr="00647DC0" w:rsidRDefault="004D1ACF" w:rsidP="004C0959">
      <w:pPr>
        <w:spacing w:after="0" w:line="360" w:lineRule="auto"/>
        <w:ind w:firstLine="0"/>
        <w:jc w:val="left"/>
        <w:rPr>
          <w:rFonts w:cs="Arial"/>
          <w:sz w:val="22"/>
        </w:rPr>
      </w:pPr>
      <w:r w:rsidRPr="00647DC0">
        <w:rPr>
          <w:rFonts w:cs="Arial"/>
          <w:sz w:val="22"/>
        </w:rPr>
        <w:t xml:space="preserve"> I,</w:t>
      </w:r>
      <w:r w:rsidR="004042FB" w:rsidRPr="00647DC0">
        <w:rPr>
          <w:rFonts w:cs="Arial"/>
          <w:sz w:val="22"/>
        </w:rPr>
        <w:t xml:space="preserve"> Carmen Goulei</w:t>
      </w:r>
      <w:r w:rsidRPr="00647DC0">
        <w:rPr>
          <w:rFonts w:cs="Arial"/>
          <w:sz w:val="22"/>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D1DB9E5" w14:textId="77777777" w:rsidR="004D1ACF" w:rsidRPr="00647DC0" w:rsidRDefault="004D1ACF" w:rsidP="004C0959">
      <w:pPr>
        <w:spacing w:after="0" w:line="360" w:lineRule="auto"/>
        <w:ind w:firstLine="5"/>
        <w:jc w:val="left"/>
        <w:rPr>
          <w:rFonts w:cs="Arial"/>
          <w:sz w:val="22"/>
        </w:rPr>
      </w:pPr>
      <w:r w:rsidRPr="00647DC0">
        <w:rPr>
          <w:rFonts w:cs="Arial"/>
          <w:sz w:val="22"/>
        </w:rPr>
        <w:t xml:space="preserve"> </w:t>
      </w:r>
    </w:p>
    <w:p w14:paraId="28717397" w14:textId="2022F011" w:rsidR="004D1ACF" w:rsidRPr="00647DC0" w:rsidRDefault="004D1ACF" w:rsidP="004C0959">
      <w:pPr>
        <w:spacing w:after="33" w:line="360" w:lineRule="auto"/>
        <w:ind w:left="-5" w:right="4319" w:firstLine="5"/>
        <w:jc w:val="left"/>
        <w:rPr>
          <w:rFonts w:cs="Arial"/>
          <w:sz w:val="22"/>
        </w:rPr>
      </w:pPr>
      <w:r w:rsidRPr="00647DC0">
        <w:rPr>
          <w:rFonts w:cs="Arial"/>
          <w:sz w:val="22"/>
        </w:rPr>
        <w:t>Signature:........</w:t>
      </w:r>
      <w:r w:rsidR="004042FB" w:rsidRPr="00647DC0">
        <w:rPr>
          <w:rFonts w:cs="Arial"/>
          <w:sz w:val="22"/>
        </w:rPr>
        <w:t xml:space="preserve">C G </w:t>
      </w:r>
      <w:r w:rsidRPr="00647DC0">
        <w:rPr>
          <w:rFonts w:cs="Arial"/>
          <w:sz w:val="22"/>
        </w:rPr>
        <w:t xml:space="preserve">..............................................  </w:t>
      </w:r>
    </w:p>
    <w:p w14:paraId="236C22D3" w14:textId="10C47629" w:rsidR="004D1ACF" w:rsidRPr="00647DC0" w:rsidRDefault="004D1ACF" w:rsidP="004C0959">
      <w:pPr>
        <w:spacing w:line="360" w:lineRule="auto"/>
        <w:ind w:left="-5" w:right="39" w:firstLine="5"/>
        <w:jc w:val="left"/>
        <w:rPr>
          <w:rFonts w:cs="Arial"/>
          <w:sz w:val="22"/>
        </w:rPr>
      </w:pPr>
      <w:r w:rsidRPr="00647DC0">
        <w:rPr>
          <w:rFonts w:cs="Arial"/>
          <w:sz w:val="22"/>
        </w:rPr>
        <w:t>Date: ……</w:t>
      </w:r>
      <w:r w:rsidR="004042FB" w:rsidRPr="00647DC0">
        <w:rPr>
          <w:rFonts w:cs="Arial"/>
          <w:sz w:val="22"/>
        </w:rPr>
        <w:t>27/07/2026</w:t>
      </w:r>
      <w:r w:rsidRPr="00647DC0">
        <w:rPr>
          <w:rFonts w:cs="Arial"/>
          <w:sz w:val="22"/>
        </w:rPr>
        <w:t xml:space="preserve">…………………………............................ </w:t>
      </w:r>
    </w:p>
    <w:p w14:paraId="0680D09F" w14:textId="77777777" w:rsidR="004D1ACF" w:rsidRPr="00647DC0" w:rsidRDefault="004D1ACF" w:rsidP="004C0959">
      <w:pPr>
        <w:spacing w:after="14" w:line="360" w:lineRule="auto"/>
        <w:ind w:firstLine="0"/>
        <w:jc w:val="left"/>
        <w:rPr>
          <w:rFonts w:cs="Arial"/>
          <w:sz w:val="22"/>
        </w:rPr>
      </w:pPr>
      <w:r w:rsidRPr="00647DC0">
        <w:rPr>
          <w:rFonts w:cs="Arial"/>
          <w:sz w:val="22"/>
        </w:rPr>
        <w:t xml:space="preserve"> </w:t>
      </w:r>
    </w:p>
    <w:p w14:paraId="7FBAE41A" w14:textId="64301D12" w:rsidR="004D1ACF" w:rsidRPr="00647DC0" w:rsidRDefault="004D1ACF" w:rsidP="004C0959">
      <w:pPr>
        <w:spacing w:after="0" w:line="360" w:lineRule="auto"/>
        <w:ind w:firstLine="0"/>
        <w:jc w:val="left"/>
        <w:rPr>
          <w:rFonts w:cs="Arial"/>
          <w:i/>
          <w:sz w:val="22"/>
        </w:rPr>
      </w:pPr>
      <w:r w:rsidRPr="00647DC0">
        <w:rPr>
          <w:rFonts w:cs="Arial"/>
          <w:b/>
          <w:sz w:val="22"/>
        </w:rPr>
        <w:t xml:space="preserve">  </w:t>
      </w:r>
      <w:r w:rsidRPr="00647DC0">
        <w:rPr>
          <w:rFonts w:cs="Arial"/>
          <w:sz w:val="22"/>
        </w:rPr>
        <w:br w:type="page"/>
      </w:r>
    </w:p>
    <w:p w14:paraId="7C550D9E" w14:textId="5A15C3BB" w:rsidR="004D1ACF" w:rsidRPr="00647DC0" w:rsidRDefault="004D1ACF" w:rsidP="004C0959">
      <w:pPr>
        <w:spacing w:line="360" w:lineRule="auto"/>
        <w:ind w:firstLine="0"/>
        <w:jc w:val="left"/>
        <w:rPr>
          <w:rFonts w:cs="Arial"/>
          <w:b/>
          <w:bCs/>
          <w:sz w:val="22"/>
        </w:rPr>
      </w:pPr>
      <w:r w:rsidRPr="00647DC0">
        <w:rPr>
          <w:rFonts w:cs="Arial"/>
          <w:b/>
          <w:bCs/>
          <w:sz w:val="22"/>
        </w:rPr>
        <w:lastRenderedPageBreak/>
        <w:t>ACKNOWLEDGEMENTS</w:t>
      </w:r>
    </w:p>
    <w:p w14:paraId="26287A50" w14:textId="77777777" w:rsidR="007D17C4" w:rsidRPr="00647DC0" w:rsidRDefault="007D17C4" w:rsidP="004C0959">
      <w:pPr>
        <w:spacing w:line="360" w:lineRule="auto"/>
        <w:jc w:val="left"/>
        <w:rPr>
          <w:rFonts w:cs="Arial"/>
          <w:sz w:val="22"/>
        </w:rPr>
      </w:pPr>
      <w:r w:rsidRPr="00647DC0">
        <w:rPr>
          <w:rFonts w:cs="Arial"/>
          <w:sz w:val="22"/>
        </w:rPr>
        <w:t xml:space="preserve"> I would like to thank my supervisor for his guidance, support and constructive feedback during the preparation of this Dissertation. Their suggestions enabled me to narrow down the research focus and to give methodological direction to my research and to develop a more critical understanding of the concept of leadership and strategic management in the automotive industry.</w:t>
      </w:r>
    </w:p>
    <w:p w14:paraId="79E90B60" w14:textId="77777777" w:rsidR="007D17C4" w:rsidRPr="00647DC0" w:rsidRDefault="007D17C4" w:rsidP="004C0959">
      <w:pPr>
        <w:spacing w:line="360" w:lineRule="auto"/>
        <w:jc w:val="left"/>
        <w:rPr>
          <w:rFonts w:cs="Arial"/>
          <w:sz w:val="22"/>
        </w:rPr>
      </w:pPr>
      <w:r w:rsidRPr="00647DC0">
        <w:rPr>
          <w:rFonts w:cs="Arial"/>
          <w:sz w:val="22"/>
        </w:rPr>
        <w:t>I also wish to express my thanks to the academic staff at the Institute of Inner City Learning, and the University of Wales Trinity Saint David for their learning environment, resources and academic support for the completion of this independent project. My learning across the entire BA Leadership and Management course has been helpful in developing my understanding of organisational change, strategic decision making and research in evidence.</w:t>
      </w:r>
    </w:p>
    <w:p w14:paraId="78CB4E67" w14:textId="5D90C5D4" w:rsidR="005B4C73" w:rsidRPr="00647DC0" w:rsidRDefault="007D17C4" w:rsidP="004C0959">
      <w:pPr>
        <w:spacing w:line="360" w:lineRule="auto"/>
        <w:jc w:val="left"/>
        <w:rPr>
          <w:rFonts w:cs="Arial"/>
          <w:sz w:val="22"/>
        </w:rPr>
      </w:pPr>
      <w:r w:rsidRPr="00647DC0">
        <w:rPr>
          <w:rFonts w:cs="Arial"/>
          <w:sz w:val="22"/>
        </w:rPr>
        <w:t>I would also like to express my appreciation to my family and friends for encouraging, being patient and supportive of me during the dissertation process. Their motivation helped me to stay focused and committed in my research journey. Lastly, I recogni</w:t>
      </w:r>
      <w:r w:rsidR="004C0959">
        <w:rPr>
          <w:rFonts w:cs="Arial"/>
          <w:sz w:val="22"/>
        </w:rPr>
        <w:t>s</w:t>
      </w:r>
      <w:r w:rsidRPr="00647DC0">
        <w:rPr>
          <w:rFonts w:cs="Arial"/>
          <w:sz w:val="22"/>
        </w:rPr>
        <w:t>e the work, reports, research and industry evidence that inform this secondary research project by the authors, researchers, organi</w:t>
      </w:r>
      <w:r w:rsidR="004C0959">
        <w:rPr>
          <w:rFonts w:cs="Arial"/>
          <w:sz w:val="22"/>
        </w:rPr>
        <w:t>s</w:t>
      </w:r>
      <w:r w:rsidRPr="00647DC0">
        <w:rPr>
          <w:rFonts w:cs="Arial"/>
          <w:sz w:val="22"/>
        </w:rPr>
        <w:t>ations and institutions that have published it.</w:t>
      </w:r>
    </w:p>
    <w:p w14:paraId="56A1104C" w14:textId="77777777" w:rsidR="007D17C4" w:rsidRPr="00647DC0" w:rsidRDefault="007D17C4" w:rsidP="004C0959">
      <w:pPr>
        <w:spacing w:before="0" w:after="160" w:line="360" w:lineRule="auto"/>
        <w:ind w:firstLine="0"/>
        <w:contextualSpacing w:val="0"/>
        <w:jc w:val="left"/>
        <w:rPr>
          <w:rFonts w:cs="Arial"/>
          <w:b/>
          <w:bCs/>
          <w:sz w:val="22"/>
        </w:rPr>
      </w:pPr>
      <w:r w:rsidRPr="00647DC0">
        <w:rPr>
          <w:rFonts w:cs="Arial"/>
          <w:b/>
          <w:bCs/>
          <w:sz w:val="22"/>
        </w:rPr>
        <w:br w:type="page"/>
      </w:r>
    </w:p>
    <w:p w14:paraId="4854F9EF" w14:textId="00123C54" w:rsidR="00FB4DE5" w:rsidRPr="00647DC0" w:rsidRDefault="004D1ACF" w:rsidP="004C0959">
      <w:pPr>
        <w:spacing w:line="360" w:lineRule="auto"/>
        <w:ind w:firstLine="0"/>
        <w:jc w:val="left"/>
        <w:rPr>
          <w:rFonts w:cs="Arial"/>
          <w:b/>
          <w:bCs/>
          <w:sz w:val="22"/>
        </w:rPr>
      </w:pPr>
      <w:r w:rsidRPr="00647DC0">
        <w:rPr>
          <w:rFonts w:cs="Arial"/>
          <w:b/>
          <w:bCs/>
          <w:sz w:val="22"/>
        </w:rPr>
        <w:lastRenderedPageBreak/>
        <w:t>ABBREVIATIONS</w:t>
      </w:r>
    </w:p>
    <w:tbl>
      <w:tblPr>
        <w:tblStyle w:val="TableGrid"/>
        <w:tblW w:w="0" w:type="auto"/>
        <w:jc w:val="center"/>
        <w:tblLook w:val="04A0" w:firstRow="1" w:lastRow="0" w:firstColumn="1" w:lastColumn="0" w:noHBand="0" w:noVBand="1"/>
      </w:tblPr>
      <w:tblGrid>
        <w:gridCol w:w="1561"/>
        <w:gridCol w:w="4936"/>
      </w:tblGrid>
      <w:tr w:rsidR="00FB4DE5" w:rsidRPr="00647DC0" w14:paraId="3CC08955" w14:textId="77777777" w:rsidTr="008329EE">
        <w:trPr>
          <w:jc w:val="center"/>
        </w:trPr>
        <w:tc>
          <w:tcPr>
            <w:tcW w:w="0" w:type="auto"/>
            <w:hideMark/>
          </w:tcPr>
          <w:p w14:paraId="257D2DF4" w14:textId="77777777" w:rsidR="00FB4DE5" w:rsidRPr="00647DC0" w:rsidRDefault="00FB4DE5" w:rsidP="004C0959">
            <w:pPr>
              <w:spacing w:line="360" w:lineRule="auto"/>
              <w:ind w:firstLine="0"/>
              <w:jc w:val="left"/>
              <w:rPr>
                <w:rFonts w:cs="Arial"/>
                <w:b/>
                <w:bCs/>
                <w:sz w:val="22"/>
              </w:rPr>
            </w:pPr>
            <w:r w:rsidRPr="00647DC0">
              <w:rPr>
                <w:rFonts w:cs="Arial"/>
                <w:b/>
                <w:bCs/>
                <w:sz w:val="22"/>
              </w:rPr>
              <w:t>Abbreviation</w:t>
            </w:r>
          </w:p>
        </w:tc>
        <w:tc>
          <w:tcPr>
            <w:tcW w:w="0" w:type="auto"/>
            <w:hideMark/>
          </w:tcPr>
          <w:p w14:paraId="4E58B910" w14:textId="77777777" w:rsidR="00FB4DE5" w:rsidRPr="00647DC0" w:rsidRDefault="00FB4DE5" w:rsidP="004C0959">
            <w:pPr>
              <w:spacing w:line="360" w:lineRule="auto"/>
              <w:ind w:firstLine="0"/>
              <w:jc w:val="left"/>
              <w:rPr>
                <w:rFonts w:cs="Arial"/>
                <w:b/>
                <w:bCs/>
                <w:sz w:val="22"/>
              </w:rPr>
            </w:pPr>
            <w:r w:rsidRPr="00647DC0">
              <w:rPr>
                <w:rFonts w:cs="Arial"/>
                <w:b/>
                <w:bCs/>
                <w:sz w:val="22"/>
              </w:rPr>
              <w:t>Full Form</w:t>
            </w:r>
          </w:p>
        </w:tc>
      </w:tr>
      <w:tr w:rsidR="00FB4DE5" w:rsidRPr="00647DC0" w14:paraId="68FD72D3" w14:textId="77777777" w:rsidTr="008329EE">
        <w:trPr>
          <w:jc w:val="center"/>
        </w:trPr>
        <w:tc>
          <w:tcPr>
            <w:tcW w:w="0" w:type="auto"/>
            <w:hideMark/>
          </w:tcPr>
          <w:p w14:paraId="416158A5" w14:textId="77777777" w:rsidR="00FB4DE5" w:rsidRPr="00647DC0" w:rsidRDefault="00FB4DE5" w:rsidP="004C0959">
            <w:pPr>
              <w:spacing w:line="360" w:lineRule="auto"/>
              <w:ind w:firstLine="0"/>
              <w:jc w:val="left"/>
              <w:rPr>
                <w:rFonts w:cs="Arial"/>
                <w:sz w:val="22"/>
              </w:rPr>
            </w:pPr>
            <w:r w:rsidRPr="00647DC0">
              <w:rPr>
                <w:rFonts w:cs="Arial"/>
                <w:sz w:val="22"/>
              </w:rPr>
              <w:t>AFDC</w:t>
            </w:r>
          </w:p>
        </w:tc>
        <w:tc>
          <w:tcPr>
            <w:tcW w:w="0" w:type="auto"/>
            <w:hideMark/>
          </w:tcPr>
          <w:p w14:paraId="4E9298D1" w14:textId="77777777" w:rsidR="00FB4DE5" w:rsidRPr="00647DC0" w:rsidRDefault="00FB4DE5" w:rsidP="004C0959">
            <w:pPr>
              <w:spacing w:line="360" w:lineRule="auto"/>
              <w:ind w:firstLine="0"/>
              <w:jc w:val="left"/>
              <w:rPr>
                <w:rFonts w:cs="Arial"/>
                <w:sz w:val="22"/>
              </w:rPr>
            </w:pPr>
            <w:r w:rsidRPr="00647DC0">
              <w:rPr>
                <w:rFonts w:cs="Arial"/>
                <w:sz w:val="22"/>
              </w:rPr>
              <w:t>Alternative Fuels Data Center</w:t>
            </w:r>
          </w:p>
        </w:tc>
      </w:tr>
      <w:tr w:rsidR="00FB4DE5" w:rsidRPr="00647DC0" w14:paraId="5A88472F" w14:textId="77777777" w:rsidTr="008329EE">
        <w:trPr>
          <w:jc w:val="center"/>
        </w:trPr>
        <w:tc>
          <w:tcPr>
            <w:tcW w:w="0" w:type="auto"/>
            <w:hideMark/>
          </w:tcPr>
          <w:p w14:paraId="5E2AEDE1" w14:textId="77777777" w:rsidR="00FB4DE5" w:rsidRPr="00647DC0" w:rsidRDefault="00FB4DE5" w:rsidP="004C0959">
            <w:pPr>
              <w:spacing w:line="360" w:lineRule="auto"/>
              <w:ind w:firstLine="0"/>
              <w:jc w:val="left"/>
              <w:rPr>
                <w:rFonts w:cs="Arial"/>
                <w:sz w:val="22"/>
              </w:rPr>
            </w:pPr>
            <w:r w:rsidRPr="00647DC0">
              <w:rPr>
                <w:rFonts w:cs="Arial"/>
                <w:sz w:val="22"/>
              </w:rPr>
              <w:t>AI</w:t>
            </w:r>
          </w:p>
        </w:tc>
        <w:tc>
          <w:tcPr>
            <w:tcW w:w="0" w:type="auto"/>
            <w:hideMark/>
          </w:tcPr>
          <w:p w14:paraId="2FF4B9CA" w14:textId="77777777" w:rsidR="00FB4DE5" w:rsidRPr="00647DC0" w:rsidRDefault="00FB4DE5" w:rsidP="004C0959">
            <w:pPr>
              <w:spacing w:line="360" w:lineRule="auto"/>
              <w:ind w:firstLine="0"/>
              <w:jc w:val="left"/>
              <w:rPr>
                <w:rFonts w:cs="Arial"/>
                <w:sz w:val="22"/>
              </w:rPr>
            </w:pPr>
            <w:r w:rsidRPr="00647DC0">
              <w:rPr>
                <w:rFonts w:cs="Arial"/>
                <w:sz w:val="22"/>
              </w:rPr>
              <w:t>Artificial Intelligence</w:t>
            </w:r>
          </w:p>
        </w:tc>
      </w:tr>
      <w:tr w:rsidR="00FB4DE5" w:rsidRPr="00647DC0" w14:paraId="75BFE56E" w14:textId="77777777" w:rsidTr="008329EE">
        <w:trPr>
          <w:jc w:val="center"/>
        </w:trPr>
        <w:tc>
          <w:tcPr>
            <w:tcW w:w="0" w:type="auto"/>
            <w:hideMark/>
          </w:tcPr>
          <w:p w14:paraId="391FB6E2" w14:textId="77777777" w:rsidR="00FB4DE5" w:rsidRPr="00647DC0" w:rsidRDefault="00FB4DE5" w:rsidP="004C0959">
            <w:pPr>
              <w:spacing w:line="360" w:lineRule="auto"/>
              <w:ind w:firstLine="0"/>
              <w:jc w:val="left"/>
              <w:rPr>
                <w:rFonts w:cs="Arial"/>
                <w:sz w:val="22"/>
              </w:rPr>
            </w:pPr>
            <w:r w:rsidRPr="00647DC0">
              <w:rPr>
                <w:rFonts w:cs="Arial"/>
                <w:sz w:val="22"/>
              </w:rPr>
              <w:t>BEV</w:t>
            </w:r>
          </w:p>
        </w:tc>
        <w:tc>
          <w:tcPr>
            <w:tcW w:w="0" w:type="auto"/>
            <w:hideMark/>
          </w:tcPr>
          <w:p w14:paraId="10B7C9A8" w14:textId="77777777" w:rsidR="00FB4DE5" w:rsidRPr="00647DC0" w:rsidRDefault="00FB4DE5" w:rsidP="004C0959">
            <w:pPr>
              <w:spacing w:line="360" w:lineRule="auto"/>
              <w:ind w:firstLine="0"/>
              <w:jc w:val="left"/>
              <w:rPr>
                <w:rFonts w:cs="Arial"/>
                <w:sz w:val="22"/>
              </w:rPr>
            </w:pPr>
            <w:r w:rsidRPr="00647DC0">
              <w:rPr>
                <w:rFonts w:cs="Arial"/>
                <w:sz w:val="22"/>
              </w:rPr>
              <w:t>Battery Electric Vehicle</w:t>
            </w:r>
          </w:p>
        </w:tc>
      </w:tr>
      <w:tr w:rsidR="00FB4DE5" w:rsidRPr="00647DC0" w14:paraId="4D16D6CE" w14:textId="77777777" w:rsidTr="008329EE">
        <w:trPr>
          <w:jc w:val="center"/>
        </w:trPr>
        <w:tc>
          <w:tcPr>
            <w:tcW w:w="0" w:type="auto"/>
            <w:hideMark/>
          </w:tcPr>
          <w:p w14:paraId="5DD19E07" w14:textId="77777777" w:rsidR="00FB4DE5" w:rsidRPr="00647DC0" w:rsidRDefault="00FB4DE5" w:rsidP="004C0959">
            <w:pPr>
              <w:spacing w:line="360" w:lineRule="auto"/>
              <w:ind w:firstLine="0"/>
              <w:jc w:val="left"/>
              <w:rPr>
                <w:rFonts w:cs="Arial"/>
                <w:sz w:val="22"/>
              </w:rPr>
            </w:pPr>
            <w:r w:rsidRPr="00647DC0">
              <w:rPr>
                <w:rFonts w:cs="Arial"/>
                <w:sz w:val="22"/>
              </w:rPr>
              <w:t>BYD</w:t>
            </w:r>
          </w:p>
        </w:tc>
        <w:tc>
          <w:tcPr>
            <w:tcW w:w="0" w:type="auto"/>
            <w:hideMark/>
          </w:tcPr>
          <w:p w14:paraId="4DA85021" w14:textId="77777777" w:rsidR="00FB4DE5" w:rsidRPr="00647DC0" w:rsidRDefault="00FB4DE5" w:rsidP="004C0959">
            <w:pPr>
              <w:spacing w:line="360" w:lineRule="auto"/>
              <w:ind w:firstLine="0"/>
              <w:jc w:val="left"/>
              <w:rPr>
                <w:rFonts w:cs="Arial"/>
                <w:sz w:val="22"/>
              </w:rPr>
            </w:pPr>
            <w:r w:rsidRPr="00647DC0">
              <w:rPr>
                <w:rFonts w:cs="Arial"/>
                <w:sz w:val="22"/>
              </w:rPr>
              <w:t>Build Your Dreams</w:t>
            </w:r>
          </w:p>
        </w:tc>
      </w:tr>
      <w:tr w:rsidR="00FB4DE5" w:rsidRPr="00647DC0" w14:paraId="76202927" w14:textId="77777777" w:rsidTr="008329EE">
        <w:trPr>
          <w:jc w:val="center"/>
        </w:trPr>
        <w:tc>
          <w:tcPr>
            <w:tcW w:w="0" w:type="auto"/>
            <w:hideMark/>
          </w:tcPr>
          <w:p w14:paraId="003B8E5B" w14:textId="77777777" w:rsidR="00FB4DE5" w:rsidRPr="00647DC0" w:rsidRDefault="00FB4DE5" w:rsidP="004C0959">
            <w:pPr>
              <w:spacing w:line="360" w:lineRule="auto"/>
              <w:ind w:firstLine="0"/>
              <w:jc w:val="left"/>
              <w:rPr>
                <w:rFonts w:cs="Arial"/>
                <w:sz w:val="22"/>
              </w:rPr>
            </w:pPr>
            <w:r w:rsidRPr="00647DC0">
              <w:rPr>
                <w:rFonts w:cs="Arial"/>
                <w:sz w:val="22"/>
              </w:rPr>
              <w:t>CO</w:t>
            </w:r>
            <w:r w:rsidRPr="00647DC0">
              <w:rPr>
                <w:rFonts w:ascii="Cambria Math" w:hAnsi="Cambria Math" w:cs="Cambria Math"/>
                <w:sz w:val="22"/>
              </w:rPr>
              <w:t>₂</w:t>
            </w:r>
          </w:p>
        </w:tc>
        <w:tc>
          <w:tcPr>
            <w:tcW w:w="0" w:type="auto"/>
            <w:hideMark/>
          </w:tcPr>
          <w:p w14:paraId="07D0F3A8" w14:textId="77777777" w:rsidR="00FB4DE5" w:rsidRPr="00647DC0" w:rsidRDefault="00FB4DE5" w:rsidP="004C0959">
            <w:pPr>
              <w:spacing w:line="360" w:lineRule="auto"/>
              <w:ind w:firstLine="0"/>
              <w:jc w:val="left"/>
              <w:rPr>
                <w:rFonts w:cs="Arial"/>
                <w:sz w:val="22"/>
              </w:rPr>
            </w:pPr>
            <w:r w:rsidRPr="00647DC0">
              <w:rPr>
                <w:rFonts w:cs="Arial"/>
                <w:sz w:val="22"/>
              </w:rPr>
              <w:t>Carbon Dioxide</w:t>
            </w:r>
          </w:p>
        </w:tc>
      </w:tr>
      <w:tr w:rsidR="00FB4DE5" w:rsidRPr="00647DC0" w14:paraId="5B6BBF29" w14:textId="77777777" w:rsidTr="008329EE">
        <w:trPr>
          <w:jc w:val="center"/>
        </w:trPr>
        <w:tc>
          <w:tcPr>
            <w:tcW w:w="0" w:type="auto"/>
            <w:hideMark/>
          </w:tcPr>
          <w:p w14:paraId="4AD7C36E" w14:textId="77777777" w:rsidR="00FB4DE5" w:rsidRPr="00647DC0" w:rsidRDefault="00FB4DE5" w:rsidP="004C0959">
            <w:pPr>
              <w:spacing w:line="360" w:lineRule="auto"/>
              <w:ind w:firstLine="0"/>
              <w:jc w:val="left"/>
              <w:rPr>
                <w:rFonts w:cs="Arial"/>
                <w:sz w:val="22"/>
              </w:rPr>
            </w:pPr>
            <w:r w:rsidRPr="00647DC0">
              <w:rPr>
                <w:rFonts w:cs="Arial"/>
                <w:sz w:val="22"/>
              </w:rPr>
              <w:t>DOE</w:t>
            </w:r>
          </w:p>
        </w:tc>
        <w:tc>
          <w:tcPr>
            <w:tcW w:w="0" w:type="auto"/>
            <w:hideMark/>
          </w:tcPr>
          <w:p w14:paraId="527130D8" w14:textId="77777777" w:rsidR="00FB4DE5" w:rsidRPr="00647DC0" w:rsidRDefault="00FB4DE5" w:rsidP="004C0959">
            <w:pPr>
              <w:spacing w:line="360" w:lineRule="auto"/>
              <w:ind w:firstLine="0"/>
              <w:jc w:val="left"/>
              <w:rPr>
                <w:rFonts w:cs="Arial"/>
                <w:sz w:val="22"/>
              </w:rPr>
            </w:pPr>
            <w:r w:rsidRPr="00647DC0">
              <w:rPr>
                <w:rFonts w:cs="Arial"/>
                <w:sz w:val="22"/>
              </w:rPr>
              <w:t>Department of Energy</w:t>
            </w:r>
          </w:p>
        </w:tc>
      </w:tr>
      <w:tr w:rsidR="00FB4DE5" w:rsidRPr="00647DC0" w14:paraId="15CDCAFD" w14:textId="77777777" w:rsidTr="008329EE">
        <w:trPr>
          <w:jc w:val="center"/>
        </w:trPr>
        <w:tc>
          <w:tcPr>
            <w:tcW w:w="0" w:type="auto"/>
            <w:hideMark/>
          </w:tcPr>
          <w:p w14:paraId="4F9168ED" w14:textId="77777777" w:rsidR="00FB4DE5" w:rsidRPr="00647DC0" w:rsidRDefault="00FB4DE5" w:rsidP="004C0959">
            <w:pPr>
              <w:spacing w:line="360" w:lineRule="auto"/>
              <w:ind w:firstLine="0"/>
              <w:jc w:val="left"/>
              <w:rPr>
                <w:rFonts w:cs="Arial"/>
                <w:sz w:val="22"/>
              </w:rPr>
            </w:pPr>
            <w:r w:rsidRPr="00647DC0">
              <w:rPr>
                <w:rFonts w:cs="Arial"/>
                <w:sz w:val="22"/>
              </w:rPr>
              <w:t>EBIT</w:t>
            </w:r>
          </w:p>
        </w:tc>
        <w:tc>
          <w:tcPr>
            <w:tcW w:w="0" w:type="auto"/>
            <w:hideMark/>
          </w:tcPr>
          <w:p w14:paraId="18732E8E" w14:textId="77777777" w:rsidR="00FB4DE5" w:rsidRPr="00647DC0" w:rsidRDefault="00FB4DE5" w:rsidP="004C0959">
            <w:pPr>
              <w:spacing w:line="360" w:lineRule="auto"/>
              <w:ind w:firstLine="0"/>
              <w:jc w:val="left"/>
              <w:rPr>
                <w:rFonts w:cs="Arial"/>
                <w:sz w:val="22"/>
              </w:rPr>
            </w:pPr>
            <w:r w:rsidRPr="00647DC0">
              <w:rPr>
                <w:rFonts w:cs="Arial"/>
                <w:sz w:val="22"/>
              </w:rPr>
              <w:t>Earnings Before Interest and Tax</w:t>
            </w:r>
          </w:p>
        </w:tc>
      </w:tr>
      <w:tr w:rsidR="00FB4DE5" w:rsidRPr="00647DC0" w14:paraId="1ADA9713" w14:textId="77777777" w:rsidTr="008329EE">
        <w:trPr>
          <w:jc w:val="center"/>
        </w:trPr>
        <w:tc>
          <w:tcPr>
            <w:tcW w:w="0" w:type="auto"/>
            <w:hideMark/>
          </w:tcPr>
          <w:p w14:paraId="12F117BE" w14:textId="77777777" w:rsidR="00FB4DE5" w:rsidRPr="00647DC0" w:rsidRDefault="00FB4DE5" w:rsidP="004C0959">
            <w:pPr>
              <w:spacing w:line="360" w:lineRule="auto"/>
              <w:ind w:firstLine="0"/>
              <w:jc w:val="left"/>
              <w:rPr>
                <w:rFonts w:cs="Arial"/>
                <w:sz w:val="22"/>
              </w:rPr>
            </w:pPr>
            <w:r w:rsidRPr="00647DC0">
              <w:rPr>
                <w:rFonts w:cs="Arial"/>
                <w:sz w:val="22"/>
              </w:rPr>
              <w:t>EPA</w:t>
            </w:r>
          </w:p>
        </w:tc>
        <w:tc>
          <w:tcPr>
            <w:tcW w:w="0" w:type="auto"/>
            <w:hideMark/>
          </w:tcPr>
          <w:p w14:paraId="4628809B" w14:textId="77777777" w:rsidR="00FB4DE5" w:rsidRPr="00647DC0" w:rsidRDefault="00FB4DE5" w:rsidP="004C0959">
            <w:pPr>
              <w:spacing w:line="360" w:lineRule="auto"/>
              <w:ind w:firstLine="0"/>
              <w:jc w:val="left"/>
              <w:rPr>
                <w:rFonts w:cs="Arial"/>
                <w:sz w:val="22"/>
              </w:rPr>
            </w:pPr>
            <w:r w:rsidRPr="00647DC0">
              <w:rPr>
                <w:rFonts w:cs="Arial"/>
                <w:sz w:val="22"/>
              </w:rPr>
              <w:t>Environmental Protection Agency</w:t>
            </w:r>
          </w:p>
        </w:tc>
      </w:tr>
      <w:tr w:rsidR="00FB4DE5" w:rsidRPr="00647DC0" w14:paraId="04220841" w14:textId="77777777" w:rsidTr="008329EE">
        <w:trPr>
          <w:jc w:val="center"/>
        </w:trPr>
        <w:tc>
          <w:tcPr>
            <w:tcW w:w="0" w:type="auto"/>
            <w:hideMark/>
          </w:tcPr>
          <w:p w14:paraId="4EE2626F" w14:textId="77777777" w:rsidR="00FB4DE5" w:rsidRPr="00647DC0" w:rsidRDefault="00FB4DE5" w:rsidP="004C0959">
            <w:pPr>
              <w:spacing w:line="360" w:lineRule="auto"/>
              <w:ind w:firstLine="0"/>
              <w:jc w:val="left"/>
              <w:rPr>
                <w:rFonts w:cs="Arial"/>
                <w:sz w:val="22"/>
              </w:rPr>
            </w:pPr>
            <w:r w:rsidRPr="00647DC0">
              <w:rPr>
                <w:rFonts w:cs="Arial"/>
                <w:sz w:val="22"/>
              </w:rPr>
              <w:t>ESG</w:t>
            </w:r>
          </w:p>
        </w:tc>
        <w:tc>
          <w:tcPr>
            <w:tcW w:w="0" w:type="auto"/>
            <w:hideMark/>
          </w:tcPr>
          <w:p w14:paraId="5DE70E72" w14:textId="77777777" w:rsidR="00FB4DE5" w:rsidRPr="00647DC0" w:rsidRDefault="00FB4DE5" w:rsidP="004C0959">
            <w:pPr>
              <w:spacing w:line="360" w:lineRule="auto"/>
              <w:ind w:firstLine="0"/>
              <w:jc w:val="left"/>
              <w:rPr>
                <w:rFonts w:cs="Arial"/>
                <w:sz w:val="22"/>
              </w:rPr>
            </w:pPr>
            <w:r w:rsidRPr="00647DC0">
              <w:rPr>
                <w:rFonts w:cs="Arial"/>
                <w:sz w:val="22"/>
              </w:rPr>
              <w:t>Environmental, Social and Governance</w:t>
            </w:r>
          </w:p>
        </w:tc>
      </w:tr>
      <w:tr w:rsidR="00FB4DE5" w:rsidRPr="00647DC0" w14:paraId="6371A5FA" w14:textId="77777777" w:rsidTr="008329EE">
        <w:trPr>
          <w:jc w:val="center"/>
        </w:trPr>
        <w:tc>
          <w:tcPr>
            <w:tcW w:w="0" w:type="auto"/>
            <w:hideMark/>
          </w:tcPr>
          <w:p w14:paraId="28A35B1D" w14:textId="77777777" w:rsidR="00FB4DE5" w:rsidRPr="00647DC0" w:rsidRDefault="00FB4DE5" w:rsidP="004C0959">
            <w:pPr>
              <w:spacing w:line="360" w:lineRule="auto"/>
              <w:ind w:firstLine="0"/>
              <w:jc w:val="left"/>
              <w:rPr>
                <w:rFonts w:cs="Arial"/>
                <w:sz w:val="22"/>
              </w:rPr>
            </w:pPr>
            <w:r w:rsidRPr="00647DC0">
              <w:rPr>
                <w:rFonts w:cs="Arial"/>
                <w:sz w:val="22"/>
              </w:rPr>
              <w:t>EV</w:t>
            </w:r>
          </w:p>
        </w:tc>
        <w:tc>
          <w:tcPr>
            <w:tcW w:w="0" w:type="auto"/>
            <w:hideMark/>
          </w:tcPr>
          <w:p w14:paraId="1DEB358A" w14:textId="77777777" w:rsidR="00FB4DE5" w:rsidRPr="00647DC0" w:rsidRDefault="00FB4DE5" w:rsidP="004C0959">
            <w:pPr>
              <w:spacing w:line="360" w:lineRule="auto"/>
              <w:ind w:firstLine="0"/>
              <w:jc w:val="left"/>
              <w:rPr>
                <w:rFonts w:cs="Arial"/>
                <w:sz w:val="22"/>
              </w:rPr>
            </w:pPr>
            <w:r w:rsidRPr="00647DC0">
              <w:rPr>
                <w:rFonts w:cs="Arial"/>
                <w:sz w:val="22"/>
              </w:rPr>
              <w:t>Electric Vehicle</w:t>
            </w:r>
          </w:p>
        </w:tc>
      </w:tr>
      <w:tr w:rsidR="00FB4DE5" w:rsidRPr="00647DC0" w14:paraId="796D61C5" w14:textId="77777777" w:rsidTr="008329EE">
        <w:trPr>
          <w:jc w:val="center"/>
        </w:trPr>
        <w:tc>
          <w:tcPr>
            <w:tcW w:w="0" w:type="auto"/>
            <w:hideMark/>
          </w:tcPr>
          <w:p w14:paraId="19F96687" w14:textId="77777777" w:rsidR="00FB4DE5" w:rsidRPr="00647DC0" w:rsidRDefault="00FB4DE5" w:rsidP="004C0959">
            <w:pPr>
              <w:spacing w:line="360" w:lineRule="auto"/>
              <w:ind w:firstLine="0"/>
              <w:jc w:val="left"/>
              <w:rPr>
                <w:rFonts w:cs="Arial"/>
                <w:sz w:val="22"/>
              </w:rPr>
            </w:pPr>
            <w:r w:rsidRPr="00647DC0">
              <w:rPr>
                <w:rFonts w:cs="Arial"/>
                <w:sz w:val="22"/>
              </w:rPr>
              <w:t>GM</w:t>
            </w:r>
          </w:p>
        </w:tc>
        <w:tc>
          <w:tcPr>
            <w:tcW w:w="0" w:type="auto"/>
            <w:hideMark/>
          </w:tcPr>
          <w:p w14:paraId="0FDF0271" w14:textId="77777777" w:rsidR="00FB4DE5" w:rsidRPr="00647DC0" w:rsidRDefault="00FB4DE5" w:rsidP="004C0959">
            <w:pPr>
              <w:spacing w:line="360" w:lineRule="auto"/>
              <w:ind w:firstLine="0"/>
              <w:jc w:val="left"/>
              <w:rPr>
                <w:rFonts w:cs="Arial"/>
                <w:sz w:val="22"/>
              </w:rPr>
            </w:pPr>
            <w:r w:rsidRPr="00647DC0">
              <w:rPr>
                <w:rFonts w:cs="Arial"/>
                <w:sz w:val="22"/>
              </w:rPr>
              <w:t>General Motors</w:t>
            </w:r>
          </w:p>
        </w:tc>
      </w:tr>
      <w:tr w:rsidR="00FB4DE5" w:rsidRPr="00647DC0" w14:paraId="23BC7082" w14:textId="77777777" w:rsidTr="008329EE">
        <w:trPr>
          <w:jc w:val="center"/>
        </w:trPr>
        <w:tc>
          <w:tcPr>
            <w:tcW w:w="0" w:type="auto"/>
            <w:hideMark/>
          </w:tcPr>
          <w:p w14:paraId="744CAFA9" w14:textId="77777777" w:rsidR="00FB4DE5" w:rsidRPr="00647DC0" w:rsidRDefault="00FB4DE5" w:rsidP="004C0959">
            <w:pPr>
              <w:spacing w:line="360" w:lineRule="auto"/>
              <w:ind w:firstLine="0"/>
              <w:jc w:val="left"/>
              <w:rPr>
                <w:rFonts w:cs="Arial"/>
                <w:sz w:val="22"/>
              </w:rPr>
            </w:pPr>
            <w:r w:rsidRPr="00647DC0">
              <w:rPr>
                <w:rFonts w:cs="Arial"/>
                <w:sz w:val="22"/>
              </w:rPr>
              <w:t>HEV</w:t>
            </w:r>
          </w:p>
        </w:tc>
        <w:tc>
          <w:tcPr>
            <w:tcW w:w="0" w:type="auto"/>
            <w:hideMark/>
          </w:tcPr>
          <w:p w14:paraId="3CFBD238" w14:textId="77777777" w:rsidR="00FB4DE5" w:rsidRPr="00647DC0" w:rsidRDefault="00FB4DE5" w:rsidP="004C0959">
            <w:pPr>
              <w:spacing w:line="360" w:lineRule="auto"/>
              <w:ind w:firstLine="0"/>
              <w:jc w:val="left"/>
              <w:rPr>
                <w:rFonts w:cs="Arial"/>
                <w:sz w:val="22"/>
              </w:rPr>
            </w:pPr>
            <w:r w:rsidRPr="00647DC0">
              <w:rPr>
                <w:rFonts w:cs="Arial"/>
                <w:sz w:val="22"/>
              </w:rPr>
              <w:t>Hybrid Electric Vehicle</w:t>
            </w:r>
          </w:p>
        </w:tc>
      </w:tr>
      <w:tr w:rsidR="00FB4DE5" w:rsidRPr="00647DC0" w14:paraId="33CA9C72" w14:textId="77777777" w:rsidTr="008329EE">
        <w:trPr>
          <w:jc w:val="center"/>
        </w:trPr>
        <w:tc>
          <w:tcPr>
            <w:tcW w:w="0" w:type="auto"/>
            <w:hideMark/>
          </w:tcPr>
          <w:p w14:paraId="0F34ED9E" w14:textId="77777777" w:rsidR="00FB4DE5" w:rsidRPr="00647DC0" w:rsidRDefault="00FB4DE5" w:rsidP="004C0959">
            <w:pPr>
              <w:spacing w:line="360" w:lineRule="auto"/>
              <w:ind w:firstLine="0"/>
              <w:jc w:val="left"/>
              <w:rPr>
                <w:rFonts w:cs="Arial"/>
                <w:sz w:val="22"/>
              </w:rPr>
            </w:pPr>
            <w:r w:rsidRPr="00647DC0">
              <w:rPr>
                <w:rFonts w:cs="Arial"/>
                <w:sz w:val="22"/>
              </w:rPr>
              <w:t>ICE</w:t>
            </w:r>
          </w:p>
        </w:tc>
        <w:tc>
          <w:tcPr>
            <w:tcW w:w="0" w:type="auto"/>
            <w:hideMark/>
          </w:tcPr>
          <w:p w14:paraId="7C8C7753" w14:textId="77777777" w:rsidR="00FB4DE5" w:rsidRPr="00647DC0" w:rsidRDefault="00FB4DE5" w:rsidP="004C0959">
            <w:pPr>
              <w:spacing w:line="360" w:lineRule="auto"/>
              <w:ind w:firstLine="0"/>
              <w:jc w:val="left"/>
              <w:rPr>
                <w:rFonts w:cs="Arial"/>
                <w:sz w:val="22"/>
              </w:rPr>
            </w:pPr>
            <w:r w:rsidRPr="00647DC0">
              <w:rPr>
                <w:rFonts w:cs="Arial"/>
                <w:sz w:val="22"/>
              </w:rPr>
              <w:t>Internal Combustion Engine</w:t>
            </w:r>
          </w:p>
        </w:tc>
      </w:tr>
      <w:tr w:rsidR="00FB4DE5" w:rsidRPr="00647DC0" w14:paraId="1EB0542E" w14:textId="77777777" w:rsidTr="008329EE">
        <w:trPr>
          <w:jc w:val="center"/>
        </w:trPr>
        <w:tc>
          <w:tcPr>
            <w:tcW w:w="0" w:type="auto"/>
            <w:hideMark/>
          </w:tcPr>
          <w:p w14:paraId="7EE08D76" w14:textId="77777777" w:rsidR="00FB4DE5" w:rsidRPr="00647DC0" w:rsidRDefault="00FB4DE5" w:rsidP="004C0959">
            <w:pPr>
              <w:spacing w:line="360" w:lineRule="auto"/>
              <w:ind w:firstLine="0"/>
              <w:jc w:val="left"/>
              <w:rPr>
                <w:rFonts w:cs="Arial"/>
                <w:sz w:val="22"/>
              </w:rPr>
            </w:pPr>
            <w:r w:rsidRPr="00647DC0">
              <w:rPr>
                <w:rFonts w:cs="Arial"/>
                <w:sz w:val="22"/>
              </w:rPr>
              <w:t>ICCT</w:t>
            </w:r>
          </w:p>
        </w:tc>
        <w:tc>
          <w:tcPr>
            <w:tcW w:w="0" w:type="auto"/>
            <w:hideMark/>
          </w:tcPr>
          <w:p w14:paraId="079FF616" w14:textId="77777777" w:rsidR="00FB4DE5" w:rsidRPr="00647DC0" w:rsidRDefault="00FB4DE5" w:rsidP="004C0959">
            <w:pPr>
              <w:spacing w:line="360" w:lineRule="auto"/>
              <w:ind w:firstLine="0"/>
              <w:jc w:val="left"/>
              <w:rPr>
                <w:rFonts w:cs="Arial"/>
                <w:sz w:val="22"/>
              </w:rPr>
            </w:pPr>
            <w:r w:rsidRPr="00647DC0">
              <w:rPr>
                <w:rFonts w:cs="Arial"/>
                <w:sz w:val="22"/>
              </w:rPr>
              <w:t>International Council on Clean Transportation</w:t>
            </w:r>
          </w:p>
        </w:tc>
      </w:tr>
      <w:tr w:rsidR="00FB4DE5" w:rsidRPr="00647DC0" w14:paraId="4995F5E0" w14:textId="77777777" w:rsidTr="008329EE">
        <w:trPr>
          <w:jc w:val="center"/>
        </w:trPr>
        <w:tc>
          <w:tcPr>
            <w:tcW w:w="0" w:type="auto"/>
            <w:hideMark/>
          </w:tcPr>
          <w:p w14:paraId="6D9A264D" w14:textId="77777777" w:rsidR="00FB4DE5" w:rsidRPr="00647DC0" w:rsidRDefault="00FB4DE5" w:rsidP="004C0959">
            <w:pPr>
              <w:spacing w:line="360" w:lineRule="auto"/>
              <w:ind w:firstLine="0"/>
              <w:jc w:val="left"/>
              <w:rPr>
                <w:rFonts w:cs="Arial"/>
                <w:sz w:val="22"/>
              </w:rPr>
            </w:pPr>
            <w:r w:rsidRPr="00647DC0">
              <w:rPr>
                <w:rFonts w:cs="Arial"/>
                <w:sz w:val="22"/>
              </w:rPr>
              <w:t>IEA</w:t>
            </w:r>
          </w:p>
        </w:tc>
        <w:tc>
          <w:tcPr>
            <w:tcW w:w="0" w:type="auto"/>
            <w:hideMark/>
          </w:tcPr>
          <w:p w14:paraId="4DBC3DA6" w14:textId="77777777" w:rsidR="00FB4DE5" w:rsidRPr="00647DC0" w:rsidRDefault="00FB4DE5" w:rsidP="004C0959">
            <w:pPr>
              <w:spacing w:line="360" w:lineRule="auto"/>
              <w:ind w:firstLine="0"/>
              <w:jc w:val="left"/>
              <w:rPr>
                <w:rFonts w:cs="Arial"/>
                <w:sz w:val="22"/>
              </w:rPr>
            </w:pPr>
            <w:r w:rsidRPr="00647DC0">
              <w:rPr>
                <w:rFonts w:cs="Arial"/>
                <w:sz w:val="22"/>
              </w:rPr>
              <w:t>International Energy Agency</w:t>
            </w:r>
          </w:p>
        </w:tc>
      </w:tr>
      <w:tr w:rsidR="00FB4DE5" w:rsidRPr="00647DC0" w14:paraId="0B94E605" w14:textId="77777777" w:rsidTr="008329EE">
        <w:trPr>
          <w:jc w:val="center"/>
        </w:trPr>
        <w:tc>
          <w:tcPr>
            <w:tcW w:w="0" w:type="auto"/>
            <w:hideMark/>
          </w:tcPr>
          <w:p w14:paraId="190673C9" w14:textId="77777777" w:rsidR="00FB4DE5" w:rsidRPr="00647DC0" w:rsidRDefault="00FB4DE5" w:rsidP="004C0959">
            <w:pPr>
              <w:spacing w:line="360" w:lineRule="auto"/>
              <w:ind w:firstLine="0"/>
              <w:jc w:val="left"/>
              <w:rPr>
                <w:rFonts w:cs="Arial"/>
                <w:sz w:val="22"/>
              </w:rPr>
            </w:pPr>
            <w:r w:rsidRPr="00647DC0">
              <w:rPr>
                <w:rFonts w:cs="Arial"/>
                <w:sz w:val="22"/>
              </w:rPr>
              <w:t>IRA</w:t>
            </w:r>
          </w:p>
        </w:tc>
        <w:tc>
          <w:tcPr>
            <w:tcW w:w="0" w:type="auto"/>
            <w:hideMark/>
          </w:tcPr>
          <w:p w14:paraId="27949E98" w14:textId="77777777" w:rsidR="00FB4DE5" w:rsidRPr="00647DC0" w:rsidRDefault="00FB4DE5" w:rsidP="004C0959">
            <w:pPr>
              <w:spacing w:line="360" w:lineRule="auto"/>
              <w:ind w:firstLine="0"/>
              <w:jc w:val="left"/>
              <w:rPr>
                <w:rFonts w:cs="Arial"/>
                <w:sz w:val="22"/>
              </w:rPr>
            </w:pPr>
            <w:r w:rsidRPr="00647DC0">
              <w:rPr>
                <w:rFonts w:cs="Arial"/>
                <w:sz w:val="22"/>
              </w:rPr>
              <w:t>Inflation Reduction Act</w:t>
            </w:r>
          </w:p>
        </w:tc>
      </w:tr>
      <w:tr w:rsidR="00FB4DE5" w:rsidRPr="00647DC0" w14:paraId="5480ED79" w14:textId="77777777" w:rsidTr="008329EE">
        <w:trPr>
          <w:jc w:val="center"/>
        </w:trPr>
        <w:tc>
          <w:tcPr>
            <w:tcW w:w="0" w:type="auto"/>
            <w:hideMark/>
          </w:tcPr>
          <w:p w14:paraId="6A48F527" w14:textId="77777777" w:rsidR="00FB4DE5" w:rsidRPr="00647DC0" w:rsidRDefault="00FB4DE5" w:rsidP="004C0959">
            <w:pPr>
              <w:spacing w:line="360" w:lineRule="auto"/>
              <w:ind w:firstLine="0"/>
              <w:jc w:val="left"/>
              <w:rPr>
                <w:rFonts w:cs="Arial"/>
                <w:sz w:val="22"/>
              </w:rPr>
            </w:pPr>
            <w:r w:rsidRPr="00647DC0">
              <w:rPr>
                <w:rFonts w:cs="Arial"/>
                <w:sz w:val="22"/>
              </w:rPr>
              <w:t>IRS</w:t>
            </w:r>
          </w:p>
        </w:tc>
        <w:tc>
          <w:tcPr>
            <w:tcW w:w="0" w:type="auto"/>
            <w:hideMark/>
          </w:tcPr>
          <w:p w14:paraId="0BF1C0DF" w14:textId="77777777" w:rsidR="00FB4DE5" w:rsidRPr="00647DC0" w:rsidRDefault="00FB4DE5" w:rsidP="004C0959">
            <w:pPr>
              <w:spacing w:line="360" w:lineRule="auto"/>
              <w:ind w:firstLine="0"/>
              <w:jc w:val="left"/>
              <w:rPr>
                <w:rFonts w:cs="Arial"/>
                <w:sz w:val="22"/>
              </w:rPr>
            </w:pPr>
            <w:r w:rsidRPr="00647DC0">
              <w:rPr>
                <w:rFonts w:cs="Arial"/>
                <w:sz w:val="22"/>
              </w:rPr>
              <w:t>Internal Revenue Service</w:t>
            </w:r>
          </w:p>
        </w:tc>
      </w:tr>
      <w:tr w:rsidR="00FB4DE5" w:rsidRPr="00647DC0" w14:paraId="7B28E4AB" w14:textId="77777777" w:rsidTr="008329EE">
        <w:trPr>
          <w:jc w:val="center"/>
        </w:trPr>
        <w:tc>
          <w:tcPr>
            <w:tcW w:w="0" w:type="auto"/>
            <w:hideMark/>
          </w:tcPr>
          <w:p w14:paraId="71231937" w14:textId="77777777" w:rsidR="00FB4DE5" w:rsidRPr="00647DC0" w:rsidRDefault="00FB4DE5" w:rsidP="004C0959">
            <w:pPr>
              <w:spacing w:line="360" w:lineRule="auto"/>
              <w:ind w:firstLine="0"/>
              <w:jc w:val="left"/>
              <w:rPr>
                <w:rFonts w:cs="Arial"/>
                <w:sz w:val="22"/>
              </w:rPr>
            </w:pPr>
            <w:r w:rsidRPr="00647DC0">
              <w:rPr>
                <w:rFonts w:cs="Arial"/>
                <w:sz w:val="22"/>
              </w:rPr>
              <w:t>NACS</w:t>
            </w:r>
          </w:p>
        </w:tc>
        <w:tc>
          <w:tcPr>
            <w:tcW w:w="0" w:type="auto"/>
            <w:hideMark/>
          </w:tcPr>
          <w:p w14:paraId="6A8B4026" w14:textId="77777777" w:rsidR="00FB4DE5" w:rsidRPr="00647DC0" w:rsidRDefault="00FB4DE5" w:rsidP="004C0959">
            <w:pPr>
              <w:spacing w:line="360" w:lineRule="auto"/>
              <w:ind w:firstLine="0"/>
              <w:jc w:val="left"/>
              <w:rPr>
                <w:rFonts w:cs="Arial"/>
                <w:sz w:val="22"/>
              </w:rPr>
            </w:pPr>
            <w:r w:rsidRPr="00647DC0">
              <w:rPr>
                <w:rFonts w:cs="Arial"/>
                <w:sz w:val="22"/>
              </w:rPr>
              <w:t>North American Charging Standard</w:t>
            </w:r>
          </w:p>
        </w:tc>
      </w:tr>
      <w:tr w:rsidR="00FB4DE5" w:rsidRPr="00647DC0" w14:paraId="7FA1C19E" w14:textId="77777777" w:rsidTr="008329EE">
        <w:trPr>
          <w:jc w:val="center"/>
        </w:trPr>
        <w:tc>
          <w:tcPr>
            <w:tcW w:w="0" w:type="auto"/>
            <w:hideMark/>
          </w:tcPr>
          <w:p w14:paraId="6AD95F6B" w14:textId="77777777" w:rsidR="00FB4DE5" w:rsidRPr="00647DC0" w:rsidRDefault="00FB4DE5" w:rsidP="004C0959">
            <w:pPr>
              <w:spacing w:line="360" w:lineRule="auto"/>
              <w:ind w:firstLine="0"/>
              <w:jc w:val="left"/>
              <w:rPr>
                <w:rFonts w:cs="Arial"/>
                <w:sz w:val="22"/>
              </w:rPr>
            </w:pPr>
            <w:r w:rsidRPr="00647DC0">
              <w:rPr>
                <w:rFonts w:cs="Arial"/>
                <w:sz w:val="22"/>
              </w:rPr>
              <w:t>OEM</w:t>
            </w:r>
          </w:p>
        </w:tc>
        <w:tc>
          <w:tcPr>
            <w:tcW w:w="0" w:type="auto"/>
            <w:hideMark/>
          </w:tcPr>
          <w:p w14:paraId="302E69E8" w14:textId="77777777" w:rsidR="00FB4DE5" w:rsidRPr="00647DC0" w:rsidRDefault="00FB4DE5" w:rsidP="004C0959">
            <w:pPr>
              <w:spacing w:line="360" w:lineRule="auto"/>
              <w:ind w:firstLine="0"/>
              <w:jc w:val="left"/>
              <w:rPr>
                <w:rFonts w:cs="Arial"/>
                <w:sz w:val="22"/>
              </w:rPr>
            </w:pPr>
            <w:r w:rsidRPr="00647DC0">
              <w:rPr>
                <w:rFonts w:cs="Arial"/>
                <w:sz w:val="22"/>
              </w:rPr>
              <w:t>Original Equipment Manufacturer</w:t>
            </w:r>
          </w:p>
        </w:tc>
      </w:tr>
      <w:tr w:rsidR="00FB4DE5" w:rsidRPr="00647DC0" w14:paraId="3962BEF8" w14:textId="77777777" w:rsidTr="008329EE">
        <w:trPr>
          <w:jc w:val="center"/>
        </w:trPr>
        <w:tc>
          <w:tcPr>
            <w:tcW w:w="0" w:type="auto"/>
            <w:hideMark/>
          </w:tcPr>
          <w:p w14:paraId="7B8DD084" w14:textId="77777777" w:rsidR="00FB4DE5" w:rsidRPr="00647DC0" w:rsidRDefault="00FB4DE5" w:rsidP="004C0959">
            <w:pPr>
              <w:spacing w:line="360" w:lineRule="auto"/>
              <w:ind w:firstLine="0"/>
              <w:jc w:val="left"/>
              <w:rPr>
                <w:rFonts w:cs="Arial"/>
                <w:sz w:val="22"/>
              </w:rPr>
            </w:pPr>
            <w:r w:rsidRPr="00647DC0">
              <w:rPr>
                <w:rFonts w:cs="Arial"/>
                <w:sz w:val="22"/>
              </w:rPr>
              <w:t>PHEV</w:t>
            </w:r>
          </w:p>
        </w:tc>
        <w:tc>
          <w:tcPr>
            <w:tcW w:w="0" w:type="auto"/>
            <w:hideMark/>
          </w:tcPr>
          <w:p w14:paraId="0A855D8E" w14:textId="77777777" w:rsidR="00FB4DE5" w:rsidRPr="00647DC0" w:rsidRDefault="00FB4DE5" w:rsidP="004C0959">
            <w:pPr>
              <w:spacing w:line="360" w:lineRule="auto"/>
              <w:ind w:firstLine="0"/>
              <w:jc w:val="left"/>
              <w:rPr>
                <w:rFonts w:cs="Arial"/>
                <w:sz w:val="22"/>
              </w:rPr>
            </w:pPr>
            <w:r w:rsidRPr="00647DC0">
              <w:rPr>
                <w:rFonts w:cs="Arial"/>
                <w:sz w:val="22"/>
              </w:rPr>
              <w:t>Plug-in Hybrid Electric Vehicle</w:t>
            </w:r>
          </w:p>
        </w:tc>
      </w:tr>
      <w:tr w:rsidR="00FB4DE5" w:rsidRPr="00647DC0" w14:paraId="17324221" w14:textId="77777777" w:rsidTr="008329EE">
        <w:trPr>
          <w:jc w:val="center"/>
        </w:trPr>
        <w:tc>
          <w:tcPr>
            <w:tcW w:w="0" w:type="auto"/>
            <w:hideMark/>
          </w:tcPr>
          <w:p w14:paraId="1C44F448" w14:textId="77777777" w:rsidR="00FB4DE5" w:rsidRPr="00647DC0" w:rsidRDefault="00FB4DE5" w:rsidP="004C0959">
            <w:pPr>
              <w:spacing w:line="360" w:lineRule="auto"/>
              <w:ind w:firstLine="0"/>
              <w:jc w:val="left"/>
              <w:rPr>
                <w:rFonts w:cs="Arial"/>
                <w:sz w:val="22"/>
              </w:rPr>
            </w:pPr>
            <w:r w:rsidRPr="00647DC0">
              <w:rPr>
                <w:rFonts w:cs="Arial"/>
                <w:sz w:val="22"/>
              </w:rPr>
              <w:t>R&amp;D</w:t>
            </w:r>
          </w:p>
        </w:tc>
        <w:tc>
          <w:tcPr>
            <w:tcW w:w="0" w:type="auto"/>
            <w:hideMark/>
          </w:tcPr>
          <w:p w14:paraId="1C5C2CE0" w14:textId="77777777" w:rsidR="00FB4DE5" w:rsidRPr="00647DC0" w:rsidRDefault="00FB4DE5" w:rsidP="004C0959">
            <w:pPr>
              <w:spacing w:line="360" w:lineRule="auto"/>
              <w:ind w:firstLine="0"/>
              <w:jc w:val="left"/>
              <w:rPr>
                <w:rFonts w:cs="Arial"/>
                <w:sz w:val="22"/>
              </w:rPr>
            </w:pPr>
            <w:r w:rsidRPr="00647DC0">
              <w:rPr>
                <w:rFonts w:cs="Arial"/>
                <w:sz w:val="22"/>
              </w:rPr>
              <w:t>Research and Development</w:t>
            </w:r>
          </w:p>
        </w:tc>
      </w:tr>
      <w:tr w:rsidR="00FB4DE5" w:rsidRPr="00647DC0" w14:paraId="70922374" w14:textId="77777777" w:rsidTr="008329EE">
        <w:trPr>
          <w:jc w:val="center"/>
        </w:trPr>
        <w:tc>
          <w:tcPr>
            <w:tcW w:w="0" w:type="auto"/>
            <w:hideMark/>
          </w:tcPr>
          <w:p w14:paraId="7E1F9AAA" w14:textId="77777777" w:rsidR="00FB4DE5" w:rsidRPr="00647DC0" w:rsidRDefault="00FB4DE5" w:rsidP="004C0959">
            <w:pPr>
              <w:spacing w:line="360" w:lineRule="auto"/>
              <w:ind w:firstLine="0"/>
              <w:jc w:val="left"/>
              <w:rPr>
                <w:rFonts w:cs="Arial"/>
                <w:sz w:val="22"/>
              </w:rPr>
            </w:pPr>
            <w:r w:rsidRPr="00647DC0">
              <w:rPr>
                <w:rFonts w:cs="Arial"/>
                <w:sz w:val="22"/>
              </w:rPr>
              <w:t>TAM</w:t>
            </w:r>
          </w:p>
        </w:tc>
        <w:tc>
          <w:tcPr>
            <w:tcW w:w="0" w:type="auto"/>
            <w:hideMark/>
          </w:tcPr>
          <w:p w14:paraId="1D7D722E" w14:textId="77777777" w:rsidR="00FB4DE5" w:rsidRPr="00647DC0" w:rsidRDefault="00FB4DE5" w:rsidP="004C0959">
            <w:pPr>
              <w:spacing w:line="360" w:lineRule="auto"/>
              <w:ind w:firstLine="0"/>
              <w:jc w:val="left"/>
              <w:rPr>
                <w:rFonts w:cs="Arial"/>
                <w:sz w:val="22"/>
              </w:rPr>
            </w:pPr>
            <w:r w:rsidRPr="00647DC0">
              <w:rPr>
                <w:rFonts w:cs="Arial"/>
                <w:sz w:val="22"/>
              </w:rPr>
              <w:t>Technology Acceptance Model</w:t>
            </w:r>
          </w:p>
        </w:tc>
      </w:tr>
      <w:tr w:rsidR="00FB4DE5" w:rsidRPr="00647DC0" w14:paraId="60ADA04E" w14:textId="77777777" w:rsidTr="008329EE">
        <w:trPr>
          <w:jc w:val="center"/>
        </w:trPr>
        <w:tc>
          <w:tcPr>
            <w:tcW w:w="0" w:type="auto"/>
            <w:hideMark/>
          </w:tcPr>
          <w:p w14:paraId="316703B1" w14:textId="77777777" w:rsidR="00FB4DE5" w:rsidRPr="00647DC0" w:rsidRDefault="00FB4DE5" w:rsidP="004C0959">
            <w:pPr>
              <w:spacing w:line="360" w:lineRule="auto"/>
              <w:ind w:firstLine="0"/>
              <w:jc w:val="left"/>
              <w:rPr>
                <w:rFonts w:cs="Arial"/>
                <w:sz w:val="22"/>
              </w:rPr>
            </w:pPr>
            <w:r w:rsidRPr="00647DC0">
              <w:rPr>
                <w:rFonts w:cs="Arial"/>
                <w:sz w:val="22"/>
              </w:rPr>
              <w:t>UK</w:t>
            </w:r>
          </w:p>
        </w:tc>
        <w:tc>
          <w:tcPr>
            <w:tcW w:w="0" w:type="auto"/>
            <w:hideMark/>
          </w:tcPr>
          <w:p w14:paraId="58055C2A" w14:textId="77777777" w:rsidR="00FB4DE5" w:rsidRPr="00647DC0" w:rsidRDefault="00FB4DE5" w:rsidP="004C0959">
            <w:pPr>
              <w:spacing w:line="360" w:lineRule="auto"/>
              <w:ind w:firstLine="0"/>
              <w:jc w:val="left"/>
              <w:rPr>
                <w:rFonts w:cs="Arial"/>
                <w:sz w:val="22"/>
              </w:rPr>
            </w:pPr>
            <w:r w:rsidRPr="00647DC0">
              <w:rPr>
                <w:rFonts w:cs="Arial"/>
                <w:sz w:val="22"/>
              </w:rPr>
              <w:t>United Kingdom</w:t>
            </w:r>
          </w:p>
        </w:tc>
      </w:tr>
      <w:tr w:rsidR="00FB4DE5" w:rsidRPr="00647DC0" w14:paraId="340B3240" w14:textId="77777777" w:rsidTr="008329EE">
        <w:trPr>
          <w:jc w:val="center"/>
        </w:trPr>
        <w:tc>
          <w:tcPr>
            <w:tcW w:w="0" w:type="auto"/>
            <w:hideMark/>
          </w:tcPr>
          <w:p w14:paraId="7FEBC37F" w14:textId="77777777" w:rsidR="00FB4DE5" w:rsidRPr="00647DC0" w:rsidRDefault="00FB4DE5" w:rsidP="004C0959">
            <w:pPr>
              <w:spacing w:line="360" w:lineRule="auto"/>
              <w:ind w:firstLine="0"/>
              <w:jc w:val="left"/>
              <w:rPr>
                <w:rFonts w:cs="Arial"/>
                <w:sz w:val="22"/>
              </w:rPr>
            </w:pPr>
            <w:r w:rsidRPr="00647DC0">
              <w:rPr>
                <w:rFonts w:cs="Arial"/>
                <w:sz w:val="22"/>
              </w:rPr>
              <w:t>US</w:t>
            </w:r>
          </w:p>
        </w:tc>
        <w:tc>
          <w:tcPr>
            <w:tcW w:w="0" w:type="auto"/>
            <w:hideMark/>
          </w:tcPr>
          <w:p w14:paraId="12B7E64F" w14:textId="77777777" w:rsidR="00FB4DE5" w:rsidRPr="00647DC0" w:rsidRDefault="00FB4DE5" w:rsidP="004C0959">
            <w:pPr>
              <w:spacing w:line="360" w:lineRule="auto"/>
              <w:ind w:firstLine="0"/>
              <w:jc w:val="left"/>
              <w:rPr>
                <w:rFonts w:cs="Arial"/>
                <w:sz w:val="22"/>
              </w:rPr>
            </w:pPr>
            <w:r w:rsidRPr="00647DC0">
              <w:rPr>
                <w:rFonts w:cs="Arial"/>
                <w:sz w:val="22"/>
              </w:rPr>
              <w:t>United States</w:t>
            </w:r>
          </w:p>
        </w:tc>
      </w:tr>
      <w:tr w:rsidR="00FB4DE5" w:rsidRPr="00647DC0" w14:paraId="0A1BE30C" w14:textId="77777777" w:rsidTr="008329EE">
        <w:trPr>
          <w:jc w:val="center"/>
        </w:trPr>
        <w:tc>
          <w:tcPr>
            <w:tcW w:w="0" w:type="auto"/>
            <w:hideMark/>
          </w:tcPr>
          <w:p w14:paraId="2C939B04" w14:textId="77777777" w:rsidR="00FB4DE5" w:rsidRPr="00647DC0" w:rsidRDefault="00FB4DE5" w:rsidP="004C0959">
            <w:pPr>
              <w:spacing w:line="360" w:lineRule="auto"/>
              <w:ind w:firstLine="0"/>
              <w:jc w:val="left"/>
              <w:rPr>
                <w:rFonts w:cs="Arial"/>
                <w:sz w:val="22"/>
              </w:rPr>
            </w:pPr>
            <w:r w:rsidRPr="00647DC0">
              <w:rPr>
                <w:rFonts w:cs="Arial"/>
                <w:sz w:val="22"/>
              </w:rPr>
              <w:t>VUCA</w:t>
            </w:r>
          </w:p>
        </w:tc>
        <w:tc>
          <w:tcPr>
            <w:tcW w:w="0" w:type="auto"/>
            <w:hideMark/>
          </w:tcPr>
          <w:p w14:paraId="35AEB328" w14:textId="77777777" w:rsidR="00FB4DE5" w:rsidRPr="00647DC0" w:rsidRDefault="00FB4DE5" w:rsidP="004C0959">
            <w:pPr>
              <w:spacing w:line="360" w:lineRule="auto"/>
              <w:ind w:firstLine="0"/>
              <w:jc w:val="left"/>
              <w:rPr>
                <w:rFonts w:cs="Arial"/>
                <w:sz w:val="22"/>
              </w:rPr>
            </w:pPr>
            <w:r w:rsidRPr="00647DC0">
              <w:rPr>
                <w:rFonts w:cs="Arial"/>
                <w:sz w:val="22"/>
              </w:rPr>
              <w:t>Volatility, Uncertainty, Complexity and Ambiguity</w:t>
            </w:r>
          </w:p>
        </w:tc>
      </w:tr>
    </w:tbl>
    <w:p w14:paraId="4B43C34F" w14:textId="3A14BAF4" w:rsidR="005B4C73" w:rsidRPr="00647DC0" w:rsidRDefault="005B4C73" w:rsidP="004C0959">
      <w:pPr>
        <w:spacing w:line="360" w:lineRule="auto"/>
        <w:jc w:val="left"/>
        <w:rPr>
          <w:rFonts w:cs="Arial"/>
          <w:sz w:val="22"/>
        </w:rPr>
      </w:pPr>
      <w:r w:rsidRPr="00647DC0">
        <w:rPr>
          <w:rFonts w:cs="Arial"/>
          <w:sz w:val="22"/>
        </w:rPr>
        <w:br w:type="page"/>
      </w:r>
    </w:p>
    <w:p w14:paraId="05386F4F" w14:textId="77777777" w:rsidR="005B4C73" w:rsidRPr="00647DC0" w:rsidRDefault="005B4C73" w:rsidP="004C0959">
      <w:pPr>
        <w:spacing w:line="360" w:lineRule="auto"/>
        <w:ind w:firstLine="0"/>
        <w:jc w:val="left"/>
        <w:rPr>
          <w:rFonts w:cs="Arial"/>
          <w:b/>
          <w:bCs/>
          <w:sz w:val="22"/>
        </w:rPr>
      </w:pPr>
      <w:r w:rsidRPr="00647DC0">
        <w:rPr>
          <w:rFonts w:cs="Arial"/>
          <w:b/>
          <w:bCs/>
          <w:sz w:val="22"/>
        </w:rPr>
        <w:lastRenderedPageBreak/>
        <w:t>ABSTRACT</w:t>
      </w:r>
    </w:p>
    <w:p w14:paraId="3365584F" w14:textId="4ACBEDDE" w:rsidR="007D17C4" w:rsidRPr="00647DC0" w:rsidRDefault="007D17C4" w:rsidP="004C0959">
      <w:pPr>
        <w:spacing w:line="360" w:lineRule="auto"/>
        <w:jc w:val="left"/>
        <w:rPr>
          <w:rFonts w:cs="Arial"/>
          <w:sz w:val="22"/>
        </w:rPr>
      </w:pPr>
      <w:r w:rsidRPr="00647DC0">
        <w:rPr>
          <w:rFonts w:cs="Arial"/>
          <w:sz w:val="22"/>
        </w:rPr>
        <w:t xml:space="preserve">The automotive industry is going through a significant transformation, with electric vehicles, </w:t>
      </w:r>
      <w:r w:rsidR="009F5ADD" w:rsidRPr="00647DC0">
        <w:rPr>
          <w:rFonts w:cs="Arial"/>
          <w:sz w:val="22"/>
        </w:rPr>
        <w:t>digitalisation</w:t>
      </w:r>
      <w:r w:rsidRPr="00647DC0">
        <w:rPr>
          <w:rFonts w:cs="Arial"/>
          <w:sz w:val="22"/>
        </w:rPr>
        <w:t>, sustainability</w:t>
      </w:r>
      <w:r w:rsidR="009F5ADD" w:rsidRPr="00647DC0">
        <w:rPr>
          <w:rFonts w:cs="Arial"/>
          <w:sz w:val="22"/>
        </w:rPr>
        <w:t>,</w:t>
      </w:r>
      <w:r w:rsidRPr="00647DC0">
        <w:rPr>
          <w:rFonts w:cs="Arial"/>
          <w:sz w:val="22"/>
        </w:rPr>
        <w:t xml:space="preserve"> consumer expectations and intense competition playing a major role. As one of the oldest automotive manufacturers globally, Ford Motor Company is up against the difficult task of navigating this transformation while maintaining its stronghold on trucks, commercial vehicles and mass-market mobility. This dissertation examines Ford's leadership and strategic management during the transition to an EV company, specifically consumer perceptions, competitor reactions and the impact of government policy.</w:t>
      </w:r>
    </w:p>
    <w:p w14:paraId="51F98FF6" w14:textId="02D4CBEB" w:rsidR="007D17C4" w:rsidRPr="00647DC0" w:rsidRDefault="009F5ADD" w:rsidP="004C0959">
      <w:pPr>
        <w:spacing w:line="360" w:lineRule="auto"/>
        <w:jc w:val="left"/>
        <w:rPr>
          <w:rFonts w:cs="Arial"/>
          <w:sz w:val="22"/>
        </w:rPr>
      </w:pPr>
      <w:r w:rsidRPr="00647DC0">
        <w:rPr>
          <w:rFonts w:cs="Arial"/>
          <w:sz w:val="22"/>
        </w:rPr>
        <w:t>A secondary</w:t>
      </w:r>
      <w:r w:rsidR="007D17C4" w:rsidRPr="00647DC0">
        <w:rPr>
          <w:rFonts w:cs="Arial"/>
          <w:sz w:val="22"/>
        </w:rPr>
        <w:t xml:space="preserve"> qualitative case study approach was used for this study. Academic literature, Ford corporate reports, industry publications, market research, policy documents and credible media were sources for gathering evidence. Overall, the data were analysed using thematic analysis in order to identify and interpret key patterns. Top themes covered consumer adoption barriers, pricing, charging anxiety, brand identity, competitor positioning, pressures on the battery supply chain and government incentives and policies.</w:t>
      </w:r>
    </w:p>
    <w:p w14:paraId="6E14B239" w14:textId="3133CC69" w:rsidR="007D17C4" w:rsidRPr="00647DC0" w:rsidRDefault="007D17C4" w:rsidP="004C0959">
      <w:pPr>
        <w:spacing w:line="360" w:lineRule="auto"/>
        <w:jc w:val="left"/>
        <w:rPr>
          <w:rFonts w:cs="Arial"/>
          <w:sz w:val="22"/>
        </w:rPr>
      </w:pPr>
      <w:r w:rsidRPr="00647DC0">
        <w:rPr>
          <w:rFonts w:cs="Arial"/>
          <w:sz w:val="22"/>
        </w:rPr>
        <w:t xml:space="preserve">The results indicate a possible Ford EV transition, albeit a </w:t>
      </w:r>
      <w:r w:rsidR="009F5ADD" w:rsidRPr="00647DC0">
        <w:rPr>
          <w:rFonts w:cs="Arial"/>
          <w:sz w:val="22"/>
        </w:rPr>
        <w:t>business-difficult</w:t>
      </w:r>
      <w:r w:rsidRPr="00647DC0">
        <w:rPr>
          <w:rFonts w:cs="Arial"/>
          <w:sz w:val="22"/>
        </w:rPr>
        <w:t xml:space="preserve"> one. Ford has introduced familiar EV and hybrid models, such as the Mustang Mach-E</w:t>
      </w:r>
      <w:r w:rsidR="009F5ADD" w:rsidRPr="00647DC0">
        <w:rPr>
          <w:rFonts w:cs="Arial"/>
          <w:sz w:val="22"/>
        </w:rPr>
        <w:t>,</w:t>
      </w:r>
      <w:r w:rsidRPr="00647DC0">
        <w:rPr>
          <w:rFonts w:cs="Arial"/>
          <w:sz w:val="22"/>
        </w:rPr>
        <w:t xml:space="preserve"> F-150 Lightning and E-Transit, and seen both EV and hybrid sales increase. But the company still suffers from high EV losses, consumer reluctance, limited charging stations and fierce competition from Tesla, General Motors, BYD and Toyota. It also revealed that government incentives and emissions policies help Ford's EV plans, while domestic-content requirements add to strategic complexities.</w:t>
      </w:r>
    </w:p>
    <w:p w14:paraId="4680331A" w14:textId="2B061717" w:rsidR="00FB4DE5" w:rsidRPr="00647DC0" w:rsidRDefault="007D17C4" w:rsidP="004C0959">
      <w:pPr>
        <w:spacing w:line="360" w:lineRule="auto"/>
        <w:jc w:val="left"/>
        <w:rPr>
          <w:rFonts w:cs="Arial"/>
          <w:sz w:val="22"/>
        </w:rPr>
      </w:pPr>
      <w:r w:rsidRPr="00647DC0">
        <w:rPr>
          <w:rFonts w:cs="Arial"/>
          <w:sz w:val="22"/>
        </w:rPr>
        <w:t>The dissertation's conclusion is that Ford should not copy a single competitor. Rather, it should follow a differentiated electrification strategy that incorporates cost-effective EV platform choices, hybrid transition management, Ford Pro commercial electrification, charging confidence and localisation of the battery supply-chain. The study will help legacy automotive companies to strategically adapt, innovate from their customers' point of view and lead the transformation of technology into a discipline.</w:t>
      </w:r>
    </w:p>
    <w:p w14:paraId="18E4CE2F" w14:textId="77777777" w:rsidR="00FB4DE5" w:rsidRPr="00647DC0" w:rsidRDefault="00FB4DE5" w:rsidP="004C0959">
      <w:pPr>
        <w:spacing w:before="0" w:after="160" w:line="360" w:lineRule="auto"/>
        <w:ind w:firstLine="0"/>
        <w:contextualSpacing w:val="0"/>
        <w:jc w:val="left"/>
        <w:rPr>
          <w:rFonts w:cs="Arial"/>
          <w:sz w:val="22"/>
        </w:rPr>
      </w:pPr>
      <w:r w:rsidRPr="00647DC0">
        <w:rPr>
          <w:rFonts w:cs="Arial"/>
          <w:sz w:val="22"/>
        </w:rPr>
        <w:br w:type="page"/>
      </w:r>
    </w:p>
    <w:sdt>
      <w:sdtPr>
        <w:rPr>
          <w:rFonts w:ascii="Arial" w:eastAsiaTheme="minorHAnsi" w:hAnsi="Arial" w:cs="Arial"/>
          <w:b/>
          <w:bCs/>
          <w:color w:val="auto"/>
          <w:sz w:val="22"/>
          <w:szCs w:val="22"/>
          <w:lang w:val="en-GB"/>
          <w14:ligatures w14:val="standardContextual"/>
        </w:rPr>
        <w:id w:val="1117711121"/>
        <w:docPartObj>
          <w:docPartGallery w:val="Table of Contents"/>
          <w:docPartUnique/>
        </w:docPartObj>
      </w:sdtPr>
      <w:sdtEndPr>
        <w:rPr>
          <w:noProof/>
        </w:rPr>
      </w:sdtEndPr>
      <w:sdtContent>
        <w:p w14:paraId="6FD82802" w14:textId="3E6AC688" w:rsidR="00FB4DE5" w:rsidRPr="00647DC0" w:rsidRDefault="00FB4DE5" w:rsidP="004C0959">
          <w:pPr>
            <w:pStyle w:val="TOCHeading"/>
            <w:spacing w:line="360" w:lineRule="auto"/>
            <w:rPr>
              <w:rFonts w:ascii="Arial" w:hAnsi="Arial" w:cs="Arial"/>
              <w:b/>
              <w:bCs/>
              <w:color w:val="auto"/>
              <w:sz w:val="22"/>
              <w:szCs w:val="22"/>
            </w:rPr>
          </w:pPr>
          <w:r w:rsidRPr="00647DC0">
            <w:rPr>
              <w:rFonts w:ascii="Arial" w:hAnsi="Arial" w:cs="Arial"/>
              <w:b/>
              <w:bCs/>
              <w:color w:val="auto"/>
              <w:sz w:val="22"/>
              <w:szCs w:val="22"/>
            </w:rPr>
            <w:t>Table of Contents</w:t>
          </w:r>
        </w:p>
        <w:p w14:paraId="0B1DC1E9" w14:textId="1A9215F1" w:rsidR="009654F0" w:rsidRDefault="00FB4DE5">
          <w:pPr>
            <w:pStyle w:val="TOC1"/>
            <w:tabs>
              <w:tab w:val="right" w:leader="dot" w:pos="9350"/>
            </w:tabs>
            <w:rPr>
              <w:rFonts w:asciiTheme="minorHAnsi" w:eastAsiaTheme="minorEastAsia" w:hAnsiTheme="minorHAnsi"/>
              <w:noProof/>
              <w:kern w:val="2"/>
              <w:szCs w:val="24"/>
              <w:lang w:val="en-US"/>
            </w:rPr>
          </w:pPr>
          <w:r w:rsidRPr="00647DC0">
            <w:rPr>
              <w:rFonts w:cs="Arial"/>
              <w:sz w:val="22"/>
            </w:rPr>
            <w:fldChar w:fldCharType="begin"/>
          </w:r>
          <w:r w:rsidRPr="00647DC0">
            <w:rPr>
              <w:rFonts w:cs="Arial"/>
              <w:sz w:val="22"/>
            </w:rPr>
            <w:instrText xml:space="preserve"> TOC \o "1-3" \h \z \u </w:instrText>
          </w:r>
          <w:r w:rsidRPr="00647DC0">
            <w:rPr>
              <w:rFonts w:cs="Arial"/>
              <w:sz w:val="22"/>
            </w:rPr>
            <w:fldChar w:fldCharType="separate"/>
          </w:r>
          <w:hyperlink w:anchor="_Toc235296671" w:history="1">
            <w:r w:rsidR="009654F0" w:rsidRPr="00607D22">
              <w:rPr>
                <w:rStyle w:val="Hyperlink"/>
                <w:rFonts w:cs="Arial"/>
                <w:noProof/>
              </w:rPr>
              <w:t>Chapter 1: Introduction</w:t>
            </w:r>
            <w:r w:rsidR="009654F0">
              <w:rPr>
                <w:noProof/>
                <w:webHidden/>
              </w:rPr>
              <w:tab/>
            </w:r>
            <w:r w:rsidR="009654F0">
              <w:rPr>
                <w:noProof/>
                <w:webHidden/>
              </w:rPr>
              <w:fldChar w:fldCharType="begin"/>
            </w:r>
            <w:r w:rsidR="009654F0">
              <w:rPr>
                <w:noProof/>
                <w:webHidden/>
              </w:rPr>
              <w:instrText xml:space="preserve"> PAGEREF _Toc235296671 \h </w:instrText>
            </w:r>
            <w:r w:rsidR="009654F0">
              <w:rPr>
                <w:noProof/>
                <w:webHidden/>
              </w:rPr>
            </w:r>
            <w:r w:rsidR="009654F0">
              <w:rPr>
                <w:noProof/>
                <w:webHidden/>
              </w:rPr>
              <w:fldChar w:fldCharType="separate"/>
            </w:r>
            <w:r w:rsidR="009654F0">
              <w:rPr>
                <w:noProof/>
                <w:webHidden/>
              </w:rPr>
              <w:t>10</w:t>
            </w:r>
            <w:r w:rsidR="009654F0">
              <w:rPr>
                <w:noProof/>
                <w:webHidden/>
              </w:rPr>
              <w:fldChar w:fldCharType="end"/>
            </w:r>
          </w:hyperlink>
        </w:p>
        <w:p w14:paraId="0FA4AF0F" w14:textId="1E564D72"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72" w:history="1">
            <w:r w:rsidRPr="00607D22">
              <w:rPr>
                <w:rStyle w:val="Hyperlink"/>
                <w:rFonts w:cs="Arial"/>
                <w:noProof/>
              </w:rPr>
              <w:t>1.1 Introduction</w:t>
            </w:r>
            <w:r>
              <w:rPr>
                <w:noProof/>
                <w:webHidden/>
              </w:rPr>
              <w:tab/>
            </w:r>
            <w:r>
              <w:rPr>
                <w:noProof/>
                <w:webHidden/>
              </w:rPr>
              <w:fldChar w:fldCharType="begin"/>
            </w:r>
            <w:r>
              <w:rPr>
                <w:noProof/>
                <w:webHidden/>
              </w:rPr>
              <w:instrText xml:space="preserve"> PAGEREF _Toc235296672 \h </w:instrText>
            </w:r>
            <w:r>
              <w:rPr>
                <w:noProof/>
                <w:webHidden/>
              </w:rPr>
            </w:r>
            <w:r>
              <w:rPr>
                <w:noProof/>
                <w:webHidden/>
              </w:rPr>
              <w:fldChar w:fldCharType="separate"/>
            </w:r>
            <w:r>
              <w:rPr>
                <w:noProof/>
                <w:webHidden/>
              </w:rPr>
              <w:t>10</w:t>
            </w:r>
            <w:r>
              <w:rPr>
                <w:noProof/>
                <w:webHidden/>
              </w:rPr>
              <w:fldChar w:fldCharType="end"/>
            </w:r>
          </w:hyperlink>
        </w:p>
        <w:p w14:paraId="3BDC9AC1" w14:textId="60A1A794"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73" w:history="1">
            <w:r w:rsidRPr="00607D22">
              <w:rPr>
                <w:rStyle w:val="Hyperlink"/>
                <w:rFonts w:cs="Arial"/>
                <w:noProof/>
              </w:rPr>
              <w:t>1.2 Background</w:t>
            </w:r>
            <w:r>
              <w:rPr>
                <w:noProof/>
                <w:webHidden/>
              </w:rPr>
              <w:tab/>
            </w:r>
            <w:r>
              <w:rPr>
                <w:noProof/>
                <w:webHidden/>
              </w:rPr>
              <w:fldChar w:fldCharType="begin"/>
            </w:r>
            <w:r>
              <w:rPr>
                <w:noProof/>
                <w:webHidden/>
              </w:rPr>
              <w:instrText xml:space="preserve"> PAGEREF _Toc235296673 \h </w:instrText>
            </w:r>
            <w:r>
              <w:rPr>
                <w:noProof/>
                <w:webHidden/>
              </w:rPr>
            </w:r>
            <w:r>
              <w:rPr>
                <w:noProof/>
                <w:webHidden/>
              </w:rPr>
              <w:fldChar w:fldCharType="separate"/>
            </w:r>
            <w:r>
              <w:rPr>
                <w:noProof/>
                <w:webHidden/>
              </w:rPr>
              <w:t>10</w:t>
            </w:r>
            <w:r>
              <w:rPr>
                <w:noProof/>
                <w:webHidden/>
              </w:rPr>
              <w:fldChar w:fldCharType="end"/>
            </w:r>
          </w:hyperlink>
        </w:p>
        <w:p w14:paraId="1929C2D2" w14:textId="7D211351"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74" w:history="1">
            <w:r w:rsidRPr="00607D22">
              <w:rPr>
                <w:rStyle w:val="Hyperlink"/>
                <w:noProof/>
              </w:rPr>
              <w:t>Figure 1.1: Conceptual overview of the factors influencing Ford Motor Company's leadership and strategic management during technological and organisational transformation.</w:t>
            </w:r>
            <w:r>
              <w:rPr>
                <w:noProof/>
                <w:webHidden/>
              </w:rPr>
              <w:tab/>
            </w:r>
            <w:r>
              <w:rPr>
                <w:noProof/>
                <w:webHidden/>
              </w:rPr>
              <w:fldChar w:fldCharType="begin"/>
            </w:r>
            <w:r>
              <w:rPr>
                <w:noProof/>
                <w:webHidden/>
              </w:rPr>
              <w:instrText xml:space="preserve"> PAGEREF _Toc235296674 \h </w:instrText>
            </w:r>
            <w:r>
              <w:rPr>
                <w:noProof/>
                <w:webHidden/>
              </w:rPr>
            </w:r>
            <w:r>
              <w:rPr>
                <w:noProof/>
                <w:webHidden/>
              </w:rPr>
              <w:fldChar w:fldCharType="separate"/>
            </w:r>
            <w:r>
              <w:rPr>
                <w:noProof/>
                <w:webHidden/>
              </w:rPr>
              <w:t>12</w:t>
            </w:r>
            <w:r>
              <w:rPr>
                <w:noProof/>
                <w:webHidden/>
              </w:rPr>
              <w:fldChar w:fldCharType="end"/>
            </w:r>
          </w:hyperlink>
        </w:p>
        <w:p w14:paraId="7223AA8F" w14:textId="069CC70C"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75" w:history="1">
            <w:r w:rsidRPr="00607D22">
              <w:rPr>
                <w:rStyle w:val="Hyperlink"/>
                <w:rFonts w:cs="Arial"/>
                <w:noProof/>
              </w:rPr>
              <w:t>1.3 Research Aim</w:t>
            </w:r>
            <w:r>
              <w:rPr>
                <w:noProof/>
                <w:webHidden/>
              </w:rPr>
              <w:tab/>
            </w:r>
            <w:r>
              <w:rPr>
                <w:noProof/>
                <w:webHidden/>
              </w:rPr>
              <w:fldChar w:fldCharType="begin"/>
            </w:r>
            <w:r>
              <w:rPr>
                <w:noProof/>
                <w:webHidden/>
              </w:rPr>
              <w:instrText xml:space="preserve"> PAGEREF _Toc235296675 \h </w:instrText>
            </w:r>
            <w:r>
              <w:rPr>
                <w:noProof/>
                <w:webHidden/>
              </w:rPr>
            </w:r>
            <w:r>
              <w:rPr>
                <w:noProof/>
                <w:webHidden/>
              </w:rPr>
              <w:fldChar w:fldCharType="separate"/>
            </w:r>
            <w:r>
              <w:rPr>
                <w:noProof/>
                <w:webHidden/>
              </w:rPr>
              <w:t>12</w:t>
            </w:r>
            <w:r>
              <w:rPr>
                <w:noProof/>
                <w:webHidden/>
              </w:rPr>
              <w:fldChar w:fldCharType="end"/>
            </w:r>
          </w:hyperlink>
        </w:p>
        <w:p w14:paraId="5D531999" w14:textId="008A7731"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76" w:history="1">
            <w:r w:rsidRPr="00607D22">
              <w:rPr>
                <w:rStyle w:val="Hyperlink"/>
                <w:rFonts w:cs="Arial"/>
                <w:noProof/>
              </w:rPr>
              <w:t>1.4 Research Objectives</w:t>
            </w:r>
            <w:r>
              <w:rPr>
                <w:noProof/>
                <w:webHidden/>
              </w:rPr>
              <w:tab/>
            </w:r>
            <w:r>
              <w:rPr>
                <w:noProof/>
                <w:webHidden/>
              </w:rPr>
              <w:fldChar w:fldCharType="begin"/>
            </w:r>
            <w:r>
              <w:rPr>
                <w:noProof/>
                <w:webHidden/>
              </w:rPr>
              <w:instrText xml:space="preserve"> PAGEREF _Toc235296676 \h </w:instrText>
            </w:r>
            <w:r>
              <w:rPr>
                <w:noProof/>
                <w:webHidden/>
              </w:rPr>
            </w:r>
            <w:r>
              <w:rPr>
                <w:noProof/>
                <w:webHidden/>
              </w:rPr>
              <w:fldChar w:fldCharType="separate"/>
            </w:r>
            <w:r>
              <w:rPr>
                <w:noProof/>
                <w:webHidden/>
              </w:rPr>
              <w:t>12</w:t>
            </w:r>
            <w:r>
              <w:rPr>
                <w:noProof/>
                <w:webHidden/>
              </w:rPr>
              <w:fldChar w:fldCharType="end"/>
            </w:r>
          </w:hyperlink>
        </w:p>
        <w:p w14:paraId="5809E0EA" w14:textId="5B90D815"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77" w:history="1">
            <w:r w:rsidRPr="00607D22">
              <w:rPr>
                <w:rStyle w:val="Hyperlink"/>
                <w:rFonts w:cs="Arial"/>
                <w:noProof/>
              </w:rPr>
              <w:t>1.5 Research Questions</w:t>
            </w:r>
            <w:r>
              <w:rPr>
                <w:noProof/>
                <w:webHidden/>
              </w:rPr>
              <w:tab/>
            </w:r>
            <w:r>
              <w:rPr>
                <w:noProof/>
                <w:webHidden/>
              </w:rPr>
              <w:fldChar w:fldCharType="begin"/>
            </w:r>
            <w:r>
              <w:rPr>
                <w:noProof/>
                <w:webHidden/>
              </w:rPr>
              <w:instrText xml:space="preserve"> PAGEREF _Toc235296677 \h </w:instrText>
            </w:r>
            <w:r>
              <w:rPr>
                <w:noProof/>
                <w:webHidden/>
              </w:rPr>
            </w:r>
            <w:r>
              <w:rPr>
                <w:noProof/>
                <w:webHidden/>
              </w:rPr>
              <w:fldChar w:fldCharType="separate"/>
            </w:r>
            <w:r>
              <w:rPr>
                <w:noProof/>
                <w:webHidden/>
              </w:rPr>
              <w:t>12</w:t>
            </w:r>
            <w:r>
              <w:rPr>
                <w:noProof/>
                <w:webHidden/>
              </w:rPr>
              <w:fldChar w:fldCharType="end"/>
            </w:r>
          </w:hyperlink>
        </w:p>
        <w:p w14:paraId="0E066526" w14:textId="50C5710B"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78" w:history="1">
            <w:r w:rsidRPr="00607D22">
              <w:rPr>
                <w:rStyle w:val="Hyperlink"/>
                <w:rFonts w:cs="Arial"/>
                <w:noProof/>
              </w:rPr>
              <w:t>1.6 Chapter Summary</w:t>
            </w:r>
            <w:r>
              <w:rPr>
                <w:noProof/>
                <w:webHidden/>
              </w:rPr>
              <w:tab/>
            </w:r>
            <w:r>
              <w:rPr>
                <w:noProof/>
                <w:webHidden/>
              </w:rPr>
              <w:fldChar w:fldCharType="begin"/>
            </w:r>
            <w:r>
              <w:rPr>
                <w:noProof/>
                <w:webHidden/>
              </w:rPr>
              <w:instrText xml:space="preserve"> PAGEREF _Toc235296678 \h </w:instrText>
            </w:r>
            <w:r>
              <w:rPr>
                <w:noProof/>
                <w:webHidden/>
              </w:rPr>
            </w:r>
            <w:r>
              <w:rPr>
                <w:noProof/>
                <w:webHidden/>
              </w:rPr>
              <w:fldChar w:fldCharType="separate"/>
            </w:r>
            <w:r>
              <w:rPr>
                <w:noProof/>
                <w:webHidden/>
              </w:rPr>
              <w:t>13</w:t>
            </w:r>
            <w:r>
              <w:rPr>
                <w:noProof/>
                <w:webHidden/>
              </w:rPr>
              <w:fldChar w:fldCharType="end"/>
            </w:r>
          </w:hyperlink>
        </w:p>
        <w:p w14:paraId="26632B1D" w14:textId="156D1787" w:rsidR="009654F0" w:rsidRDefault="009654F0">
          <w:pPr>
            <w:pStyle w:val="TOC1"/>
            <w:tabs>
              <w:tab w:val="right" w:leader="dot" w:pos="9350"/>
            </w:tabs>
            <w:rPr>
              <w:rFonts w:asciiTheme="minorHAnsi" w:eastAsiaTheme="minorEastAsia" w:hAnsiTheme="minorHAnsi"/>
              <w:noProof/>
              <w:kern w:val="2"/>
              <w:szCs w:val="24"/>
              <w:lang w:val="en-US"/>
            </w:rPr>
          </w:pPr>
          <w:hyperlink w:anchor="_Toc235296679" w:history="1">
            <w:r w:rsidRPr="00607D22">
              <w:rPr>
                <w:rStyle w:val="Hyperlink"/>
                <w:rFonts w:cs="Arial"/>
                <w:noProof/>
              </w:rPr>
              <w:t>Chapter 2: Literature Review</w:t>
            </w:r>
            <w:r>
              <w:rPr>
                <w:noProof/>
                <w:webHidden/>
              </w:rPr>
              <w:tab/>
            </w:r>
            <w:r>
              <w:rPr>
                <w:noProof/>
                <w:webHidden/>
              </w:rPr>
              <w:fldChar w:fldCharType="begin"/>
            </w:r>
            <w:r>
              <w:rPr>
                <w:noProof/>
                <w:webHidden/>
              </w:rPr>
              <w:instrText xml:space="preserve"> PAGEREF _Toc235296679 \h </w:instrText>
            </w:r>
            <w:r>
              <w:rPr>
                <w:noProof/>
                <w:webHidden/>
              </w:rPr>
            </w:r>
            <w:r>
              <w:rPr>
                <w:noProof/>
                <w:webHidden/>
              </w:rPr>
              <w:fldChar w:fldCharType="separate"/>
            </w:r>
            <w:r>
              <w:rPr>
                <w:noProof/>
                <w:webHidden/>
              </w:rPr>
              <w:t>14</w:t>
            </w:r>
            <w:r>
              <w:rPr>
                <w:noProof/>
                <w:webHidden/>
              </w:rPr>
              <w:fldChar w:fldCharType="end"/>
            </w:r>
          </w:hyperlink>
        </w:p>
        <w:p w14:paraId="4579B5E0" w14:textId="618E4826"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0" w:history="1">
            <w:r w:rsidRPr="00607D22">
              <w:rPr>
                <w:rStyle w:val="Hyperlink"/>
                <w:rFonts w:cs="Arial"/>
                <w:noProof/>
              </w:rPr>
              <w:t>2.1 Introduction to the Literature Review</w:t>
            </w:r>
            <w:r>
              <w:rPr>
                <w:noProof/>
                <w:webHidden/>
              </w:rPr>
              <w:tab/>
            </w:r>
            <w:r>
              <w:rPr>
                <w:noProof/>
                <w:webHidden/>
              </w:rPr>
              <w:fldChar w:fldCharType="begin"/>
            </w:r>
            <w:r>
              <w:rPr>
                <w:noProof/>
                <w:webHidden/>
              </w:rPr>
              <w:instrText xml:space="preserve"> PAGEREF _Toc235296680 \h </w:instrText>
            </w:r>
            <w:r>
              <w:rPr>
                <w:noProof/>
                <w:webHidden/>
              </w:rPr>
            </w:r>
            <w:r>
              <w:rPr>
                <w:noProof/>
                <w:webHidden/>
              </w:rPr>
              <w:fldChar w:fldCharType="separate"/>
            </w:r>
            <w:r>
              <w:rPr>
                <w:noProof/>
                <w:webHidden/>
              </w:rPr>
              <w:t>14</w:t>
            </w:r>
            <w:r>
              <w:rPr>
                <w:noProof/>
                <w:webHidden/>
              </w:rPr>
              <w:fldChar w:fldCharType="end"/>
            </w:r>
          </w:hyperlink>
        </w:p>
        <w:p w14:paraId="69433102" w14:textId="0D93706B"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1" w:history="1">
            <w:r w:rsidRPr="00607D22">
              <w:rPr>
                <w:rStyle w:val="Hyperlink"/>
                <w:rFonts w:cs="Arial"/>
                <w:noProof/>
              </w:rPr>
              <w:t>2.2 Theoretical Framework</w:t>
            </w:r>
            <w:r>
              <w:rPr>
                <w:noProof/>
                <w:webHidden/>
              </w:rPr>
              <w:tab/>
            </w:r>
            <w:r>
              <w:rPr>
                <w:noProof/>
                <w:webHidden/>
              </w:rPr>
              <w:fldChar w:fldCharType="begin"/>
            </w:r>
            <w:r>
              <w:rPr>
                <w:noProof/>
                <w:webHidden/>
              </w:rPr>
              <w:instrText xml:space="preserve"> PAGEREF _Toc235296681 \h </w:instrText>
            </w:r>
            <w:r>
              <w:rPr>
                <w:noProof/>
                <w:webHidden/>
              </w:rPr>
            </w:r>
            <w:r>
              <w:rPr>
                <w:noProof/>
                <w:webHidden/>
              </w:rPr>
              <w:fldChar w:fldCharType="separate"/>
            </w:r>
            <w:r>
              <w:rPr>
                <w:noProof/>
                <w:webHidden/>
              </w:rPr>
              <w:t>14</w:t>
            </w:r>
            <w:r>
              <w:rPr>
                <w:noProof/>
                <w:webHidden/>
              </w:rPr>
              <w:fldChar w:fldCharType="end"/>
            </w:r>
          </w:hyperlink>
        </w:p>
        <w:p w14:paraId="51BC0360" w14:textId="4BD3F945"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2" w:history="1">
            <w:r w:rsidRPr="00607D22">
              <w:rPr>
                <w:rStyle w:val="Hyperlink"/>
                <w:rFonts w:cs="Arial"/>
                <w:noProof/>
              </w:rPr>
              <w:t>2.3 Consumer Adoption of Electric Vehicles</w:t>
            </w:r>
            <w:r>
              <w:rPr>
                <w:noProof/>
                <w:webHidden/>
              </w:rPr>
              <w:tab/>
            </w:r>
            <w:r>
              <w:rPr>
                <w:noProof/>
                <w:webHidden/>
              </w:rPr>
              <w:fldChar w:fldCharType="begin"/>
            </w:r>
            <w:r>
              <w:rPr>
                <w:noProof/>
                <w:webHidden/>
              </w:rPr>
              <w:instrText xml:space="preserve"> PAGEREF _Toc235296682 \h </w:instrText>
            </w:r>
            <w:r>
              <w:rPr>
                <w:noProof/>
                <w:webHidden/>
              </w:rPr>
            </w:r>
            <w:r>
              <w:rPr>
                <w:noProof/>
                <w:webHidden/>
              </w:rPr>
              <w:fldChar w:fldCharType="separate"/>
            </w:r>
            <w:r>
              <w:rPr>
                <w:noProof/>
                <w:webHidden/>
              </w:rPr>
              <w:t>14</w:t>
            </w:r>
            <w:r>
              <w:rPr>
                <w:noProof/>
                <w:webHidden/>
              </w:rPr>
              <w:fldChar w:fldCharType="end"/>
            </w:r>
          </w:hyperlink>
        </w:p>
        <w:p w14:paraId="34DA5810" w14:textId="336CC20A"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3" w:history="1">
            <w:r w:rsidRPr="00607D22">
              <w:rPr>
                <w:rStyle w:val="Hyperlink"/>
                <w:rFonts w:cs="Arial"/>
                <w:noProof/>
              </w:rPr>
              <w:t>2.4 Competitive Landscape of the EV Market</w:t>
            </w:r>
            <w:r>
              <w:rPr>
                <w:noProof/>
                <w:webHidden/>
              </w:rPr>
              <w:tab/>
            </w:r>
            <w:r>
              <w:rPr>
                <w:noProof/>
                <w:webHidden/>
              </w:rPr>
              <w:fldChar w:fldCharType="begin"/>
            </w:r>
            <w:r>
              <w:rPr>
                <w:noProof/>
                <w:webHidden/>
              </w:rPr>
              <w:instrText xml:space="preserve"> PAGEREF _Toc235296683 \h </w:instrText>
            </w:r>
            <w:r>
              <w:rPr>
                <w:noProof/>
                <w:webHidden/>
              </w:rPr>
            </w:r>
            <w:r>
              <w:rPr>
                <w:noProof/>
                <w:webHidden/>
              </w:rPr>
              <w:fldChar w:fldCharType="separate"/>
            </w:r>
            <w:r>
              <w:rPr>
                <w:noProof/>
                <w:webHidden/>
              </w:rPr>
              <w:t>15</w:t>
            </w:r>
            <w:r>
              <w:rPr>
                <w:noProof/>
                <w:webHidden/>
              </w:rPr>
              <w:fldChar w:fldCharType="end"/>
            </w:r>
          </w:hyperlink>
        </w:p>
        <w:p w14:paraId="37711DA7" w14:textId="799FA0D5"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4" w:history="1">
            <w:r w:rsidRPr="00607D22">
              <w:rPr>
                <w:rStyle w:val="Hyperlink"/>
                <w:rFonts w:cs="Arial"/>
                <w:noProof/>
              </w:rPr>
              <w:t>2.5 Government Policies and Regulatory Environment</w:t>
            </w:r>
            <w:r>
              <w:rPr>
                <w:noProof/>
                <w:webHidden/>
              </w:rPr>
              <w:tab/>
            </w:r>
            <w:r>
              <w:rPr>
                <w:noProof/>
                <w:webHidden/>
              </w:rPr>
              <w:fldChar w:fldCharType="begin"/>
            </w:r>
            <w:r>
              <w:rPr>
                <w:noProof/>
                <w:webHidden/>
              </w:rPr>
              <w:instrText xml:space="preserve"> PAGEREF _Toc235296684 \h </w:instrText>
            </w:r>
            <w:r>
              <w:rPr>
                <w:noProof/>
                <w:webHidden/>
              </w:rPr>
            </w:r>
            <w:r>
              <w:rPr>
                <w:noProof/>
                <w:webHidden/>
              </w:rPr>
              <w:fldChar w:fldCharType="separate"/>
            </w:r>
            <w:r>
              <w:rPr>
                <w:noProof/>
                <w:webHidden/>
              </w:rPr>
              <w:t>16</w:t>
            </w:r>
            <w:r>
              <w:rPr>
                <w:noProof/>
                <w:webHidden/>
              </w:rPr>
              <w:fldChar w:fldCharType="end"/>
            </w:r>
          </w:hyperlink>
        </w:p>
        <w:p w14:paraId="098B6038" w14:textId="5DA59B0C"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5" w:history="1">
            <w:r w:rsidRPr="00607D22">
              <w:rPr>
                <w:rStyle w:val="Hyperlink"/>
                <w:rFonts w:cs="Arial"/>
                <w:noProof/>
              </w:rPr>
              <w:t>2.6 Supply Chain and Sustainability Challenges</w:t>
            </w:r>
            <w:r>
              <w:rPr>
                <w:noProof/>
                <w:webHidden/>
              </w:rPr>
              <w:tab/>
            </w:r>
            <w:r>
              <w:rPr>
                <w:noProof/>
                <w:webHidden/>
              </w:rPr>
              <w:fldChar w:fldCharType="begin"/>
            </w:r>
            <w:r>
              <w:rPr>
                <w:noProof/>
                <w:webHidden/>
              </w:rPr>
              <w:instrText xml:space="preserve"> PAGEREF _Toc235296685 \h </w:instrText>
            </w:r>
            <w:r>
              <w:rPr>
                <w:noProof/>
                <w:webHidden/>
              </w:rPr>
            </w:r>
            <w:r>
              <w:rPr>
                <w:noProof/>
                <w:webHidden/>
              </w:rPr>
              <w:fldChar w:fldCharType="separate"/>
            </w:r>
            <w:r>
              <w:rPr>
                <w:noProof/>
                <w:webHidden/>
              </w:rPr>
              <w:t>17</w:t>
            </w:r>
            <w:r>
              <w:rPr>
                <w:noProof/>
                <w:webHidden/>
              </w:rPr>
              <w:fldChar w:fldCharType="end"/>
            </w:r>
          </w:hyperlink>
        </w:p>
        <w:p w14:paraId="42F701EF" w14:textId="0B8BF6AF"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6" w:history="1">
            <w:r w:rsidRPr="00607D22">
              <w:rPr>
                <w:rStyle w:val="Hyperlink"/>
                <w:rFonts w:cs="Arial"/>
                <w:noProof/>
              </w:rPr>
              <w:t>2.7 Gaps in the Existing Literature</w:t>
            </w:r>
            <w:r>
              <w:rPr>
                <w:noProof/>
                <w:webHidden/>
              </w:rPr>
              <w:tab/>
            </w:r>
            <w:r>
              <w:rPr>
                <w:noProof/>
                <w:webHidden/>
              </w:rPr>
              <w:fldChar w:fldCharType="begin"/>
            </w:r>
            <w:r>
              <w:rPr>
                <w:noProof/>
                <w:webHidden/>
              </w:rPr>
              <w:instrText xml:space="preserve"> PAGEREF _Toc235296686 \h </w:instrText>
            </w:r>
            <w:r>
              <w:rPr>
                <w:noProof/>
                <w:webHidden/>
              </w:rPr>
            </w:r>
            <w:r>
              <w:rPr>
                <w:noProof/>
                <w:webHidden/>
              </w:rPr>
              <w:fldChar w:fldCharType="separate"/>
            </w:r>
            <w:r>
              <w:rPr>
                <w:noProof/>
                <w:webHidden/>
              </w:rPr>
              <w:t>18</w:t>
            </w:r>
            <w:r>
              <w:rPr>
                <w:noProof/>
                <w:webHidden/>
              </w:rPr>
              <w:fldChar w:fldCharType="end"/>
            </w:r>
          </w:hyperlink>
        </w:p>
        <w:p w14:paraId="19121381" w14:textId="32191E69" w:rsidR="009654F0" w:rsidRDefault="009654F0">
          <w:pPr>
            <w:pStyle w:val="TOC1"/>
            <w:tabs>
              <w:tab w:val="right" w:leader="dot" w:pos="9350"/>
            </w:tabs>
            <w:rPr>
              <w:rFonts w:asciiTheme="minorHAnsi" w:eastAsiaTheme="minorEastAsia" w:hAnsiTheme="minorHAnsi"/>
              <w:noProof/>
              <w:kern w:val="2"/>
              <w:szCs w:val="24"/>
              <w:lang w:val="en-US"/>
            </w:rPr>
          </w:pPr>
          <w:hyperlink w:anchor="_Toc235296687" w:history="1">
            <w:r w:rsidRPr="00607D22">
              <w:rPr>
                <w:rStyle w:val="Hyperlink"/>
                <w:rFonts w:cs="Arial"/>
                <w:noProof/>
              </w:rPr>
              <w:t>Chapter 3: Methodology</w:t>
            </w:r>
            <w:r>
              <w:rPr>
                <w:noProof/>
                <w:webHidden/>
              </w:rPr>
              <w:tab/>
            </w:r>
            <w:r>
              <w:rPr>
                <w:noProof/>
                <w:webHidden/>
              </w:rPr>
              <w:fldChar w:fldCharType="begin"/>
            </w:r>
            <w:r>
              <w:rPr>
                <w:noProof/>
                <w:webHidden/>
              </w:rPr>
              <w:instrText xml:space="preserve"> PAGEREF _Toc235296687 \h </w:instrText>
            </w:r>
            <w:r>
              <w:rPr>
                <w:noProof/>
                <w:webHidden/>
              </w:rPr>
            </w:r>
            <w:r>
              <w:rPr>
                <w:noProof/>
                <w:webHidden/>
              </w:rPr>
              <w:fldChar w:fldCharType="separate"/>
            </w:r>
            <w:r>
              <w:rPr>
                <w:noProof/>
                <w:webHidden/>
              </w:rPr>
              <w:t>19</w:t>
            </w:r>
            <w:r>
              <w:rPr>
                <w:noProof/>
                <w:webHidden/>
              </w:rPr>
              <w:fldChar w:fldCharType="end"/>
            </w:r>
          </w:hyperlink>
        </w:p>
        <w:p w14:paraId="658301FF" w14:textId="715874D8"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8" w:history="1">
            <w:r w:rsidRPr="00607D22">
              <w:rPr>
                <w:rStyle w:val="Hyperlink"/>
                <w:noProof/>
              </w:rPr>
              <w:t>3.1 Systematic Literature Review (SLR)</w:t>
            </w:r>
            <w:r>
              <w:rPr>
                <w:noProof/>
                <w:webHidden/>
              </w:rPr>
              <w:tab/>
            </w:r>
            <w:r>
              <w:rPr>
                <w:noProof/>
                <w:webHidden/>
              </w:rPr>
              <w:fldChar w:fldCharType="begin"/>
            </w:r>
            <w:r>
              <w:rPr>
                <w:noProof/>
                <w:webHidden/>
              </w:rPr>
              <w:instrText xml:space="preserve"> PAGEREF _Toc235296688 \h </w:instrText>
            </w:r>
            <w:r>
              <w:rPr>
                <w:noProof/>
                <w:webHidden/>
              </w:rPr>
            </w:r>
            <w:r>
              <w:rPr>
                <w:noProof/>
                <w:webHidden/>
              </w:rPr>
              <w:fldChar w:fldCharType="separate"/>
            </w:r>
            <w:r>
              <w:rPr>
                <w:noProof/>
                <w:webHidden/>
              </w:rPr>
              <w:t>19</w:t>
            </w:r>
            <w:r>
              <w:rPr>
                <w:noProof/>
                <w:webHidden/>
              </w:rPr>
              <w:fldChar w:fldCharType="end"/>
            </w:r>
          </w:hyperlink>
        </w:p>
        <w:p w14:paraId="6DF06E13" w14:textId="0B1ABB5C"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89" w:history="1">
            <w:r w:rsidRPr="00607D22">
              <w:rPr>
                <w:rStyle w:val="Hyperlink"/>
                <w:noProof/>
              </w:rPr>
              <w:t>3.2 Search Strategy</w:t>
            </w:r>
            <w:r>
              <w:rPr>
                <w:noProof/>
                <w:webHidden/>
              </w:rPr>
              <w:tab/>
            </w:r>
            <w:r>
              <w:rPr>
                <w:noProof/>
                <w:webHidden/>
              </w:rPr>
              <w:fldChar w:fldCharType="begin"/>
            </w:r>
            <w:r>
              <w:rPr>
                <w:noProof/>
                <w:webHidden/>
              </w:rPr>
              <w:instrText xml:space="preserve"> PAGEREF _Toc235296689 \h </w:instrText>
            </w:r>
            <w:r>
              <w:rPr>
                <w:noProof/>
                <w:webHidden/>
              </w:rPr>
            </w:r>
            <w:r>
              <w:rPr>
                <w:noProof/>
                <w:webHidden/>
              </w:rPr>
              <w:fldChar w:fldCharType="separate"/>
            </w:r>
            <w:r>
              <w:rPr>
                <w:noProof/>
                <w:webHidden/>
              </w:rPr>
              <w:t>19</w:t>
            </w:r>
            <w:r>
              <w:rPr>
                <w:noProof/>
                <w:webHidden/>
              </w:rPr>
              <w:fldChar w:fldCharType="end"/>
            </w:r>
          </w:hyperlink>
        </w:p>
        <w:p w14:paraId="3BBBB1F5" w14:textId="5D27F25E"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90" w:history="1">
            <w:r w:rsidRPr="00607D22">
              <w:rPr>
                <w:rStyle w:val="Hyperlink"/>
                <w:noProof/>
              </w:rPr>
              <w:t>3.3 Search Terms</w:t>
            </w:r>
            <w:r>
              <w:rPr>
                <w:noProof/>
                <w:webHidden/>
              </w:rPr>
              <w:tab/>
            </w:r>
            <w:r>
              <w:rPr>
                <w:noProof/>
                <w:webHidden/>
              </w:rPr>
              <w:fldChar w:fldCharType="begin"/>
            </w:r>
            <w:r>
              <w:rPr>
                <w:noProof/>
                <w:webHidden/>
              </w:rPr>
              <w:instrText xml:space="preserve"> PAGEREF _Toc235296690 \h </w:instrText>
            </w:r>
            <w:r>
              <w:rPr>
                <w:noProof/>
                <w:webHidden/>
              </w:rPr>
            </w:r>
            <w:r>
              <w:rPr>
                <w:noProof/>
                <w:webHidden/>
              </w:rPr>
              <w:fldChar w:fldCharType="separate"/>
            </w:r>
            <w:r>
              <w:rPr>
                <w:noProof/>
                <w:webHidden/>
              </w:rPr>
              <w:t>19</w:t>
            </w:r>
            <w:r>
              <w:rPr>
                <w:noProof/>
                <w:webHidden/>
              </w:rPr>
              <w:fldChar w:fldCharType="end"/>
            </w:r>
          </w:hyperlink>
        </w:p>
        <w:p w14:paraId="2AA6E2F1" w14:textId="2847F95D"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91" w:history="1">
            <w:r w:rsidRPr="00607D22">
              <w:rPr>
                <w:rStyle w:val="Hyperlink"/>
                <w:noProof/>
              </w:rPr>
              <w:t>3.4 Keywords</w:t>
            </w:r>
            <w:r>
              <w:rPr>
                <w:noProof/>
                <w:webHidden/>
              </w:rPr>
              <w:tab/>
            </w:r>
            <w:r>
              <w:rPr>
                <w:noProof/>
                <w:webHidden/>
              </w:rPr>
              <w:fldChar w:fldCharType="begin"/>
            </w:r>
            <w:r>
              <w:rPr>
                <w:noProof/>
                <w:webHidden/>
              </w:rPr>
              <w:instrText xml:space="preserve"> PAGEREF _Toc235296691 \h </w:instrText>
            </w:r>
            <w:r>
              <w:rPr>
                <w:noProof/>
                <w:webHidden/>
              </w:rPr>
            </w:r>
            <w:r>
              <w:rPr>
                <w:noProof/>
                <w:webHidden/>
              </w:rPr>
              <w:fldChar w:fldCharType="separate"/>
            </w:r>
            <w:r>
              <w:rPr>
                <w:noProof/>
                <w:webHidden/>
              </w:rPr>
              <w:t>20</w:t>
            </w:r>
            <w:r>
              <w:rPr>
                <w:noProof/>
                <w:webHidden/>
              </w:rPr>
              <w:fldChar w:fldCharType="end"/>
            </w:r>
          </w:hyperlink>
        </w:p>
        <w:p w14:paraId="5F5CF058" w14:textId="72FCEC1F"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92" w:history="1">
            <w:r w:rsidRPr="00607D22">
              <w:rPr>
                <w:rStyle w:val="Hyperlink"/>
                <w:noProof/>
              </w:rPr>
              <w:t>3.5 Databases</w:t>
            </w:r>
            <w:r>
              <w:rPr>
                <w:noProof/>
                <w:webHidden/>
              </w:rPr>
              <w:tab/>
            </w:r>
            <w:r>
              <w:rPr>
                <w:noProof/>
                <w:webHidden/>
              </w:rPr>
              <w:fldChar w:fldCharType="begin"/>
            </w:r>
            <w:r>
              <w:rPr>
                <w:noProof/>
                <w:webHidden/>
              </w:rPr>
              <w:instrText xml:space="preserve"> PAGEREF _Toc235296692 \h </w:instrText>
            </w:r>
            <w:r>
              <w:rPr>
                <w:noProof/>
                <w:webHidden/>
              </w:rPr>
            </w:r>
            <w:r>
              <w:rPr>
                <w:noProof/>
                <w:webHidden/>
              </w:rPr>
              <w:fldChar w:fldCharType="separate"/>
            </w:r>
            <w:r>
              <w:rPr>
                <w:noProof/>
                <w:webHidden/>
              </w:rPr>
              <w:t>20</w:t>
            </w:r>
            <w:r>
              <w:rPr>
                <w:noProof/>
                <w:webHidden/>
              </w:rPr>
              <w:fldChar w:fldCharType="end"/>
            </w:r>
          </w:hyperlink>
        </w:p>
        <w:p w14:paraId="0B7D5409" w14:textId="229B093A"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93" w:history="1">
            <w:r w:rsidRPr="00607D22">
              <w:rPr>
                <w:rStyle w:val="Hyperlink"/>
                <w:noProof/>
              </w:rPr>
              <w:t>3.6 Inclusion and Exclusion Criteria</w:t>
            </w:r>
            <w:r>
              <w:rPr>
                <w:noProof/>
                <w:webHidden/>
              </w:rPr>
              <w:tab/>
            </w:r>
            <w:r>
              <w:rPr>
                <w:noProof/>
                <w:webHidden/>
              </w:rPr>
              <w:fldChar w:fldCharType="begin"/>
            </w:r>
            <w:r>
              <w:rPr>
                <w:noProof/>
                <w:webHidden/>
              </w:rPr>
              <w:instrText xml:space="preserve"> PAGEREF _Toc235296693 \h </w:instrText>
            </w:r>
            <w:r>
              <w:rPr>
                <w:noProof/>
                <w:webHidden/>
              </w:rPr>
            </w:r>
            <w:r>
              <w:rPr>
                <w:noProof/>
                <w:webHidden/>
              </w:rPr>
              <w:fldChar w:fldCharType="separate"/>
            </w:r>
            <w:r>
              <w:rPr>
                <w:noProof/>
                <w:webHidden/>
              </w:rPr>
              <w:t>20</w:t>
            </w:r>
            <w:r>
              <w:rPr>
                <w:noProof/>
                <w:webHidden/>
              </w:rPr>
              <w:fldChar w:fldCharType="end"/>
            </w:r>
          </w:hyperlink>
        </w:p>
        <w:p w14:paraId="620D9E9B" w14:textId="77BF2A49" w:rsidR="009654F0" w:rsidRDefault="009654F0">
          <w:pPr>
            <w:pStyle w:val="TOC3"/>
            <w:tabs>
              <w:tab w:val="right" w:leader="dot" w:pos="9350"/>
            </w:tabs>
            <w:rPr>
              <w:noProof/>
            </w:rPr>
          </w:pPr>
          <w:hyperlink w:anchor="_Toc235296694" w:history="1">
            <w:r w:rsidRPr="00607D22">
              <w:rPr>
                <w:rStyle w:val="Hyperlink"/>
                <w:noProof/>
              </w:rPr>
              <w:t>3.6.1 Inclusion Criteria</w:t>
            </w:r>
            <w:r>
              <w:rPr>
                <w:noProof/>
                <w:webHidden/>
              </w:rPr>
              <w:tab/>
            </w:r>
            <w:r>
              <w:rPr>
                <w:noProof/>
                <w:webHidden/>
              </w:rPr>
              <w:fldChar w:fldCharType="begin"/>
            </w:r>
            <w:r>
              <w:rPr>
                <w:noProof/>
                <w:webHidden/>
              </w:rPr>
              <w:instrText xml:space="preserve"> PAGEREF _Toc235296694 \h </w:instrText>
            </w:r>
            <w:r>
              <w:rPr>
                <w:noProof/>
                <w:webHidden/>
              </w:rPr>
            </w:r>
            <w:r>
              <w:rPr>
                <w:noProof/>
                <w:webHidden/>
              </w:rPr>
              <w:fldChar w:fldCharType="separate"/>
            </w:r>
            <w:r>
              <w:rPr>
                <w:noProof/>
                <w:webHidden/>
              </w:rPr>
              <w:t>20</w:t>
            </w:r>
            <w:r>
              <w:rPr>
                <w:noProof/>
                <w:webHidden/>
              </w:rPr>
              <w:fldChar w:fldCharType="end"/>
            </w:r>
          </w:hyperlink>
        </w:p>
        <w:p w14:paraId="3F8A8922" w14:textId="7D6C76C3" w:rsidR="009654F0" w:rsidRDefault="009654F0">
          <w:pPr>
            <w:pStyle w:val="TOC3"/>
            <w:tabs>
              <w:tab w:val="right" w:leader="dot" w:pos="9350"/>
            </w:tabs>
            <w:rPr>
              <w:noProof/>
            </w:rPr>
          </w:pPr>
          <w:hyperlink w:anchor="_Toc235296695" w:history="1">
            <w:r w:rsidRPr="00607D22">
              <w:rPr>
                <w:rStyle w:val="Hyperlink"/>
                <w:noProof/>
              </w:rPr>
              <w:t>3.6.2 Exclusion Criteria</w:t>
            </w:r>
            <w:r>
              <w:rPr>
                <w:noProof/>
                <w:webHidden/>
              </w:rPr>
              <w:tab/>
            </w:r>
            <w:r>
              <w:rPr>
                <w:noProof/>
                <w:webHidden/>
              </w:rPr>
              <w:fldChar w:fldCharType="begin"/>
            </w:r>
            <w:r>
              <w:rPr>
                <w:noProof/>
                <w:webHidden/>
              </w:rPr>
              <w:instrText xml:space="preserve"> PAGEREF _Toc235296695 \h </w:instrText>
            </w:r>
            <w:r>
              <w:rPr>
                <w:noProof/>
                <w:webHidden/>
              </w:rPr>
            </w:r>
            <w:r>
              <w:rPr>
                <w:noProof/>
                <w:webHidden/>
              </w:rPr>
              <w:fldChar w:fldCharType="separate"/>
            </w:r>
            <w:r>
              <w:rPr>
                <w:noProof/>
                <w:webHidden/>
              </w:rPr>
              <w:t>21</w:t>
            </w:r>
            <w:r>
              <w:rPr>
                <w:noProof/>
                <w:webHidden/>
              </w:rPr>
              <w:fldChar w:fldCharType="end"/>
            </w:r>
          </w:hyperlink>
        </w:p>
        <w:p w14:paraId="40BBBB9D" w14:textId="5344A836"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96" w:history="1">
            <w:r w:rsidRPr="00607D22">
              <w:rPr>
                <w:rStyle w:val="Hyperlink"/>
                <w:noProof/>
              </w:rPr>
              <w:t>3.7 Search Results</w:t>
            </w:r>
            <w:r>
              <w:rPr>
                <w:noProof/>
                <w:webHidden/>
              </w:rPr>
              <w:tab/>
            </w:r>
            <w:r>
              <w:rPr>
                <w:noProof/>
                <w:webHidden/>
              </w:rPr>
              <w:fldChar w:fldCharType="begin"/>
            </w:r>
            <w:r>
              <w:rPr>
                <w:noProof/>
                <w:webHidden/>
              </w:rPr>
              <w:instrText xml:space="preserve"> PAGEREF _Toc235296696 \h </w:instrText>
            </w:r>
            <w:r>
              <w:rPr>
                <w:noProof/>
                <w:webHidden/>
              </w:rPr>
            </w:r>
            <w:r>
              <w:rPr>
                <w:noProof/>
                <w:webHidden/>
              </w:rPr>
              <w:fldChar w:fldCharType="separate"/>
            </w:r>
            <w:r>
              <w:rPr>
                <w:noProof/>
                <w:webHidden/>
              </w:rPr>
              <w:t>21</w:t>
            </w:r>
            <w:r>
              <w:rPr>
                <w:noProof/>
                <w:webHidden/>
              </w:rPr>
              <w:fldChar w:fldCharType="end"/>
            </w:r>
          </w:hyperlink>
        </w:p>
        <w:p w14:paraId="7D193CD7" w14:textId="7672AF0B"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97" w:history="1">
            <w:r w:rsidRPr="00607D22">
              <w:rPr>
                <w:rStyle w:val="Hyperlink"/>
                <w:noProof/>
              </w:rPr>
              <w:t>3.8 Ethical Considerations</w:t>
            </w:r>
            <w:r>
              <w:rPr>
                <w:noProof/>
                <w:webHidden/>
              </w:rPr>
              <w:tab/>
            </w:r>
            <w:r>
              <w:rPr>
                <w:noProof/>
                <w:webHidden/>
              </w:rPr>
              <w:fldChar w:fldCharType="begin"/>
            </w:r>
            <w:r>
              <w:rPr>
                <w:noProof/>
                <w:webHidden/>
              </w:rPr>
              <w:instrText xml:space="preserve"> PAGEREF _Toc235296697 \h </w:instrText>
            </w:r>
            <w:r>
              <w:rPr>
                <w:noProof/>
                <w:webHidden/>
              </w:rPr>
            </w:r>
            <w:r>
              <w:rPr>
                <w:noProof/>
                <w:webHidden/>
              </w:rPr>
              <w:fldChar w:fldCharType="separate"/>
            </w:r>
            <w:r>
              <w:rPr>
                <w:noProof/>
                <w:webHidden/>
              </w:rPr>
              <w:t>22</w:t>
            </w:r>
            <w:r>
              <w:rPr>
                <w:noProof/>
                <w:webHidden/>
              </w:rPr>
              <w:fldChar w:fldCharType="end"/>
            </w:r>
          </w:hyperlink>
        </w:p>
        <w:p w14:paraId="4C3FF6E5" w14:textId="5799D33D" w:rsidR="009654F0" w:rsidRDefault="009654F0">
          <w:pPr>
            <w:pStyle w:val="TOC2"/>
            <w:tabs>
              <w:tab w:val="right" w:leader="dot" w:pos="9350"/>
            </w:tabs>
            <w:rPr>
              <w:rFonts w:asciiTheme="minorHAnsi" w:eastAsiaTheme="minorEastAsia" w:hAnsiTheme="minorHAnsi"/>
              <w:noProof/>
              <w:kern w:val="2"/>
              <w:szCs w:val="24"/>
              <w:lang w:val="en-US"/>
            </w:rPr>
          </w:pPr>
          <w:hyperlink w:anchor="_Toc235296698" w:history="1">
            <w:r w:rsidRPr="00607D22">
              <w:rPr>
                <w:rStyle w:val="Hyperlink"/>
                <w:noProof/>
              </w:rPr>
              <w:t>3.9 Chapter Summary</w:t>
            </w:r>
            <w:r>
              <w:rPr>
                <w:noProof/>
                <w:webHidden/>
              </w:rPr>
              <w:tab/>
            </w:r>
            <w:r>
              <w:rPr>
                <w:noProof/>
                <w:webHidden/>
              </w:rPr>
              <w:fldChar w:fldCharType="begin"/>
            </w:r>
            <w:r>
              <w:rPr>
                <w:noProof/>
                <w:webHidden/>
              </w:rPr>
              <w:instrText xml:space="preserve"> PAGEREF _Toc235296698 \h </w:instrText>
            </w:r>
            <w:r>
              <w:rPr>
                <w:noProof/>
                <w:webHidden/>
              </w:rPr>
            </w:r>
            <w:r>
              <w:rPr>
                <w:noProof/>
                <w:webHidden/>
              </w:rPr>
              <w:fldChar w:fldCharType="separate"/>
            </w:r>
            <w:r>
              <w:rPr>
                <w:noProof/>
                <w:webHidden/>
              </w:rPr>
              <w:t>22</w:t>
            </w:r>
            <w:r>
              <w:rPr>
                <w:noProof/>
                <w:webHidden/>
              </w:rPr>
              <w:fldChar w:fldCharType="end"/>
            </w:r>
          </w:hyperlink>
        </w:p>
        <w:p w14:paraId="4CEF9385" w14:textId="7ABEE901" w:rsidR="009654F0" w:rsidRDefault="009654F0">
          <w:pPr>
            <w:pStyle w:val="TOC1"/>
            <w:tabs>
              <w:tab w:val="right" w:leader="dot" w:pos="9350"/>
            </w:tabs>
            <w:rPr>
              <w:rFonts w:asciiTheme="minorHAnsi" w:eastAsiaTheme="minorEastAsia" w:hAnsiTheme="minorHAnsi"/>
              <w:noProof/>
              <w:kern w:val="2"/>
              <w:szCs w:val="24"/>
              <w:lang w:val="en-US"/>
            </w:rPr>
          </w:pPr>
          <w:hyperlink w:anchor="_Toc235296699" w:history="1">
            <w:r w:rsidRPr="00607D22">
              <w:rPr>
                <w:rStyle w:val="Hyperlink"/>
                <w:rFonts w:cs="Arial"/>
                <w:noProof/>
              </w:rPr>
              <w:t>Chapter 4: Findings and Discussion</w:t>
            </w:r>
            <w:r>
              <w:rPr>
                <w:noProof/>
                <w:webHidden/>
              </w:rPr>
              <w:tab/>
            </w:r>
            <w:r>
              <w:rPr>
                <w:noProof/>
                <w:webHidden/>
              </w:rPr>
              <w:fldChar w:fldCharType="begin"/>
            </w:r>
            <w:r>
              <w:rPr>
                <w:noProof/>
                <w:webHidden/>
              </w:rPr>
              <w:instrText xml:space="preserve"> PAGEREF _Toc235296699 \h </w:instrText>
            </w:r>
            <w:r>
              <w:rPr>
                <w:noProof/>
                <w:webHidden/>
              </w:rPr>
            </w:r>
            <w:r>
              <w:rPr>
                <w:noProof/>
                <w:webHidden/>
              </w:rPr>
              <w:fldChar w:fldCharType="separate"/>
            </w:r>
            <w:r>
              <w:rPr>
                <w:noProof/>
                <w:webHidden/>
              </w:rPr>
              <w:t>23</w:t>
            </w:r>
            <w:r>
              <w:rPr>
                <w:noProof/>
                <w:webHidden/>
              </w:rPr>
              <w:fldChar w:fldCharType="end"/>
            </w:r>
          </w:hyperlink>
        </w:p>
        <w:p w14:paraId="1DFB377A" w14:textId="0CEA1AAB"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0" w:history="1">
            <w:r w:rsidRPr="00607D22">
              <w:rPr>
                <w:rStyle w:val="Hyperlink"/>
                <w:rFonts w:cs="Arial"/>
                <w:noProof/>
              </w:rPr>
              <w:t>4.1 Introduction</w:t>
            </w:r>
            <w:r>
              <w:rPr>
                <w:noProof/>
                <w:webHidden/>
              </w:rPr>
              <w:tab/>
            </w:r>
            <w:r>
              <w:rPr>
                <w:noProof/>
                <w:webHidden/>
              </w:rPr>
              <w:fldChar w:fldCharType="begin"/>
            </w:r>
            <w:r>
              <w:rPr>
                <w:noProof/>
                <w:webHidden/>
              </w:rPr>
              <w:instrText xml:space="preserve"> PAGEREF _Toc235296700 \h </w:instrText>
            </w:r>
            <w:r>
              <w:rPr>
                <w:noProof/>
                <w:webHidden/>
              </w:rPr>
            </w:r>
            <w:r>
              <w:rPr>
                <w:noProof/>
                <w:webHidden/>
              </w:rPr>
              <w:fldChar w:fldCharType="separate"/>
            </w:r>
            <w:r>
              <w:rPr>
                <w:noProof/>
                <w:webHidden/>
              </w:rPr>
              <w:t>23</w:t>
            </w:r>
            <w:r>
              <w:rPr>
                <w:noProof/>
                <w:webHidden/>
              </w:rPr>
              <w:fldChar w:fldCharType="end"/>
            </w:r>
          </w:hyperlink>
        </w:p>
        <w:p w14:paraId="498BF4D9" w14:textId="0822E798"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1" w:history="1">
            <w:r w:rsidRPr="00607D22">
              <w:rPr>
                <w:rStyle w:val="Hyperlink"/>
                <w:rFonts w:cs="Arial"/>
                <w:noProof/>
              </w:rPr>
              <w:t>4.2 Consumer Attitudes and Perceptions of Ford’s Electric Vehicles</w:t>
            </w:r>
            <w:r>
              <w:rPr>
                <w:noProof/>
                <w:webHidden/>
              </w:rPr>
              <w:tab/>
            </w:r>
            <w:r>
              <w:rPr>
                <w:noProof/>
                <w:webHidden/>
              </w:rPr>
              <w:fldChar w:fldCharType="begin"/>
            </w:r>
            <w:r>
              <w:rPr>
                <w:noProof/>
                <w:webHidden/>
              </w:rPr>
              <w:instrText xml:space="preserve"> PAGEREF _Toc235296701 \h </w:instrText>
            </w:r>
            <w:r>
              <w:rPr>
                <w:noProof/>
                <w:webHidden/>
              </w:rPr>
            </w:r>
            <w:r>
              <w:rPr>
                <w:noProof/>
                <w:webHidden/>
              </w:rPr>
              <w:fldChar w:fldCharType="separate"/>
            </w:r>
            <w:r>
              <w:rPr>
                <w:noProof/>
                <w:webHidden/>
              </w:rPr>
              <w:t>23</w:t>
            </w:r>
            <w:r>
              <w:rPr>
                <w:noProof/>
                <w:webHidden/>
              </w:rPr>
              <w:fldChar w:fldCharType="end"/>
            </w:r>
          </w:hyperlink>
        </w:p>
        <w:p w14:paraId="193D0525" w14:textId="3AE59D2D"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2" w:history="1">
            <w:r w:rsidRPr="00607D22">
              <w:rPr>
                <w:rStyle w:val="Hyperlink"/>
                <w:rFonts w:cs="Arial"/>
                <w:noProof/>
              </w:rPr>
              <w:t>4.3 Competitive Responses of Other Automotive Companies</w:t>
            </w:r>
            <w:r>
              <w:rPr>
                <w:noProof/>
                <w:webHidden/>
              </w:rPr>
              <w:tab/>
            </w:r>
            <w:r>
              <w:rPr>
                <w:noProof/>
                <w:webHidden/>
              </w:rPr>
              <w:fldChar w:fldCharType="begin"/>
            </w:r>
            <w:r>
              <w:rPr>
                <w:noProof/>
                <w:webHidden/>
              </w:rPr>
              <w:instrText xml:space="preserve"> PAGEREF _Toc235296702 \h </w:instrText>
            </w:r>
            <w:r>
              <w:rPr>
                <w:noProof/>
                <w:webHidden/>
              </w:rPr>
            </w:r>
            <w:r>
              <w:rPr>
                <w:noProof/>
                <w:webHidden/>
              </w:rPr>
              <w:fldChar w:fldCharType="separate"/>
            </w:r>
            <w:r>
              <w:rPr>
                <w:noProof/>
                <w:webHidden/>
              </w:rPr>
              <w:t>25</w:t>
            </w:r>
            <w:r>
              <w:rPr>
                <w:noProof/>
                <w:webHidden/>
              </w:rPr>
              <w:fldChar w:fldCharType="end"/>
            </w:r>
          </w:hyperlink>
        </w:p>
        <w:p w14:paraId="54FB2DE3" w14:textId="3CF9C262"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3" w:history="1">
            <w:r w:rsidRPr="00607D22">
              <w:rPr>
                <w:rStyle w:val="Hyperlink"/>
                <w:rFonts w:cs="Arial"/>
                <w:noProof/>
              </w:rPr>
              <w:t>4.4 Government Policy, Incentives and Regulatory Influence</w:t>
            </w:r>
            <w:r>
              <w:rPr>
                <w:noProof/>
                <w:webHidden/>
              </w:rPr>
              <w:tab/>
            </w:r>
            <w:r>
              <w:rPr>
                <w:noProof/>
                <w:webHidden/>
              </w:rPr>
              <w:fldChar w:fldCharType="begin"/>
            </w:r>
            <w:r>
              <w:rPr>
                <w:noProof/>
                <w:webHidden/>
              </w:rPr>
              <w:instrText xml:space="preserve"> PAGEREF _Toc235296703 \h </w:instrText>
            </w:r>
            <w:r>
              <w:rPr>
                <w:noProof/>
                <w:webHidden/>
              </w:rPr>
            </w:r>
            <w:r>
              <w:rPr>
                <w:noProof/>
                <w:webHidden/>
              </w:rPr>
              <w:fldChar w:fldCharType="separate"/>
            </w:r>
            <w:r>
              <w:rPr>
                <w:noProof/>
                <w:webHidden/>
              </w:rPr>
              <w:t>28</w:t>
            </w:r>
            <w:r>
              <w:rPr>
                <w:noProof/>
                <w:webHidden/>
              </w:rPr>
              <w:fldChar w:fldCharType="end"/>
            </w:r>
          </w:hyperlink>
        </w:p>
        <w:p w14:paraId="431C4850" w14:textId="09A5DBCF"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4" w:history="1">
            <w:r w:rsidRPr="00607D22">
              <w:rPr>
                <w:rStyle w:val="Hyperlink"/>
                <w:rFonts w:cs="Arial"/>
                <w:noProof/>
              </w:rPr>
              <w:t>4.5 Integrated Discussion</w:t>
            </w:r>
            <w:r>
              <w:rPr>
                <w:noProof/>
                <w:webHidden/>
              </w:rPr>
              <w:tab/>
            </w:r>
            <w:r>
              <w:rPr>
                <w:noProof/>
                <w:webHidden/>
              </w:rPr>
              <w:fldChar w:fldCharType="begin"/>
            </w:r>
            <w:r>
              <w:rPr>
                <w:noProof/>
                <w:webHidden/>
              </w:rPr>
              <w:instrText xml:space="preserve"> PAGEREF _Toc235296704 \h </w:instrText>
            </w:r>
            <w:r>
              <w:rPr>
                <w:noProof/>
                <w:webHidden/>
              </w:rPr>
            </w:r>
            <w:r>
              <w:rPr>
                <w:noProof/>
                <w:webHidden/>
              </w:rPr>
              <w:fldChar w:fldCharType="separate"/>
            </w:r>
            <w:r>
              <w:rPr>
                <w:noProof/>
                <w:webHidden/>
              </w:rPr>
              <w:t>30</w:t>
            </w:r>
            <w:r>
              <w:rPr>
                <w:noProof/>
                <w:webHidden/>
              </w:rPr>
              <w:fldChar w:fldCharType="end"/>
            </w:r>
          </w:hyperlink>
        </w:p>
        <w:p w14:paraId="2F0EFFA7" w14:textId="62042C3C"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5" w:history="1">
            <w:r w:rsidRPr="00607D22">
              <w:rPr>
                <w:rStyle w:val="Hyperlink"/>
                <w:rFonts w:cs="Arial"/>
                <w:noProof/>
              </w:rPr>
              <w:t>4.6 Chapter Summary</w:t>
            </w:r>
            <w:r>
              <w:rPr>
                <w:noProof/>
                <w:webHidden/>
              </w:rPr>
              <w:tab/>
            </w:r>
            <w:r>
              <w:rPr>
                <w:noProof/>
                <w:webHidden/>
              </w:rPr>
              <w:fldChar w:fldCharType="begin"/>
            </w:r>
            <w:r>
              <w:rPr>
                <w:noProof/>
                <w:webHidden/>
              </w:rPr>
              <w:instrText xml:space="preserve"> PAGEREF _Toc235296705 \h </w:instrText>
            </w:r>
            <w:r>
              <w:rPr>
                <w:noProof/>
                <w:webHidden/>
              </w:rPr>
            </w:r>
            <w:r>
              <w:rPr>
                <w:noProof/>
                <w:webHidden/>
              </w:rPr>
              <w:fldChar w:fldCharType="separate"/>
            </w:r>
            <w:r>
              <w:rPr>
                <w:noProof/>
                <w:webHidden/>
              </w:rPr>
              <w:t>31</w:t>
            </w:r>
            <w:r>
              <w:rPr>
                <w:noProof/>
                <w:webHidden/>
              </w:rPr>
              <w:fldChar w:fldCharType="end"/>
            </w:r>
          </w:hyperlink>
        </w:p>
        <w:p w14:paraId="6D72744B" w14:textId="0F2835B9" w:rsidR="009654F0" w:rsidRDefault="009654F0">
          <w:pPr>
            <w:pStyle w:val="TOC1"/>
            <w:tabs>
              <w:tab w:val="right" w:leader="dot" w:pos="9350"/>
            </w:tabs>
            <w:rPr>
              <w:rFonts w:asciiTheme="minorHAnsi" w:eastAsiaTheme="minorEastAsia" w:hAnsiTheme="minorHAnsi"/>
              <w:noProof/>
              <w:kern w:val="2"/>
              <w:szCs w:val="24"/>
              <w:lang w:val="en-US"/>
            </w:rPr>
          </w:pPr>
          <w:hyperlink w:anchor="_Toc235296706" w:history="1">
            <w:r w:rsidRPr="00607D22">
              <w:rPr>
                <w:rStyle w:val="Hyperlink"/>
                <w:rFonts w:cs="Arial"/>
                <w:noProof/>
              </w:rPr>
              <w:t>Chapter 5: Recommendations, Conclusion and Limitations of the Research</w:t>
            </w:r>
            <w:r>
              <w:rPr>
                <w:noProof/>
                <w:webHidden/>
              </w:rPr>
              <w:tab/>
            </w:r>
            <w:r>
              <w:rPr>
                <w:noProof/>
                <w:webHidden/>
              </w:rPr>
              <w:fldChar w:fldCharType="begin"/>
            </w:r>
            <w:r>
              <w:rPr>
                <w:noProof/>
                <w:webHidden/>
              </w:rPr>
              <w:instrText xml:space="preserve"> PAGEREF _Toc235296706 \h </w:instrText>
            </w:r>
            <w:r>
              <w:rPr>
                <w:noProof/>
                <w:webHidden/>
              </w:rPr>
            </w:r>
            <w:r>
              <w:rPr>
                <w:noProof/>
                <w:webHidden/>
              </w:rPr>
              <w:fldChar w:fldCharType="separate"/>
            </w:r>
            <w:r>
              <w:rPr>
                <w:noProof/>
                <w:webHidden/>
              </w:rPr>
              <w:t>33</w:t>
            </w:r>
            <w:r>
              <w:rPr>
                <w:noProof/>
                <w:webHidden/>
              </w:rPr>
              <w:fldChar w:fldCharType="end"/>
            </w:r>
          </w:hyperlink>
        </w:p>
        <w:p w14:paraId="5AE45E26" w14:textId="1CC9DF22"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7" w:history="1">
            <w:r w:rsidRPr="00607D22">
              <w:rPr>
                <w:rStyle w:val="Hyperlink"/>
                <w:rFonts w:cs="Arial"/>
                <w:noProof/>
              </w:rPr>
              <w:t>5.1 Introduction</w:t>
            </w:r>
            <w:r>
              <w:rPr>
                <w:noProof/>
                <w:webHidden/>
              </w:rPr>
              <w:tab/>
            </w:r>
            <w:r>
              <w:rPr>
                <w:noProof/>
                <w:webHidden/>
              </w:rPr>
              <w:fldChar w:fldCharType="begin"/>
            </w:r>
            <w:r>
              <w:rPr>
                <w:noProof/>
                <w:webHidden/>
              </w:rPr>
              <w:instrText xml:space="preserve"> PAGEREF _Toc235296707 \h </w:instrText>
            </w:r>
            <w:r>
              <w:rPr>
                <w:noProof/>
                <w:webHidden/>
              </w:rPr>
            </w:r>
            <w:r>
              <w:rPr>
                <w:noProof/>
                <w:webHidden/>
              </w:rPr>
              <w:fldChar w:fldCharType="separate"/>
            </w:r>
            <w:r>
              <w:rPr>
                <w:noProof/>
                <w:webHidden/>
              </w:rPr>
              <w:t>33</w:t>
            </w:r>
            <w:r>
              <w:rPr>
                <w:noProof/>
                <w:webHidden/>
              </w:rPr>
              <w:fldChar w:fldCharType="end"/>
            </w:r>
          </w:hyperlink>
        </w:p>
        <w:p w14:paraId="05FCD038" w14:textId="1AD14237"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8" w:history="1">
            <w:r w:rsidRPr="00607D22">
              <w:rPr>
                <w:rStyle w:val="Hyperlink"/>
                <w:rFonts w:cs="Arial"/>
                <w:noProof/>
              </w:rPr>
              <w:t>5.2 Recommendations</w:t>
            </w:r>
            <w:r>
              <w:rPr>
                <w:noProof/>
                <w:webHidden/>
              </w:rPr>
              <w:tab/>
            </w:r>
            <w:r>
              <w:rPr>
                <w:noProof/>
                <w:webHidden/>
              </w:rPr>
              <w:fldChar w:fldCharType="begin"/>
            </w:r>
            <w:r>
              <w:rPr>
                <w:noProof/>
                <w:webHidden/>
              </w:rPr>
              <w:instrText xml:space="preserve"> PAGEREF _Toc235296708 \h </w:instrText>
            </w:r>
            <w:r>
              <w:rPr>
                <w:noProof/>
                <w:webHidden/>
              </w:rPr>
            </w:r>
            <w:r>
              <w:rPr>
                <w:noProof/>
                <w:webHidden/>
              </w:rPr>
              <w:fldChar w:fldCharType="separate"/>
            </w:r>
            <w:r>
              <w:rPr>
                <w:noProof/>
                <w:webHidden/>
              </w:rPr>
              <w:t>33</w:t>
            </w:r>
            <w:r>
              <w:rPr>
                <w:noProof/>
                <w:webHidden/>
              </w:rPr>
              <w:fldChar w:fldCharType="end"/>
            </w:r>
          </w:hyperlink>
        </w:p>
        <w:p w14:paraId="4ECCA3D9" w14:textId="592D462A"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09" w:history="1">
            <w:r w:rsidRPr="00607D22">
              <w:rPr>
                <w:rStyle w:val="Hyperlink"/>
                <w:rFonts w:cs="Arial"/>
                <w:noProof/>
              </w:rPr>
              <w:t>5.3 Limitations of the Research</w:t>
            </w:r>
            <w:r>
              <w:rPr>
                <w:noProof/>
                <w:webHidden/>
              </w:rPr>
              <w:tab/>
            </w:r>
            <w:r>
              <w:rPr>
                <w:noProof/>
                <w:webHidden/>
              </w:rPr>
              <w:fldChar w:fldCharType="begin"/>
            </w:r>
            <w:r>
              <w:rPr>
                <w:noProof/>
                <w:webHidden/>
              </w:rPr>
              <w:instrText xml:space="preserve"> PAGEREF _Toc235296709 \h </w:instrText>
            </w:r>
            <w:r>
              <w:rPr>
                <w:noProof/>
                <w:webHidden/>
              </w:rPr>
            </w:r>
            <w:r>
              <w:rPr>
                <w:noProof/>
                <w:webHidden/>
              </w:rPr>
              <w:fldChar w:fldCharType="separate"/>
            </w:r>
            <w:r>
              <w:rPr>
                <w:noProof/>
                <w:webHidden/>
              </w:rPr>
              <w:t>34</w:t>
            </w:r>
            <w:r>
              <w:rPr>
                <w:noProof/>
                <w:webHidden/>
              </w:rPr>
              <w:fldChar w:fldCharType="end"/>
            </w:r>
          </w:hyperlink>
        </w:p>
        <w:p w14:paraId="1BB69BD1" w14:textId="74DF4AB0"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10" w:history="1">
            <w:r w:rsidRPr="00607D22">
              <w:rPr>
                <w:rStyle w:val="Hyperlink"/>
                <w:rFonts w:cs="Arial"/>
                <w:noProof/>
              </w:rPr>
              <w:t>5.4 Conclusion</w:t>
            </w:r>
            <w:r>
              <w:rPr>
                <w:noProof/>
                <w:webHidden/>
              </w:rPr>
              <w:tab/>
            </w:r>
            <w:r>
              <w:rPr>
                <w:noProof/>
                <w:webHidden/>
              </w:rPr>
              <w:fldChar w:fldCharType="begin"/>
            </w:r>
            <w:r>
              <w:rPr>
                <w:noProof/>
                <w:webHidden/>
              </w:rPr>
              <w:instrText xml:space="preserve"> PAGEREF _Toc235296710 \h </w:instrText>
            </w:r>
            <w:r>
              <w:rPr>
                <w:noProof/>
                <w:webHidden/>
              </w:rPr>
            </w:r>
            <w:r>
              <w:rPr>
                <w:noProof/>
                <w:webHidden/>
              </w:rPr>
              <w:fldChar w:fldCharType="separate"/>
            </w:r>
            <w:r>
              <w:rPr>
                <w:noProof/>
                <w:webHidden/>
              </w:rPr>
              <w:t>35</w:t>
            </w:r>
            <w:r>
              <w:rPr>
                <w:noProof/>
                <w:webHidden/>
              </w:rPr>
              <w:fldChar w:fldCharType="end"/>
            </w:r>
          </w:hyperlink>
        </w:p>
        <w:p w14:paraId="47846E8D" w14:textId="245F47B8" w:rsidR="009654F0" w:rsidRDefault="009654F0">
          <w:pPr>
            <w:pStyle w:val="TOC1"/>
            <w:tabs>
              <w:tab w:val="right" w:leader="dot" w:pos="9350"/>
            </w:tabs>
            <w:rPr>
              <w:rFonts w:asciiTheme="minorHAnsi" w:eastAsiaTheme="minorEastAsia" w:hAnsiTheme="minorHAnsi"/>
              <w:noProof/>
              <w:kern w:val="2"/>
              <w:szCs w:val="24"/>
              <w:lang w:val="en-US"/>
            </w:rPr>
          </w:pPr>
          <w:hyperlink w:anchor="_Toc235296711" w:history="1">
            <w:r w:rsidRPr="00607D22">
              <w:rPr>
                <w:rStyle w:val="Hyperlink"/>
                <w:rFonts w:cs="Arial"/>
                <w:noProof/>
              </w:rPr>
              <w:t>References</w:t>
            </w:r>
            <w:r>
              <w:rPr>
                <w:noProof/>
                <w:webHidden/>
              </w:rPr>
              <w:tab/>
            </w:r>
            <w:r>
              <w:rPr>
                <w:noProof/>
                <w:webHidden/>
              </w:rPr>
              <w:fldChar w:fldCharType="begin"/>
            </w:r>
            <w:r>
              <w:rPr>
                <w:noProof/>
                <w:webHidden/>
              </w:rPr>
              <w:instrText xml:space="preserve"> PAGEREF _Toc235296711 \h </w:instrText>
            </w:r>
            <w:r>
              <w:rPr>
                <w:noProof/>
                <w:webHidden/>
              </w:rPr>
            </w:r>
            <w:r>
              <w:rPr>
                <w:noProof/>
                <w:webHidden/>
              </w:rPr>
              <w:fldChar w:fldCharType="separate"/>
            </w:r>
            <w:r>
              <w:rPr>
                <w:noProof/>
                <w:webHidden/>
              </w:rPr>
              <w:t>36</w:t>
            </w:r>
            <w:r>
              <w:rPr>
                <w:noProof/>
                <w:webHidden/>
              </w:rPr>
              <w:fldChar w:fldCharType="end"/>
            </w:r>
          </w:hyperlink>
        </w:p>
        <w:p w14:paraId="3E91F7F5" w14:textId="5682B87B" w:rsidR="009654F0" w:rsidRDefault="009654F0">
          <w:pPr>
            <w:pStyle w:val="TOC1"/>
            <w:tabs>
              <w:tab w:val="right" w:leader="dot" w:pos="9350"/>
            </w:tabs>
            <w:rPr>
              <w:rFonts w:asciiTheme="minorHAnsi" w:eastAsiaTheme="minorEastAsia" w:hAnsiTheme="minorHAnsi"/>
              <w:noProof/>
              <w:kern w:val="2"/>
              <w:szCs w:val="24"/>
              <w:lang w:val="en-US"/>
            </w:rPr>
          </w:pPr>
          <w:hyperlink w:anchor="_Toc235296712" w:history="1">
            <w:r w:rsidRPr="00607D22">
              <w:rPr>
                <w:rStyle w:val="Hyperlink"/>
                <w:rFonts w:cs="Arial"/>
                <w:noProof/>
              </w:rPr>
              <w:t>APPENDICES</w:t>
            </w:r>
            <w:r>
              <w:rPr>
                <w:noProof/>
                <w:webHidden/>
              </w:rPr>
              <w:tab/>
            </w:r>
            <w:r>
              <w:rPr>
                <w:noProof/>
                <w:webHidden/>
              </w:rPr>
              <w:fldChar w:fldCharType="begin"/>
            </w:r>
            <w:r>
              <w:rPr>
                <w:noProof/>
                <w:webHidden/>
              </w:rPr>
              <w:instrText xml:space="preserve"> PAGEREF _Toc235296712 \h </w:instrText>
            </w:r>
            <w:r>
              <w:rPr>
                <w:noProof/>
                <w:webHidden/>
              </w:rPr>
            </w:r>
            <w:r>
              <w:rPr>
                <w:noProof/>
                <w:webHidden/>
              </w:rPr>
              <w:fldChar w:fldCharType="separate"/>
            </w:r>
            <w:r>
              <w:rPr>
                <w:noProof/>
                <w:webHidden/>
              </w:rPr>
              <w:t>43</w:t>
            </w:r>
            <w:r>
              <w:rPr>
                <w:noProof/>
                <w:webHidden/>
              </w:rPr>
              <w:fldChar w:fldCharType="end"/>
            </w:r>
          </w:hyperlink>
        </w:p>
        <w:p w14:paraId="00E23897" w14:textId="5171BD4C"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13" w:history="1">
            <w:r w:rsidRPr="00607D22">
              <w:rPr>
                <w:rStyle w:val="Hyperlink"/>
                <w:rFonts w:cs="Arial"/>
                <w:noProof/>
              </w:rPr>
              <w:t>Appendix A: Thematic Analysis Matrix</w:t>
            </w:r>
            <w:r>
              <w:rPr>
                <w:noProof/>
                <w:webHidden/>
              </w:rPr>
              <w:tab/>
            </w:r>
            <w:r>
              <w:rPr>
                <w:noProof/>
                <w:webHidden/>
              </w:rPr>
              <w:fldChar w:fldCharType="begin"/>
            </w:r>
            <w:r>
              <w:rPr>
                <w:noProof/>
                <w:webHidden/>
              </w:rPr>
              <w:instrText xml:space="preserve"> PAGEREF _Toc235296713 \h </w:instrText>
            </w:r>
            <w:r>
              <w:rPr>
                <w:noProof/>
                <w:webHidden/>
              </w:rPr>
            </w:r>
            <w:r>
              <w:rPr>
                <w:noProof/>
                <w:webHidden/>
              </w:rPr>
              <w:fldChar w:fldCharType="separate"/>
            </w:r>
            <w:r>
              <w:rPr>
                <w:noProof/>
                <w:webHidden/>
              </w:rPr>
              <w:t>43</w:t>
            </w:r>
            <w:r>
              <w:rPr>
                <w:noProof/>
                <w:webHidden/>
              </w:rPr>
              <w:fldChar w:fldCharType="end"/>
            </w:r>
          </w:hyperlink>
        </w:p>
        <w:p w14:paraId="01A1B062" w14:textId="7C827C68"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14" w:history="1">
            <w:r w:rsidRPr="00607D22">
              <w:rPr>
                <w:rStyle w:val="Hyperlink"/>
                <w:rFonts w:cs="Arial"/>
                <w:noProof/>
              </w:rPr>
              <w:t>Appendix B: Summary of Key Sources Used in Chapter 4 and Chapter 5</w:t>
            </w:r>
            <w:r>
              <w:rPr>
                <w:noProof/>
                <w:webHidden/>
              </w:rPr>
              <w:tab/>
            </w:r>
            <w:r>
              <w:rPr>
                <w:noProof/>
                <w:webHidden/>
              </w:rPr>
              <w:fldChar w:fldCharType="begin"/>
            </w:r>
            <w:r>
              <w:rPr>
                <w:noProof/>
                <w:webHidden/>
              </w:rPr>
              <w:instrText xml:space="preserve"> PAGEREF _Toc235296714 \h </w:instrText>
            </w:r>
            <w:r>
              <w:rPr>
                <w:noProof/>
                <w:webHidden/>
              </w:rPr>
            </w:r>
            <w:r>
              <w:rPr>
                <w:noProof/>
                <w:webHidden/>
              </w:rPr>
              <w:fldChar w:fldCharType="separate"/>
            </w:r>
            <w:r>
              <w:rPr>
                <w:noProof/>
                <w:webHidden/>
              </w:rPr>
              <w:t>46</w:t>
            </w:r>
            <w:r>
              <w:rPr>
                <w:noProof/>
                <w:webHidden/>
              </w:rPr>
              <w:fldChar w:fldCharType="end"/>
            </w:r>
          </w:hyperlink>
        </w:p>
        <w:p w14:paraId="32F84392" w14:textId="4FE2C496" w:rsidR="009654F0" w:rsidRDefault="009654F0">
          <w:pPr>
            <w:pStyle w:val="TOC2"/>
            <w:tabs>
              <w:tab w:val="right" w:leader="dot" w:pos="9350"/>
            </w:tabs>
            <w:rPr>
              <w:rFonts w:asciiTheme="minorHAnsi" w:eastAsiaTheme="minorEastAsia" w:hAnsiTheme="minorHAnsi"/>
              <w:noProof/>
              <w:kern w:val="2"/>
              <w:szCs w:val="24"/>
              <w:lang w:val="en-US"/>
            </w:rPr>
          </w:pPr>
          <w:hyperlink w:anchor="_Toc235296715" w:history="1">
            <w:r w:rsidRPr="00607D22">
              <w:rPr>
                <w:rStyle w:val="Hyperlink"/>
                <w:rFonts w:cs="Arial"/>
                <w:noProof/>
              </w:rPr>
              <w:t>Appendix C: Alignment of Research Questions, Findings and Recommendations</w:t>
            </w:r>
            <w:r>
              <w:rPr>
                <w:noProof/>
                <w:webHidden/>
              </w:rPr>
              <w:tab/>
            </w:r>
            <w:r>
              <w:rPr>
                <w:noProof/>
                <w:webHidden/>
              </w:rPr>
              <w:fldChar w:fldCharType="begin"/>
            </w:r>
            <w:r>
              <w:rPr>
                <w:noProof/>
                <w:webHidden/>
              </w:rPr>
              <w:instrText xml:space="preserve"> PAGEREF _Toc235296715 \h </w:instrText>
            </w:r>
            <w:r>
              <w:rPr>
                <w:noProof/>
                <w:webHidden/>
              </w:rPr>
            </w:r>
            <w:r>
              <w:rPr>
                <w:noProof/>
                <w:webHidden/>
              </w:rPr>
              <w:fldChar w:fldCharType="separate"/>
            </w:r>
            <w:r>
              <w:rPr>
                <w:noProof/>
                <w:webHidden/>
              </w:rPr>
              <w:t>49</w:t>
            </w:r>
            <w:r>
              <w:rPr>
                <w:noProof/>
                <w:webHidden/>
              </w:rPr>
              <w:fldChar w:fldCharType="end"/>
            </w:r>
          </w:hyperlink>
        </w:p>
        <w:p w14:paraId="3B24F796" w14:textId="7944FE34" w:rsidR="004D1ACF" w:rsidRPr="00647DC0" w:rsidRDefault="00FB4DE5" w:rsidP="004C0959">
          <w:pPr>
            <w:spacing w:line="360" w:lineRule="auto"/>
            <w:jc w:val="left"/>
            <w:rPr>
              <w:rFonts w:cs="Arial"/>
              <w:sz w:val="22"/>
            </w:rPr>
          </w:pPr>
          <w:r w:rsidRPr="00647DC0">
            <w:rPr>
              <w:rFonts w:cs="Arial"/>
              <w:b/>
              <w:bCs/>
              <w:noProof/>
              <w:sz w:val="22"/>
            </w:rPr>
            <w:fldChar w:fldCharType="end"/>
          </w:r>
        </w:p>
      </w:sdtContent>
    </w:sdt>
    <w:p w14:paraId="45B35AF0" w14:textId="77777777" w:rsidR="0089651A" w:rsidRDefault="0089651A" w:rsidP="004C0959">
      <w:pPr>
        <w:spacing w:before="0" w:after="160" w:line="259" w:lineRule="auto"/>
        <w:ind w:firstLine="0"/>
        <w:contextualSpacing w:val="0"/>
        <w:jc w:val="left"/>
        <w:rPr>
          <w:rFonts w:cs="Arial"/>
          <w:b/>
          <w:i/>
          <w:sz w:val="22"/>
        </w:rPr>
      </w:pPr>
      <w:bookmarkStart w:id="0" w:name="_Toc231592813"/>
      <w:r>
        <w:rPr>
          <w:rFonts w:cs="Arial"/>
          <w:sz w:val="22"/>
        </w:rPr>
        <w:br w:type="page"/>
      </w:r>
    </w:p>
    <w:p w14:paraId="7B21E0DA" w14:textId="4AFC220E" w:rsidR="00FB4DE5" w:rsidRPr="00647DC0" w:rsidRDefault="00742A5B" w:rsidP="004C0959">
      <w:pPr>
        <w:pStyle w:val="Heading1"/>
        <w:spacing w:line="360" w:lineRule="auto"/>
        <w:rPr>
          <w:rFonts w:cs="Arial"/>
          <w:sz w:val="22"/>
        </w:rPr>
      </w:pPr>
      <w:bookmarkStart w:id="1" w:name="_Toc235296671"/>
      <w:r w:rsidRPr="00647DC0">
        <w:rPr>
          <w:rFonts w:cs="Arial"/>
          <w:sz w:val="22"/>
        </w:rPr>
        <w:lastRenderedPageBreak/>
        <w:t xml:space="preserve">Chapter </w:t>
      </w:r>
      <w:r w:rsidR="00FB4DE5" w:rsidRPr="00647DC0">
        <w:rPr>
          <w:rFonts w:cs="Arial"/>
          <w:sz w:val="22"/>
        </w:rPr>
        <w:t xml:space="preserve">1: </w:t>
      </w:r>
      <w:r w:rsidRPr="00647DC0">
        <w:rPr>
          <w:rFonts w:cs="Arial"/>
          <w:sz w:val="22"/>
        </w:rPr>
        <w:t>Introduction</w:t>
      </w:r>
      <w:bookmarkEnd w:id="0"/>
      <w:bookmarkEnd w:id="1"/>
    </w:p>
    <w:p w14:paraId="5DBBF2E5" w14:textId="77777777" w:rsidR="00FB4DE5" w:rsidRPr="00647DC0" w:rsidRDefault="00FB4DE5" w:rsidP="004C0959">
      <w:pPr>
        <w:pStyle w:val="Heading2"/>
        <w:spacing w:line="360" w:lineRule="auto"/>
        <w:rPr>
          <w:rFonts w:cs="Arial"/>
          <w:sz w:val="22"/>
        </w:rPr>
      </w:pPr>
      <w:bookmarkStart w:id="2" w:name="_Toc231592814"/>
      <w:bookmarkStart w:id="3" w:name="_Toc235296672"/>
      <w:r w:rsidRPr="00647DC0">
        <w:rPr>
          <w:rFonts w:cs="Arial"/>
          <w:sz w:val="22"/>
        </w:rPr>
        <w:t>1.1 Introduction</w:t>
      </w:r>
      <w:bookmarkEnd w:id="2"/>
      <w:bookmarkEnd w:id="3"/>
    </w:p>
    <w:p w14:paraId="0E622405" w14:textId="77777777" w:rsidR="00FB4DE5" w:rsidRPr="00647DC0" w:rsidRDefault="00FB4DE5" w:rsidP="004C0959">
      <w:pPr>
        <w:spacing w:line="360" w:lineRule="auto"/>
        <w:jc w:val="left"/>
        <w:rPr>
          <w:rFonts w:cs="Arial"/>
          <w:sz w:val="22"/>
        </w:rPr>
      </w:pPr>
      <w:r w:rsidRPr="00647DC0">
        <w:rPr>
          <w:rFonts w:cs="Arial"/>
          <w:sz w:val="22"/>
        </w:rPr>
        <w:t>The international automotive industry is in a period of intense change today, as technology continues to advance at a phenomenal pace, sustainability is a top priority, and competition in the global marketplace is increasing. In an uncertain business landscape, automotive groups are continually finding themselves in need of changing their approach to leadership and their practices in order to stay competitive. Today, automotive is in the midst of a significant transformation of its value chain in the age of electric vehicles (EVs), digital technologies and environmentally friendly production. According to Khan and Pervin (2024), technology disruption has created innovation, digitalisation and strategic agility in the automotive industry, which has changed the way companies conduct their business.</w:t>
      </w:r>
    </w:p>
    <w:p w14:paraId="660C8BB6" w14:textId="77777777" w:rsidR="00FB4DE5" w:rsidRPr="00647DC0" w:rsidRDefault="00FB4DE5" w:rsidP="004C0959">
      <w:pPr>
        <w:spacing w:line="360" w:lineRule="auto"/>
        <w:jc w:val="left"/>
        <w:rPr>
          <w:rFonts w:cs="Arial"/>
          <w:sz w:val="22"/>
        </w:rPr>
      </w:pPr>
      <w:r w:rsidRPr="00647DC0">
        <w:rPr>
          <w:rFonts w:cs="Arial"/>
          <w:sz w:val="22"/>
        </w:rPr>
        <w:t>Ford Motor Company is one of the most well-known auto manufacturers in the world, and has been an important contributor to industrialisation and automotive production. However, with new market uncertainty and increased demand from customers to provide sustainable transportation options, Ford is under pressure to realign its business and organisation. These are the times when organisations have to adopt the practice of adaptive leadership and strategic management in order to manage the turbulence in the market and keep up the competitive pressure (Haque et al., 2024). To overcome this, Ford has focused more on innovation, sustainability and organisational change to remain a competitive player in the automotive industry.</w:t>
      </w:r>
    </w:p>
    <w:p w14:paraId="0A58B24B" w14:textId="77777777" w:rsidR="00FB4DE5" w:rsidRPr="00647DC0" w:rsidRDefault="00FB4DE5" w:rsidP="004C0959">
      <w:pPr>
        <w:spacing w:line="360" w:lineRule="auto"/>
        <w:jc w:val="left"/>
        <w:rPr>
          <w:rFonts w:cs="Arial"/>
          <w:sz w:val="22"/>
        </w:rPr>
      </w:pPr>
      <w:r w:rsidRPr="00647DC0">
        <w:rPr>
          <w:rFonts w:cs="Arial"/>
          <w:sz w:val="22"/>
        </w:rPr>
        <w:t>This dissertation explores Ford Motor Company's leadership and strategic management practices during the transformation of the organisation in the modern automotive industry in a critical way. This research focuses on how technological disruption, sustainability concerns and competition in the marketplace affect Ford's organisational performance and its business development process.</w:t>
      </w:r>
    </w:p>
    <w:p w14:paraId="07BC8D50" w14:textId="77777777" w:rsidR="00FB4DE5" w:rsidRPr="00647DC0" w:rsidRDefault="00FB4DE5" w:rsidP="004C0959">
      <w:pPr>
        <w:pStyle w:val="Heading2"/>
        <w:spacing w:line="360" w:lineRule="auto"/>
        <w:rPr>
          <w:rFonts w:cs="Arial"/>
          <w:sz w:val="22"/>
        </w:rPr>
      </w:pPr>
      <w:bookmarkStart w:id="4" w:name="_Toc235296673"/>
      <w:r w:rsidRPr="00647DC0">
        <w:rPr>
          <w:rFonts w:cs="Arial"/>
          <w:sz w:val="22"/>
        </w:rPr>
        <w:t>1.2 Background</w:t>
      </w:r>
      <w:bookmarkEnd w:id="4"/>
    </w:p>
    <w:p w14:paraId="6785F407" w14:textId="77777777" w:rsidR="00FB4DE5" w:rsidRPr="00647DC0" w:rsidRDefault="00FB4DE5" w:rsidP="004C0959">
      <w:pPr>
        <w:spacing w:line="360" w:lineRule="auto"/>
        <w:jc w:val="left"/>
        <w:rPr>
          <w:rFonts w:cs="Arial"/>
          <w:sz w:val="22"/>
        </w:rPr>
      </w:pPr>
      <w:r w:rsidRPr="00647DC0">
        <w:rPr>
          <w:rFonts w:cs="Arial"/>
          <w:sz w:val="22"/>
        </w:rPr>
        <w:t xml:space="preserve">Ford Motor Company is well known as one of the most impactful companies in the worldwide automotive sector. The company's success beyond the borders of its country was due to mass production innovation and efficient manufacturing systems, which revolutionised industrial production around the world (Bainbridge, 2022). However, in the current volatility of the automotive industry, along with pressures from sustainability, competition from around the world, changing consumer wants and needs, and technology developments, all are having an </w:t>
      </w:r>
      <w:r w:rsidRPr="00647DC0">
        <w:rPr>
          <w:rFonts w:cs="Arial"/>
          <w:sz w:val="22"/>
        </w:rPr>
        <w:lastRenderedPageBreak/>
        <w:t>impact. In today's automotive organisations, profitability, sustainability, operating efficiency and innovation are key, and all are competing against each other.</w:t>
      </w:r>
    </w:p>
    <w:p w14:paraId="18EF92B4" w14:textId="77777777" w:rsidR="00FB4DE5" w:rsidRPr="00647DC0" w:rsidRDefault="00FB4DE5" w:rsidP="004C0959">
      <w:pPr>
        <w:spacing w:line="360" w:lineRule="auto"/>
        <w:jc w:val="left"/>
        <w:rPr>
          <w:rFonts w:cs="Arial"/>
          <w:sz w:val="22"/>
        </w:rPr>
      </w:pPr>
      <w:r w:rsidRPr="00647DC0">
        <w:rPr>
          <w:rFonts w:cs="Arial"/>
          <w:sz w:val="22"/>
        </w:rPr>
        <w:t>The growing adoption of EVs and sustainable mobility has been driving a demand for the auto industry to adapt its business models. In a volatile and uncertain automotive market, Boopathi and Kautish (2024) have identified cost competitiveness, sustainability and customer-focused strategies as key elements of any organisation's success. The mix of these has caused Ford big problems as they attempt to keep their business profitable, fund technological development and satisfy their customers' expectations, while remaining competitive with rival firms like Tesla and Toyota.</w:t>
      </w:r>
    </w:p>
    <w:p w14:paraId="39DBB4EB" w14:textId="77777777" w:rsidR="00FB4DE5" w:rsidRPr="00647DC0" w:rsidRDefault="00FB4DE5" w:rsidP="004C0959">
      <w:pPr>
        <w:spacing w:line="360" w:lineRule="auto"/>
        <w:jc w:val="left"/>
        <w:rPr>
          <w:rFonts w:cs="Arial"/>
          <w:sz w:val="22"/>
        </w:rPr>
      </w:pPr>
      <w:r w:rsidRPr="00647DC0">
        <w:rPr>
          <w:rFonts w:cs="Arial"/>
          <w:sz w:val="22"/>
        </w:rPr>
        <w:t>Leadership and strategic management are key components to change organisations and to keep their businesses alive. In times of uncertainty and industrial disruption, effective leadership can foster organisational resilience, innovation and efficiency, argue Badiru and Tourangeau (2023). Likewise, Warrick and Mulally (2024) highlight the role Alan Mulally played in Ford's organisational recovery and establishment of an organisational culture based on people. Good leadership is thus still crucial in companies looking to deal with volatile market dynamics and technological progress.</w:t>
      </w:r>
    </w:p>
    <w:p w14:paraId="3CB877AF" w14:textId="77777777" w:rsidR="00FB4DE5" w:rsidRPr="00647DC0" w:rsidRDefault="00FB4DE5" w:rsidP="004C0959">
      <w:pPr>
        <w:spacing w:line="360" w:lineRule="auto"/>
        <w:jc w:val="left"/>
        <w:rPr>
          <w:rFonts w:cs="Arial"/>
          <w:sz w:val="22"/>
        </w:rPr>
      </w:pPr>
      <w:r w:rsidRPr="00647DC0">
        <w:rPr>
          <w:rFonts w:cs="Arial"/>
          <w:sz w:val="22"/>
        </w:rPr>
        <w:t>In addition, due to technological evolution, Automotive companies have been forced to implement state-of-the-art digital systems, artificial intelligence, automation, and Sustainable Manufacturing. Technology-driven transformation is an important factor that increases the competitiveness of the organisation and is used in the decision-making process of its managers (Khan and Pervin, 2024). Ford has been increasingly working on developing EVs, digital innovations, and sustainable manufacturing processes to strengthen its market position and increase the performance of the organisation. These trends have also led to difficulties in the operation of supply chains, strategic planning, production costs and organisational adaptation.</w:t>
      </w:r>
    </w:p>
    <w:p w14:paraId="0BD44606" w14:textId="77777777" w:rsidR="00FB4DE5" w:rsidRDefault="00FB4DE5" w:rsidP="004C0959">
      <w:pPr>
        <w:spacing w:line="360" w:lineRule="auto"/>
        <w:jc w:val="left"/>
        <w:rPr>
          <w:rFonts w:cs="Arial"/>
          <w:sz w:val="22"/>
        </w:rPr>
      </w:pPr>
      <w:r w:rsidRPr="00647DC0">
        <w:rPr>
          <w:rFonts w:cs="Arial"/>
          <w:sz w:val="22"/>
        </w:rPr>
        <w:t>In addition, uncertainties in the global business landscape are still rising as a result of economic instability, inflation, geopolitical issues, and consumer behaviour. Businesses face a volatile environment, and organisations must have strategic flexibility and good leadership to maintain the organisation sustainability and growth (Aniebonam, 2024). Although some studies have been published in the literature that seek to discuss organisational transformation and leadership in the automotive sector, the research in which Ford Motor Company is the target of the study is very scarce and only mentions about strategic changes that the company has experienced in the face of technological disruption and sustainability problems. Hence, deeper research is required on Ford's leadership model, the management of the organisations and the competitive position of the organisations in the current vehicle industry.</w:t>
      </w:r>
    </w:p>
    <w:p w14:paraId="5B39A0D6" w14:textId="1D9E9289"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lastRenderedPageBreak/>
        <w:t>Technological &amp; Organisational Transformation</w:t>
      </w:r>
    </w:p>
    <w:p w14:paraId="4CDC1B17" w14:textId="67684E16"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33082A08" w14:textId="2788844D"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5B41453A" w14:textId="3B483D70"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 xml:space="preserve">│              │           </w:t>
      </w:r>
      <w:r>
        <w:rPr>
          <w:rFonts w:ascii="Times New Roman" w:hAnsi="Times New Roman" w:cs="Times New Roman"/>
          <w:sz w:val="22"/>
        </w:rPr>
        <w:t xml:space="preserve"> </w:t>
      </w:r>
      <w:r w:rsidRPr="003B75D1">
        <w:rPr>
          <w:rFonts w:ascii="Times New Roman" w:hAnsi="Times New Roman" w:cs="Times New Roman"/>
          <w:sz w:val="22"/>
        </w:rPr>
        <w:t xml:space="preserve">   │            </w:t>
      </w:r>
      <w:r>
        <w:rPr>
          <w:rFonts w:ascii="Times New Roman" w:hAnsi="Times New Roman" w:cs="Times New Roman"/>
          <w:sz w:val="22"/>
        </w:rPr>
        <w:t xml:space="preserve">   </w:t>
      </w:r>
      <w:r w:rsidRPr="003B75D1">
        <w:rPr>
          <w:rFonts w:ascii="Times New Roman" w:hAnsi="Times New Roman" w:cs="Times New Roman"/>
          <w:sz w:val="22"/>
        </w:rPr>
        <w:t xml:space="preserve"> │</w:t>
      </w:r>
    </w:p>
    <w:p w14:paraId="7209B77B" w14:textId="5D69C5C1" w:rsidR="003B75D1" w:rsidRPr="003B75D1" w:rsidRDefault="003B75D1" w:rsidP="00550016">
      <w:pPr>
        <w:spacing w:line="360" w:lineRule="auto"/>
        <w:ind w:firstLine="0"/>
        <w:jc w:val="center"/>
        <w:rPr>
          <w:rFonts w:ascii="Times New Roman" w:hAnsi="Times New Roman" w:cs="Times New Roman"/>
          <w:sz w:val="16"/>
          <w:szCs w:val="16"/>
        </w:rPr>
      </w:pPr>
      <w:r w:rsidRPr="003B75D1">
        <w:rPr>
          <w:rFonts w:ascii="Times New Roman" w:hAnsi="Times New Roman" w:cs="Times New Roman"/>
          <w:sz w:val="16"/>
          <w:szCs w:val="16"/>
        </w:rPr>
        <w:t>Technological     Sustainability   Competition   Government</w:t>
      </w:r>
    </w:p>
    <w:p w14:paraId="79D0DBB9" w14:textId="3DD475AC" w:rsidR="003B75D1" w:rsidRPr="003B75D1" w:rsidRDefault="003B75D1" w:rsidP="00550016">
      <w:pPr>
        <w:spacing w:line="360" w:lineRule="auto"/>
        <w:ind w:firstLine="0"/>
        <w:jc w:val="center"/>
        <w:rPr>
          <w:rFonts w:ascii="Times New Roman" w:hAnsi="Times New Roman" w:cs="Times New Roman"/>
          <w:sz w:val="16"/>
          <w:szCs w:val="16"/>
        </w:rPr>
      </w:pPr>
      <w:r w:rsidRPr="003B75D1">
        <w:rPr>
          <w:rFonts w:ascii="Times New Roman" w:hAnsi="Times New Roman" w:cs="Times New Roman"/>
          <w:sz w:val="16"/>
          <w:szCs w:val="16"/>
        </w:rPr>
        <w:t>Innovation         &amp; ESG          &amp; Consumer      Policies</w:t>
      </w:r>
    </w:p>
    <w:p w14:paraId="5C8A33BA" w14:textId="1AB32B4B" w:rsidR="003B75D1" w:rsidRPr="003B75D1" w:rsidRDefault="003B75D1" w:rsidP="00550016">
      <w:pPr>
        <w:spacing w:line="360" w:lineRule="auto"/>
        <w:ind w:firstLine="0"/>
        <w:jc w:val="center"/>
        <w:rPr>
          <w:rFonts w:ascii="Times New Roman" w:hAnsi="Times New Roman" w:cs="Times New Roman"/>
          <w:sz w:val="16"/>
          <w:szCs w:val="16"/>
        </w:rPr>
      </w:pPr>
      <w:r w:rsidRPr="003B75D1">
        <w:rPr>
          <w:rFonts w:ascii="Times New Roman" w:hAnsi="Times New Roman" w:cs="Times New Roman"/>
          <w:sz w:val="16"/>
          <w:szCs w:val="16"/>
        </w:rPr>
        <w:t>(EVs, AI)                                  Demand       &amp; Regulation</w:t>
      </w:r>
    </w:p>
    <w:p w14:paraId="3CEF5996" w14:textId="66908D9F"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 xml:space="preserve">│              │            </w:t>
      </w:r>
      <w:r>
        <w:rPr>
          <w:rFonts w:ascii="Times New Roman" w:hAnsi="Times New Roman" w:cs="Times New Roman"/>
          <w:sz w:val="22"/>
        </w:rPr>
        <w:t xml:space="preserve">   </w:t>
      </w:r>
      <w:r w:rsidRPr="003B75D1">
        <w:rPr>
          <w:rFonts w:ascii="Times New Roman" w:hAnsi="Times New Roman" w:cs="Times New Roman"/>
          <w:sz w:val="22"/>
        </w:rPr>
        <w:t xml:space="preserve">  │            </w:t>
      </w:r>
      <w:r>
        <w:rPr>
          <w:rFonts w:ascii="Times New Roman" w:hAnsi="Times New Roman" w:cs="Times New Roman"/>
          <w:sz w:val="22"/>
        </w:rPr>
        <w:t xml:space="preserve"> </w:t>
      </w:r>
      <w:r w:rsidRPr="003B75D1">
        <w:rPr>
          <w:rFonts w:ascii="Times New Roman" w:hAnsi="Times New Roman" w:cs="Times New Roman"/>
          <w:sz w:val="22"/>
        </w:rPr>
        <w:t xml:space="preserve"> │</w:t>
      </w:r>
    </w:p>
    <w:p w14:paraId="454CA25D" w14:textId="52960180"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27FD9F94" w14:textId="5FC46530"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47DFC9C8" w14:textId="0C6ACC8A"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6F4CCF67" w14:textId="78358566"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Ford Motor Company's Leadership</w:t>
      </w:r>
    </w:p>
    <w:p w14:paraId="70BD82C6" w14:textId="384B8DE5"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&amp; Strategic Management Response</w:t>
      </w:r>
    </w:p>
    <w:p w14:paraId="314ED68C" w14:textId="458F5D23"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38899300" w14:textId="27F4E47A"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763584AF" w14:textId="78EDF136" w:rsidR="003B75D1" w:rsidRPr="003B75D1" w:rsidRDefault="003B75D1" w:rsidP="00550016">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Innovation • Organisational Change • EV Strategy • Business Performance</w:t>
      </w:r>
    </w:p>
    <w:p w14:paraId="7FD37C4A" w14:textId="34C909EE" w:rsidR="003B75D1" w:rsidRPr="003B75D1" w:rsidRDefault="003B75D1" w:rsidP="003B75D1">
      <w:pPr>
        <w:pStyle w:val="Heading2"/>
        <w:spacing w:line="360" w:lineRule="auto"/>
        <w:jc w:val="center"/>
        <w:rPr>
          <w:rFonts w:cs="Arial"/>
          <w:i w:val="0"/>
          <w:iCs/>
          <w:sz w:val="20"/>
          <w:szCs w:val="20"/>
        </w:rPr>
      </w:pPr>
      <w:bookmarkStart w:id="5" w:name="_Toc235296674"/>
      <w:bookmarkStart w:id="6" w:name="_Toc231592816"/>
      <w:r w:rsidRPr="003B75D1">
        <w:rPr>
          <w:rStyle w:val="Strong"/>
          <w:b w:val="0"/>
          <w:bCs w:val="0"/>
          <w:sz w:val="20"/>
          <w:szCs w:val="20"/>
        </w:rPr>
        <w:t>Figure 1.1:</w:t>
      </w:r>
      <w:r w:rsidRPr="003B75D1">
        <w:rPr>
          <w:sz w:val="20"/>
          <w:szCs w:val="20"/>
        </w:rPr>
        <w:t xml:space="preserve"> </w:t>
      </w:r>
      <w:r w:rsidRPr="003B75D1">
        <w:rPr>
          <w:rStyle w:val="Emphasis"/>
          <w:i/>
          <w:iCs w:val="0"/>
          <w:sz w:val="20"/>
          <w:szCs w:val="20"/>
        </w:rPr>
        <w:t>Conceptual overview of the factors influencing Ford Motor Company's leadership and strategic management during technological and organisational transformation.</w:t>
      </w:r>
      <w:bookmarkEnd w:id="5"/>
    </w:p>
    <w:p w14:paraId="698F18A9" w14:textId="7FD74087" w:rsidR="00FB4DE5" w:rsidRPr="00647DC0" w:rsidRDefault="00FB4DE5" w:rsidP="004C0959">
      <w:pPr>
        <w:pStyle w:val="Heading2"/>
        <w:spacing w:line="360" w:lineRule="auto"/>
        <w:rPr>
          <w:rFonts w:cs="Arial"/>
          <w:sz w:val="22"/>
        </w:rPr>
      </w:pPr>
      <w:bookmarkStart w:id="7" w:name="_Toc235296675"/>
      <w:r w:rsidRPr="00647DC0">
        <w:rPr>
          <w:rFonts w:cs="Arial"/>
          <w:sz w:val="22"/>
        </w:rPr>
        <w:t>1.3 Research Aim</w:t>
      </w:r>
      <w:bookmarkEnd w:id="6"/>
      <w:bookmarkEnd w:id="7"/>
    </w:p>
    <w:p w14:paraId="31B20C59" w14:textId="77777777" w:rsidR="00FB4DE5" w:rsidRPr="00647DC0" w:rsidRDefault="00FB4DE5" w:rsidP="004C0959">
      <w:pPr>
        <w:spacing w:line="360" w:lineRule="auto"/>
        <w:jc w:val="left"/>
        <w:rPr>
          <w:rFonts w:cs="Arial"/>
          <w:sz w:val="22"/>
        </w:rPr>
      </w:pPr>
      <w:r w:rsidRPr="00647DC0">
        <w:rPr>
          <w:rFonts w:cs="Arial"/>
          <w:sz w:val="22"/>
        </w:rPr>
        <w:t>The primary aim of this research is to examine the strategies of Ford Motor Company concerning its move to electric vehicles (EVs) and other significant barriers.</w:t>
      </w:r>
    </w:p>
    <w:p w14:paraId="16907CF7" w14:textId="77777777" w:rsidR="00FB4DE5" w:rsidRPr="00647DC0" w:rsidRDefault="00FB4DE5" w:rsidP="004C0959">
      <w:pPr>
        <w:pStyle w:val="Heading2"/>
        <w:spacing w:line="360" w:lineRule="auto"/>
        <w:rPr>
          <w:rFonts w:cs="Arial"/>
          <w:sz w:val="22"/>
        </w:rPr>
      </w:pPr>
      <w:bookmarkStart w:id="8" w:name="_Toc231592817"/>
      <w:bookmarkStart w:id="9" w:name="_Toc235296676"/>
      <w:r w:rsidRPr="00647DC0">
        <w:rPr>
          <w:rFonts w:cs="Arial"/>
          <w:sz w:val="22"/>
        </w:rPr>
        <w:t>1.4 Research Objectives</w:t>
      </w:r>
      <w:bookmarkEnd w:id="8"/>
      <w:bookmarkEnd w:id="9"/>
    </w:p>
    <w:p w14:paraId="4016BFE9" w14:textId="77777777" w:rsidR="00FB4DE5" w:rsidRPr="00647DC0" w:rsidRDefault="00FB4DE5" w:rsidP="004C0959">
      <w:pPr>
        <w:pStyle w:val="ListParagraph"/>
        <w:numPr>
          <w:ilvl w:val="0"/>
          <w:numId w:val="1"/>
        </w:numPr>
        <w:spacing w:before="0" w:after="160" w:line="360" w:lineRule="auto"/>
        <w:jc w:val="left"/>
        <w:rPr>
          <w:rFonts w:cs="Arial"/>
          <w:sz w:val="22"/>
        </w:rPr>
      </w:pPr>
      <w:bookmarkStart w:id="10" w:name="_Toc231592818"/>
      <w:r w:rsidRPr="00647DC0">
        <w:rPr>
          <w:rFonts w:cs="Arial"/>
          <w:sz w:val="22"/>
        </w:rPr>
        <w:t>To examine the consumer attitudes and perceptions about electric vehicles offered by Ford and compare them to those of its competitors.</w:t>
      </w:r>
    </w:p>
    <w:p w14:paraId="43CD1F9E" w14:textId="77777777" w:rsidR="00FB4DE5" w:rsidRPr="00647DC0" w:rsidRDefault="00FB4DE5" w:rsidP="004C0959">
      <w:pPr>
        <w:pStyle w:val="ListParagraph"/>
        <w:numPr>
          <w:ilvl w:val="0"/>
          <w:numId w:val="1"/>
        </w:numPr>
        <w:spacing w:before="0" w:after="160" w:line="360" w:lineRule="auto"/>
        <w:jc w:val="left"/>
        <w:rPr>
          <w:rFonts w:cs="Arial"/>
          <w:sz w:val="22"/>
        </w:rPr>
      </w:pPr>
      <w:r w:rsidRPr="00647DC0">
        <w:rPr>
          <w:rFonts w:cs="Arial"/>
          <w:sz w:val="22"/>
        </w:rPr>
        <w:t>To research the way other auto companies are responding to the transition to EVs, paying attention to best practices and lessons learned.</w:t>
      </w:r>
    </w:p>
    <w:p w14:paraId="2F42BF4D" w14:textId="77777777" w:rsidR="00FB4DE5" w:rsidRPr="00647DC0" w:rsidRDefault="00FB4DE5" w:rsidP="004C0959">
      <w:pPr>
        <w:pStyle w:val="ListParagraph"/>
        <w:numPr>
          <w:ilvl w:val="0"/>
          <w:numId w:val="1"/>
        </w:numPr>
        <w:spacing w:before="0" w:after="160" w:line="360" w:lineRule="auto"/>
        <w:jc w:val="left"/>
        <w:rPr>
          <w:rFonts w:cs="Arial"/>
          <w:sz w:val="22"/>
        </w:rPr>
      </w:pPr>
      <w:r w:rsidRPr="00647DC0">
        <w:rPr>
          <w:rFonts w:cs="Arial"/>
          <w:sz w:val="22"/>
        </w:rPr>
        <w:t>To assess how the government policies and incentives impact the electric vehicle strategy of Ford, as well as the opportunities and challenges.</w:t>
      </w:r>
    </w:p>
    <w:p w14:paraId="2EB1AAB7" w14:textId="77777777" w:rsidR="00FB4DE5" w:rsidRPr="00647DC0" w:rsidRDefault="00FB4DE5" w:rsidP="004C0959">
      <w:pPr>
        <w:pStyle w:val="Heading2"/>
        <w:spacing w:line="360" w:lineRule="auto"/>
        <w:rPr>
          <w:rFonts w:cs="Arial"/>
          <w:sz w:val="22"/>
        </w:rPr>
      </w:pPr>
      <w:bookmarkStart w:id="11" w:name="_Toc235296677"/>
      <w:r w:rsidRPr="00647DC0">
        <w:rPr>
          <w:rFonts w:cs="Arial"/>
          <w:sz w:val="22"/>
        </w:rPr>
        <w:t>1.5 Research Questions</w:t>
      </w:r>
      <w:bookmarkEnd w:id="10"/>
      <w:bookmarkEnd w:id="11"/>
    </w:p>
    <w:p w14:paraId="70EEFBBB" w14:textId="77777777" w:rsidR="00FB4DE5" w:rsidRPr="00647DC0" w:rsidRDefault="00FB4DE5" w:rsidP="004C0959">
      <w:pPr>
        <w:pStyle w:val="ListParagraph"/>
        <w:numPr>
          <w:ilvl w:val="0"/>
          <w:numId w:val="2"/>
        </w:numPr>
        <w:spacing w:before="0" w:after="160" w:line="360" w:lineRule="auto"/>
        <w:jc w:val="left"/>
        <w:rPr>
          <w:rFonts w:cs="Arial"/>
          <w:sz w:val="22"/>
        </w:rPr>
      </w:pPr>
      <w:bookmarkStart w:id="12" w:name="_Toc231592819"/>
      <w:r w:rsidRPr="00647DC0">
        <w:rPr>
          <w:rFonts w:cs="Arial"/>
          <w:sz w:val="22"/>
        </w:rPr>
        <w:t>What are the key challenges which Ford currently faces in its operation towards electric cars, and what are the impacts of these challenges to their business performance?</w:t>
      </w:r>
    </w:p>
    <w:p w14:paraId="1B3C1931" w14:textId="77777777" w:rsidR="00FB4DE5" w:rsidRPr="00647DC0" w:rsidRDefault="00FB4DE5" w:rsidP="004C0959">
      <w:pPr>
        <w:pStyle w:val="ListParagraph"/>
        <w:numPr>
          <w:ilvl w:val="0"/>
          <w:numId w:val="2"/>
        </w:numPr>
        <w:spacing w:before="0" w:after="160" w:line="360" w:lineRule="auto"/>
        <w:jc w:val="left"/>
        <w:rPr>
          <w:rFonts w:cs="Arial"/>
          <w:sz w:val="22"/>
        </w:rPr>
      </w:pPr>
      <w:r w:rsidRPr="00647DC0">
        <w:rPr>
          <w:rFonts w:cs="Arial"/>
          <w:sz w:val="22"/>
        </w:rPr>
        <w:t>How do consumers perceive the electric vehicle initiatives of Ford in comparison to those of competitors like Tesla and GM?</w:t>
      </w:r>
    </w:p>
    <w:p w14:paraId="6B9F21C6" w14:textId="77777777" w:rsidR="00FB4DE5" w:rsidRPr="00647DC0" w:rsidRDefault="00FB4DE5" w:rsidP="004C0959">
      <w:pPr>
        <w:pStyle w:val="ListParagraph"/>
        <w:numPr>
          <w:ilvl w:val="0"/>
          <w:numId w:val="2"/>
        </w:numPr>
        <w:spacing w:before="0" w:after="160" w:line="360" w:lineRule="auto"/>
        <w:jc w:val="left"/>
        <w:rPr>
          <w:rFonts w:cs="Arial"/>
          <w:sz w:val="22"/>
        </w:rPr>
      </w:pPr>
      <w:r w:rsidRPr="00647DC0">
        <w:rPr>
          <w:rFonts w:cs="Arial"/>
          <w:sz w:val="22"/>
        </w:rPr>
        <w:lastRenderedPageBreak/>
        <w:t>What impact do the government policies and incentives have on the strategy of production and sales of the electric vehicles at Ford?</w:t>
      </w:r>
    </w:p>
    <w:p w14:paraId="52DF92E1" w14:textId="77777777" w:rsidR="00FB4DE5" w:rsidRPr="00647DC0" w:rsidRDefault="00FB4DE5" w:rsidP="004C0959">
      <w:pPr>
        <w:pStyle w:val="Heading2"/>
        <w:spacing w:line="360" w:lineRule="auto"/>
        <w:rPr>
          <w:rFonts w:cs="Arial"/>
          <w:sz w:val="22"/>
        </w:rPr>
      </w:pPr>
      <w:bookmarkStart w:id="13" w:name="_Toc235296678"/>
      <w:r w:rsidRPr="00647DC0">
        <w:rPr>
          <w:rFonts w:cs="Arial"/>
          <w:sz w:val="22"/>
        </w:rPr>
        <w:t>1.6 Chapter Summary</w:t>
      </w:r>
      <w:bookmarkEnd w:id="12"/>
      <w:bookmarkEnd w:id="13"/>
    </w:p>
    <w:p w14:paraId="66129595" w14:textId="447B4DDF" w:rsidR="00742A5B" w:rsidRDefault="00FB4DE5" w:rsidP="004C0959">
      <w:pPr>
        <w:spacing w:line="360" w:lineRule="auto"/>
        <w:jc w:val="left"/>
        <w:rPr>
          <w:rFonts w:cs="Arial"/>
          <w:sz w:val="22"/>
        </w:rPr>
      </w:pPr>
      <w:r w:rsidRPr="00647DC0">
        <w:rPr>
          <w:rFonts w:cs="Arial"/>
          <w:sz w:val="22"/>
        </w:rPr>
        <w:t>This chapter opened the discussion on the research topic by providing an overview of the organisational change of Ford Motor Company, the leadership strategies and challenges that are experienced in the present-day global automotive industry. The chapter explored the challenges of technological disruption, sustainability and market competition in organisational management practices at Ford, and the impact of each of these challenges. Besides, the research purpose, objective and research questions were formulated to bring direction to the research. The next chapter will critically analyse literature, theories and previous research related to leadership, strategic management, sustainability and organisational transformation in the automotive industry.</w:t>
      </w:r>
    </w:p>
    <w:p w14:paraId="3C0C2F8F"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Research Aim</w:t>
      </w:r>
    </w:p>
    <w:p w14:paraId="3A8951F3" w14:textId="1B9498F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41199851" w14:textId="2EBD0982"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0DF52861"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Evaluate Ford's leadership and strategic management</w:t>
      </w:r>
    </w:p>
    <w:p w14:paraId="111AD99F"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during technological and organisational transformation</w:t>
      </w:r>
    </w:p>
    <w:p w14:paraId="4E1B6E12" w14:textId="25228889"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0D5A830E" w14:textId="38DCAE1C"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646273BF"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Research Objectives</w:t>
      </w:r>
    </w:p>
    <w:p w14:paraId="2FFF410D"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 Consumer perceptions</w:t>
      </w:r>
    </w:p>
    <w:p w14:paraId="6E6F6151"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 Competitor responses</w:t>
      </w:r>
    </w:p>
    <w:p w14:paraId="41F55936"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 Government policy</w:t>
      </w:r>
    </w:p>
    <w:p w14:paraId="7C6C3EF6" w14:textId="051046CF"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5FB8551B" w14:textId="5C79367C"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3DA5E2D2" w14:textId="77777777"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Research Questions</w:t>
      </w:r>
    </w:p>
    <w:p w14:paraId="1FFB6F5A" w14:textId="312C113C"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0BEB9A1A" w14:textId="029DEAA4"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w:t>
      </w:r>
    </w:p>
    <w:p w14:paraId="111804CF" w14:textId="68839915" w:rsidR="003B75D1" w:rsidRPr="003B75D1" w:rsidRDefault="003B75D1" w:rsidP="003B75D1">
      <w:pPr>
        <w:spacing w:line="360" w:lineRule="auto"/>
        <w:ind w:firstLine="0"/>
        <w:jc w:val="center"/>
        <w:rPr>
          <w:rFonts w:ascii="Times New Roman" w:hAnsi="Times New Roman" w:cs="Times New Roman"/>
          <w:sz w:val="22"/>
        </w:rPr>
      </w:pPr>
      <w:r w:rsidRPr="003B75D1">
        <w:rPr>
          <w:rFonts w:ascii="Times New Roman" w:hAnsi="Times New Roman" w:cs="Times New Roman"/>
          <w:sz w:val="22"/>
        </w:rPr>
        <w:t>Chapter 2 → Chapter 3 → Chapter 4 → Chapter 5</w:t>
      </w:r>
    </w:p>
    <w:p w14:paraId="49674678" w14:textId="4212B4ED" w:rsidR="00742A5B" w:rsidRPr="00550016" w:rsidRDefault="00550016" w:rsidP="00550016">
      <w:pPr>
        <w:spacing w:before="0" w:after="160" w:line="360" w:lineRule="auto"/>
        <w:ind w:firstLine="0"/>
        <w:contextualSpacing w:val="0"/>
        <w:jc w:val="center"/>
        <w:rPr>
          <w:rFonts w:cs="Arial"/>
          <w:i/>
          <w:iCs/>
          <w:sz w:val="20"/>
          <w:szCs w:val="20"/>
        </w:rPr>
      </w:pPr>
      <w:r w:rsidRPr="00550016">
        <w:rPr>
          <w:rStyle w:val="Strong"/>
          <w:b w:val="0"/>
          <w:bCs w:val="0"/>
          <w:i/>
          <w:iCs/>
          <w:sz w:val="20"/>
          <w:szCs w:val="20"/>
        </w:rPr>
        <w:t>Figure 1.3:</w:t>
      </w:r>
      <w:r w:rsidRPr="00550016">
        <w:rPr>
          <w:i/>
          <w:iCs/>
          <w:sz w:val="20"/>
          <w:szCs w:val="20"/>
        </w:rPr>
        <w:t xml:space="preserve"> Alignment between the research aim, objectives, questions and dissertation chapters.</w:t>
      </w:r>
    </w:p>
    <w:p w14:paraId="225DE5CE" w14:textId="77777777" w:rsidR="00550016" w:rsidRDefault="00550016" w:rsidP="004C0959">
      <w:pPr>
        <w:pStyle w:val="Heading1"/>
        <w:spacing w:line="360" w:lineRule="auto"/>
        <w:rPr>
          <w:rFonts w:cs="Arial"/>
          <w:sz w:val="22"/>
        </w:rPr>
      </w:pPr>
    </w:p>
    <w:p w14:paraId="1D622335" w14:textId="77777777" w:rsidR="00550016" w:rsidRDefault="00550016" w:rsidP="004C0959">
      <w:pPr>
        <w:pStyle w:val="Heading1"/>
        <w:spacing w:line="360" w:lineRule="auto"/>
        <w:rPr>
          <w:rFonts w:cs="Arial"/>
          <w:sz w:val="22"/>
        </w:rPr>
      </w:pPr>
    </w:p>
    <w:p w14:paraId="26A8324E" w14:textId="77777777" w:rsidR="00550016" w:rsidRDefault="00550016" w:rsidP="004C0959">
      <w:pPr>
        <w:pStyle w:val="Heading1"/>
        <w:spacing w:line="360" w:lineRule="auto"/>
        <w:rPr>
          <w:rFonts w:cs="Arial"/>
          <w:sz w:val="22"/>
        </w:rPr>
      </w:pPr>
    </w:p>
    <w:p w14:paraId="1A0736FF" w14:textId="58ED677E" w:rsidR="00742A5B" w:rsidRPr="00647DC0" w:rsidRDefault="00742A5B" w:rsidP="004C0959">
      <w:pPr>
        <w:pStyle w:val="Heading1"/>
        <w:spacing w:line="360" w:lineRule="auto"/>
        <w:rPr>
          <w:rFonts w:cs="Arial"/>
          <w:sz w:val="22"/>
        </w:rPr>
      </w:pPr>
      <w:bookmarkStart w:id="14" w:name="_Toc235296679"/>
      <w:r w:rsidRPr="00647DC0">
        <w:rPr>
          <w:rFonts w:cs="Arial"/>
          <w:sz w:val="22"/>
        </w:rPr>
        <w:lastRenderedPageBreak/>
        <w:t>Chapter 2: Literature Review</w:t>
      </w:r>
      <w:bookmarkEnd w:id="14"/>
    </w:p>
    <w:p w14:paraId="2A01431C" w14:textId="0357783F" w:rsidR="00742A5B" w:rsidRPr="00647DC0" w:rsidRDefault="00742A5B" w:rsidP="004C0959">
      <w:pPr>
        <w:pStyle w:val="Heading2"/>
        <w:spacing w:line="360" w:lineRule="auto"/>
        <w:rPr>
          <w:rFonts w:cs="Arial"/>
          <w:sz w:val="22"/>
        </w:rPr>
      </w:pPr>
      <w:bookmarkStart w:id="15" w:name="_Toc235296680"/>
      <w:r w:rsidRPr="00647DC0">
        <w:rPr>
          <w:rFonts w:cs="Arial"/>
          <w:sz w:val="22"/>
        </w:rPr>
        <w:t>2.1 Introduction to the Literature Review</w:t>
      </w:r>
      <w:bookmarkEnd w:id="15"/>
    </w:p>
    <w:p w14:paraId="0D785E12" w14:textId="3F533BF0" w:rsidR="00742A5B" w:rsidRPr="00647DC0" w:rsidRDefault="00742A5B" w:rsidP="004C0959">
      <w:pPr>
        <w:spacing w:line="360" w:lineRule="auto"/>
        <w:jc w:val="left"/>
        <w:rPr>
          <w:rFonts w:cs="Arial"/>
          <w:sz w:val="22"/>
        </w:rPr>
      </w:pPr>
      <w:r w:rsidRPr="00647DC0">
        <w:rPr>
          <w:rStyle w:val="cursor-pointer"/>
          <w:rFonts w:cs="Arial"/>
          <w:sz w:val="22"/>
        </w:rPr>
        <w:t>Electric vehicles (EVs) are one of the largest technological shifts in the modern-day automotive landscape, changing customer practices, competition, regulations, and supply chains.</w:t>
      </w:r>
      <w:r w:rsidRPr="00647DC0">
        <w:rPr>
          <w:rFonts w:cs="Arial"/>
          <w:sz w:val="22"/>
        </w:rPr>
        <w:t xml:space="preserve"> </w:t>
      </w:r>
      <w:r w:rsidRPr="00647DC0">
        <w:rPr>
          <w:rStyle w:val="cursor-pointer"/>
          <w:rFonts w:cs="Arial"/>
          <w:sz w:val="22"/>
        </w:rPr>
        <w:t>This literature review critically reviews the theoretical and empirical literature on EV adoption and market development, and presents the findings in four thematic areas: consumer adoption, competitive analysis, government policy and regulation, and supply chain and sustainability.</w:t>
      </w:r>
      <w:r w:rsidRPr="00647DC0">
        <w:rPr>
          <w:rFonts w:cs="Arial"/>
          <w:sz w:val="22"/>
        </w:rPr>
        <w:t xml:space="preserve"> </w:t>
      </w:r>
      <w:r w:rsidRPr="00647DC0">
        <w:rPr>
          <w:rStyle w:val="cursor-pointer"/>
          <w:rFonts w:cs="Arial"/>
          <w:sz w:val="22"/>
        </w:rPr>
        <w:t>The two overarching theoretical frameworks used as guides for the present review</w:t>
      </w:r>
      <w:r w:rsidR="005637DE" w:rsidRPr="00647DC0">
        <w:rPr>
          <w:rStyle w:val="cursor-pointer"/>
          <w:rFonts w:cs="Arial"/>
          <w:sz w:val="22"/>
        </w:rPr>
        <w:t>.</w:t>
      </w:r>
    </w:p>
    <w:p w14:paraId="5DBD844C" w14:textId="77777777" w:rsidR="00742A5B" w:rsidRPr="00647DC0" w:rsidRDefault="00742A5B" w:rsidP="004C0959">
      <w:pPr>
        <w:pStyle w:val="Heading2"/>
        <w:spacing w:line="360" w:lineRule="auto"/>
        <w:rPr>
          <w:rFonts w:cs="Arial"/>
          <w:sz w:val="22"/>
        </w:rPr>
      </w:pPr>
      <w:bookmarkStart w:id="16" w:name="_Toc235296681"/>
      <w:r w:rsidRPr="00647DC0">
        <w:rPr>
          <w:rFonts w:cs="Arial"/>
          <w:sz w:val="22"/>
        </w:rPr>
        <w:t>2.2 Theoretical Framework</w:t>
      </w:r>
      <w:bookmarkEnd w:id="16"/>
    </w:p>
    <w:p w14:paraId="0CADD548" w14:textId="77777777" w:rsidR="00742A5B" w:rsidRPr="00647DC0" w:rsidRDefault="00742A5B" w:rsidP="004C0959">
      <w:pPr>
        <w:spacing w:line="360" w:lineRule="auto"/>
        <w:jc w:val="left"/>
        <w:rPr>
          <w:rFonts w:cs="Arial"/>
          <w:sz w:val="22"/>
        </w:rPr>
      </w:pPr>
      <w:r w:rsidRPr="00647DC0">
        <w:rPr>
          <w:rFonts w:cs="Arial"/>
          <w:sz w:val="22"/>
        </w:rPr>
        <w:t>Two overarching theoretical frameworks underpin this literature review. The first is the Technology Acceptance Model (TAM), as applied to the EV adoption context by Adnan et al. (2022). TAM posits that perceived usefulness (PU) and perceived ease of use (PE) are the primary determinants of an individual’s intention to adopt a new technology. In the EV context, Adnan et al. (2022) operationalise PU through variables such as range capability, energy cost savings, and environmental benefit, while PE is captured through charging convenience and digital connectivity. This model provides a structured lens through which consumer purchase intentions can be analysed across diverse markets.</w:t>
      </w:r>
    </w:p>
    <w:p w14:paraId="03DBD2CC" w14:textId="77777777" w:rsidR="00742A5B" w:rsidRPr="00647DC0" w:rsidRDefault="00742A5B" w:rsidP="004C0959">
      <w:pPr>
        <w:spacing w:line="360" w:lineRule="auto"/>
        <w:jc w:val="left"/>
        <w:rPr>
          <w:rFonts w:cs="Arial"/>
          <w:sz w:val="22"/>
        </w:rPr>
      </w:pPr>
      <w:r w:rsidRPr="00647DC0">
        <w:rPr>
          <w:rFonts w:cs="Arial"/>
          <w:sz w:val="22"/>
        </w:rPr>
        <w:t>The second framework is the Innovation Diffusion Theory, as applied to the electric mobility sector by Kester et al. (2020). Drawing on Rogers’ foundational diffusion model, Kester et al. (2020) trace the stages through which EV technology has progressed from early adopter experimentation toward mainstream market penetration. Their analysis highlights the role of policy mechanisms, social networks, and infrastructure investment in accelerating diffusion across the adoption curve. Together, TAM’s focus on individual-level adoption cognition and Innovation Diffusion Theory’s systemic view of market-level spread provide complementary analytical lenses that guide the thematic structure of the sections that follow.</w:t>
      </w:r>
    </w:p>
    <w:p w14:paraId="663C9958" w14:textId="772F3FB9" w:rsidR="00742A5B" w:rsidRPr="00647DC0" w:rsidRDefault="00742A5B" w:rsidP="004C0959">
      <w:pPr>
        <w:pStyle w:val="Heading2"/>
        <w:spacing w:line="360" w:lineRule="auto"/>
        <w:rPr>
          <w:rFonts w:cs="Arial"/>
          <w:sz w:val="22"/>
        </w:rPr>
      </w:pPr>
      <w:bookmarkStart w:id="17" w:name="_Toc235296682"/>
      <w:r w:rsidRPr="00647DC0">
        <w:rPr>
          <w:rFonts w:cs="Arial"/>
          <w:sz w:val="22"/>
        </w:rPr>
        <w:t>2.3 Consumer Adoption of Electric Vehicles</w:t>
      </w:r>
      <w:bookmarkEnd w:id="17"/>
    </w:p>
    <w:p w14:paraId="3DD3A4BA" w14:textId="0FB3DD21" w:rsidR="00742A5B" w:rsidRPr="00647DC0" w:rsidRDefault="005637DE" w:rsidP="004C0959">
      <w:pPr>
        <w:spacing w:line="360" w:lineRule="auto"/>
        <w:jc w:val="left"/>
        <w:rPr>
          <w:rFonts w:cs="Arial"/>
          <w:sz w:val="22"/>
        </w:rPr>
      </w:pPr>
      <w:r w:rsidRPr="00647DC0">
        <w:rPr>
          <w:rStyle w:val="cursor-pointer"/>
          <w:rFonts w:cs="Arial"/>
          <w:sz w:val="22"/>
        </w:rPr>
        <w:t>The</w:t>
      </w:r>
      <w:r w:rsidR="00742A5B" w:rsidRPr="00647DC0">
        <w:rPr>
          <w:rStyle w:val="cursor-pointer"/>
          <w:rFonts w:cs="Arial"/>
          <w:sz w:val="22"/>
        </w:rPr>
        <w:t xml:space="preserve"> adoption predictors, along with other factors, such as range, charging, and cost, have been substantiated and developed in later empirical research.</w:t>
      </w:r>
      <w:r w:rsidR="00742A5B" w:rsidRPr="00647DC0">
        <w:rPr>
          <w:rFonts w:cs="Arial"/>
          <w:sz w:val="22"/>
        </w:rPr>
        <w:t xml:space="preserve"> </w:t>
      </w:r>
      <w:r w:rsidR="00742A5B" w:rsidRPr="00647DC0">
        <w:rPr>
          <w:rStyle w:val="cursor-pointer"/>
          <w:rFonts w:cs="Arial"/>
          <w:sz w:val="22"/>
        </w:rPr>
        <w:t xml:space="preserve">Although the </w:t>
      </w:r>
      <w:r w:rsidR="006265CC" w:rsidRPr="00647DC0">
        <w:rPr>
          <w:rStyle w:val="cursor-pointer"/>
          <w:rFonts w:cs="Arial"/>
          <w:sz w:val="22"/>
        </w:rPr>
        <w:t>size</w:t>
      </w:r>
      <w:r w:rsidR="00742A5B" w:rsidRPr="00647DC0">
        <w:rPr>
          <w:rStyle w:val="cursor-pointer"/>
          <w:rFonts w:cs="Arial"/>
          <w:sz w:val="22"/>
        </w:rPr>
        <w:t xml:space="preserve"> of the instruments and charging stations are both important factors in the adoption of EVs, given the scale of the surveys, they draw very similar working samples of consumers with pro-environmental values; range anxiety and limited charging infrastructure are the key points of </w:t>
      </w:r>
      <w:r w:rsidR="00742A5B" w:rsidRPr="00647DC0">
        <w:rPr>
          <w:rStyle w:val="cursor-pointer"/>
          <w:rFonts w:cs="Arial"/>
          <w:sz w:val="22"/>
        </w:rPr>
        <w:lastRenderedPageBreak/>
        <w:t>interest: large-scale cross-national instrument data was provided by Noel et al. (2022) for European markets.</w:t>
      </w:r>
      <w:r w:rsidR="00742A5B" w:rsidRPr="00647DC0">
        <w:rPr>
          <w:rFonts w:cs="Arial"/>
          <w:sz w:val="22"/>
        </w:rPr>
        <w:t xml:space="preserve"> </w:t>
      </w:r>
      <w:r w:rsidR="00742A5B" w:rsidRPr="00647DC0">
        <w:rPr>
          <w:rStyle w:val="cursor-pointer"/>
          <w:rFonts w:cs="Arial"/>
          <w:sz w:val="22"/>
        </w:rPr>
        <w:t>Socio-cultural problems are also a serious constraint.</w:t>
      </w:r>
      <w:r w:rsidR="00742A5B" w:rsidRPr="00647DC0">
        <w:rPr>
          <w:rFonts w:cs="Arial"/>
          <w:sz w:val="22"/>
        </w:rPr>
        <w:t xml:space="preserve"> </w:t>
      </w:r>
      <w:r w:rsidR="00742A5B" w:rsidRPr="00647DC0">
        <w:rPr>
          <w:rStyle w:val="cursor-pointer"/>
          <w:rFonts w:cs="Arial"/>
          <w:sz w:val="22"/>
        </w:rPr>
        <w:t>The study by Sovacool et al. (2021) shows that EV adoption in North American markets is significantly constrained by the male image that is linked to traditional internal combustion engine (ICE) pick-up trucks, which is particularly relevant to strategies to introduce EVs in the mass-market.</w:t>
      </w:r>
      <w:r w:rsidR="00742A5B" w:rsidRPr="00647DC0">
        <w:rPr>
          <w:rFonts w:cs="Arial"/>
          <w:sz w:val="22"/>
        </w:rPr>
        <w:t xml:space="preserve"> </w:t>
      </w:r>
    </w:p>
    <w:p w14:paraId="7B6352A7" w14:textId="77777777" w:rsidR="00742A5B" w:rsidRPr="00647DC0" w:rsidRDefault="00742A5B" w:rsidP="004C0959">
      <w:pPr>
        <w:spacing w:line="360" w:lineRule="auto"/>
        <w:jc w:val="left"/>
        <w:rPr>
          <w:rFonts w:cs="Arial"/>
          <w:sz w:val="22"/>
        </w:rPr>
      </w:pPr>
      <w:r w:rsidRPr="00647DC0">
        <w:rPr>
          <w:rStyle w:val="cursor-pointer"/>
          <w:rFonts w:cs="Arial"/>
          <w:sz w:val="22"/>
        </w:rPr>
        <w:t>However, this is furthered by the concept of symbolic adoption barriers.</w:t>
      </w:r>
      <w:r w:rsidRPr="00647DC0">
        <w:rPr>
          <w:rFonts w:cs="Arial"/>
          <w:sz w:val="22"/>
        </w:rPr>
        <w:t xml:space="preserve"> </w:t>
      </w:r>
      <w:r w:rsidRPr="00647DC0">
        <w:rPr>
          <w:rStyle w:val="cursor-pointer"/>
          <w:rFonts w:cs="Arial"/>
          <w:sz w:val="22"/>
        </w:rPr>
        <w:t>The authors of Rezvani et al. (2021) believe that due to high product-identity cultures, like for instance in pick-up truck segments, consumers do not necessarily oppose EVs on a functional basis but only because EV consumption stifles their respective identity consumer image.</w:t>
      </w:r>
      <w:r w:rsidRPr="00647DC0">
        <w:rPr>
          <w:rFonts w:cs="Arial"/>
          <w:sz w:val="22"/>
        </w:rPr>
        <w:t xml:space="preserve"> </w:t>
      </w:r>
      <w:r w:rsidRPr="00647DC0">
        <w:rPr>
          <w:rStyle w:val="cursor-pointer"/>
          <w:rFonts w:cs="Arial"/>
          <w:sz w:val="22"/>
        </w:rPr>
        <w:t>This identifies that the problems with the adoption are not only technical and economic problems, but also psychological and sociological in nature.</w:t>
      </w:r>
      <w:r w:rsidRPr="00647DC0">
        <w:rPr>
          <w:rFonts w:cs="Arial"/>
          <w:sz w:val="22"/>
        </w:rPr>
        <w:t xml:space="preserve"> </w:t>
      </w:r>
      <w:r w:rsidRPr="00647DC0">
        <w:rPr>
          <w:rStyle w:val="cursor-pointer"/>
          <w:rFonts w:cs="Arial"/>
          <w:sz w:val="22"/>
        </w:rPr>
        <w:t>Building on this, researchers Zhao and Ke (2023) show that aligning EV marketing with more culturally normative features like towing capacity and durability, or national identity, can make a significant impact on consumer attitudinal change.</w:t>
      </w:r>
      <w:r w:rsidRPr="00647DC0">
        <w:rPr>
          <w:rFonts w:cs="Arial"/>
          <w:sz w:val="22"/>
        </w:rPr>
        <w:t xml:space="preserve"> </w:t>
      </w:r>
      <w:r w:rsidRPr="00647DC0">
        <w:rPr>
          <w:rStyle w:val="cursor-pointer"/>
          <w:rFonts w:cs="Arial"/>
          <w:sz w:val="22"/>
        </w:rPr>
        <w:t>The overall evidence from this work indicates that symbolic and identity-based resistance in addition to functional performance issues must be taken into account in effective strategies for adoption (Zhao and Ke, 2023).</w:t>
      </w:r>
      <w:r w:rsidRPr="00647DC0">
        <w:rPr>
          <w:rFonts w:cs="Arial"/>
          <w:sz w:val="22"/>
        </w:rPr>
        <w:t xml:space="preserve"> </w:t>
      </w:r>
    </w:p>
    <w:p w14:paraId="2C66BDC4" w14:textId="77777777" w:rsidR="00742A5B" w:rsidRPr="00647DC0" w:rsidRDefault="00742A5B" w:rsidP="004C0959">
      <w:pPr>
        <w:spacing w:line="360" w:lineRule="auto"/>
        <w:jc w:val="left"/>
        <w:rPr>
          <w:rFonts w:cs="Arial"/>
          <w:sz w:val="22"/>
        </w:rPr>
      </w:pPr>
      <w:r w:rsidRPr="00647DC0">
        <w:rPr>
          <w:rStyle w:val="cursor-pointer"/>
          <w:rFonts w:cs="Arial"/>
          <w:sz w:val="22"/>
        </w:rPr>
        <w:t>A significant body of academic research has been focused on willingness to pay (WTP) for EVs as well.</w:t>
      </w:r>
      <w:r w:rsidRPr="00647DC0">
        <w:rPr>
          <w:rFonts w:cs="Arial"/>
          <w:sz w:val="22"/>
        </w:rPr>
        <w:t xml:space="preserve"> </w:t>
      </w:r>
      <w:r w:rsidRPr="00647DC0">
        <w:rPr>
          <w:rStyle w:val="cursor-pointer"/>
          <w:rFonts w:cs="Arial"/>
          <w:sz w:val="22"/>
        </w:rPr>
        <w:t>Li et al. (2022) conclude that the median WTP of North American consumers rose significantly from 2019 to 2022, but EVs are still competitive with their ICE counterparts at higher prices.</w:t>
      </w:r>
      <w:r w:rsidRPr="00647DC0">
        <w:rPr>
          <w:rFonts w:cs="Arial"/>
          <w:sz w:val="22"/>
        </w:rPr>
        <w:t xml:space="preserve"> </w:t>
      </w:r>
      <w:r w:rsidRPr="00647DC0">
        <w:rPr>
          <w:rStyle w:val="cursor-pointer"/>
          <w:rFonts w:cs="Arial"/>
          <w:sz w:val="22"/>
        </w:rPr>
        <w:t>To make EVs more accessible for LMI consumers, EV penetration is structurally limited if the government does not provide incentives for purchasing EV cars or the battery prices do not continue to decline (Li et al., 2022; Nie et al., 2021).</w:t>
      </w:r>
    </w:p>
    <w:p w14:paraId="7400B4D7" w14:textId="7A761B9B" w:rsidR="00742A5B" w:rsidRPr="00647DC0" w:rsidRDefault="00742A5B" w:rsidP="004C0959">
      <w:pPr>
        <w:pStyle w:val="Heading2"/>
        <w:spacing w:line="360" w:lineRule="auto"/>
        <w:rPr>
          <w:rFonts w:cs="Arial"/>
          <w:sz w:val="22"/>
        </w:rPr>
      </w:pPr>
      <w:bookmarkStart w:id="18" w:name="_Toc235296683"/>
      <w:r w:rsidRPr="00647DC0">
        <w:rPr>
          <w:rFonts w:cs="Arial"/>
          <w:sz w:val="22"/>
        </w:rPr>
        <w:t>2.4 Competitive Landscape of the EV Market</w:t>
      </w:r>
      <w:bookmarkEnd w:id="18"/>
    </w:p>
    <w:p w14:paraId="5A26A466" w14:textId="77777777" w:rsidR="00742A5B" w:rsidRPr="00647DC0" w:rsidRDefault="00742A5B" w:rsidP="004C0959">
      <w:pPr>
        <w:spacing w:line="360" w:lineRule="auto"/>
        <w:jc w:val="left"/>
        <w:rPr>
          <w:rStyle w:val="cursor-pointer"/>
          <w:rFonts w:cs="Arial"/>
          <w:sz w:val="22"/>
        </w:rPr>
      </w:pPr>
      <w:r w:rsidRPr="00647DC0">
        <w:rPr>
          <w:rStyle w:val="cursor-pointer"/>
          <w:rFonts w:cs="Arial"/>
          <w:sz w:val="22"/>
        </w:rPr>
        <w:t>The global EV market was redone in 2020.</w:t>
      </w:r>
      <w:r w:rsidRPr="00647DC0">
        <w:rPr>
          <w:rFonts w:cs="Arial"/>
          <w:sz w:val="22"/>
        </w:rPr>
        <w:t xml:space="preserve"> </w:t>
      </w:r>
      <w:r w:rsidRPr="00647DC0">
        <w:rPr>
          <w:rStyle w:val="cursor-pointer"/>
          <w:rFonts w:cs="Arial"/>
          <w:sz w:val="22"/>
        </w:rPr>
        <w:t>Building on this development, Martins et al. (2021) use a Five Forces approach to examine the nature of threat in the electric car sector, and their analysis reveals a significant upward escalation in the threat of new entrants as well as the bargaining power of battery suppliers, along with a rise driven by a transition in value creation from mechanics to software and chemistry.</w:t>
      </w:r>
      <w:r w:rsidRPr="00647DC0">
        <w:rPr>
          <w:rFonts w:cs="Arial"/>
          <w:sz w:val="22"/>
        </w:rPr>
        <w:t xml:space="preserve"> </w:t>
      </w:r>
      <w:r w:rsidRPr="00647DC0">
        <w:rPr>
          <w:rStyle w:val="cursor-pointer"/>
          <w:rFonts w:cs="Arial"/>
          <w:sz w:val="22"/>
        </w:rPr>
        <w:t>By blending elements like vertical integration, software-centric designs, and cost efficiency, Tesla, Rivian, and Chinese companies like BYD and NIO have paved the way for a robust competitive landscape in the EV sector, putting established OEMs on defence (Haque et al., 2024).</w:t>
      </w:r>
      <w:r w:rsidRPr="00647DC0">
        <w:rPr>
          <w:rFonts w:cs="Arial"/>
          <w:sz w:val="22"/>
        </w:rPr>
        <w:t xml:space="preserve"> </w:t>
      </w:r>
      <w:r w:rsidRPr="00647DC0">
        <w:rPr>
          <w:rStyle w:val="cursor-pointer"/>
          <w:rFonts w:cs="Arial"/>
          <w:sz w:val="22"/>
        </w:rPr>
        <w:t>For the legacy car companies, the strategic problem is not just the ability to make EVs; it's how they can do it at the price points customers will pay, with value propositions that add value to the digital customer.</w:t>
      </w:r>
    </w:p>
    <w:p w14:paraId="177DC67B" w14:textId="77777777" w:rsidR="00742A5B" w:rsidRPr="00647DC0" w:rsidRDefault="00742A5B" w:rsidP="004C0959">
      <w:pPr>
        <w:spacing w:line="360" w:lineRule="auto"/>
        <w:jc w:val="left"/>
        <w:rPr>
          <w:rFonts w:cs="Arial"/>
          <w:sz w:val="22"/>
        </w:rPr>
      </w:pPr>
      <w:r w:rsidRPr="00647DC0">
        <w:rPr>
          <w:rStyle w:val="cursor-pointer"/>
          <w:rFonts w:cs="Arial"/>
          <w:sz w:val="22"/>
        </w:rPr>
        <w:lastRenderedPageBreak/>
        <w:t>What Tesla has is more than just its cars; it's their whole philosophy.</w:t>
      </w:r>
      <w:r w:rsidRPr="00647DC0">
        <w:rPr>
          <w:rFonts w:cs="Arial"/>
          <w:sz w:val="22"/>
        </w:rPr>
        <w:t xml:space="preserve"> </w:t>
      </w:r>
      <w:r w:rsidRPr="00647DC0">
        <w:rPr>
          <w:rStyle w:val="cursor-pointer"/>
          <w:rFonts w:cs="Arial"/>
          <w:sz w:val="22"/>
        </w:rPr>
        <w:t>The company's direct-to-consumer sales approach, software ubiquity and its own Supercharger network combine for substantial switching costs and network effects that are hard for traditional manufacturers to compete with (Awirotananon et al., 2023).</w:t>
      </w:r>
      <w:r w:rsidRPr="00647DC0">
        <w:rPr>
          <w:rFonts w:cs="Arial"/>
          <w:sz w:val="22"/>
        </w:rPr>
        <w:t xml:space="preserve"> </w:t>
      </w:r>
      <w:r w:rsidRPr="00647DC0">
        <w:rPr>
          <w:rStyle w:val="cursor-pointer"/>
          <w:rFonts w:cs="Arial"/>
          <w:sz w:val="22"/>
        </w:rPr>
        <w:t>The notion of a technology-intensive business industry is relevant here, as Jacobides et al (2022) contend that for these industries, competitive advantage is increasingly gained by orchestrating the ecosystem, which involves the design and governance of a complementing mix of products and services that jointly lead to superior value and lock-in for consumers.</w:t>
      </w:r>
      <w:r w:rsidRPr="00647DC0">
        <w:rPr>
          <w:rFonts w:cs="Arial"/>
          <w:sz w:val="22"/>
        </w:rPr>
        <w:t xml:space="preserve"> </w:t>
      </w:r>
      <w:r w:rsidRPr="00647DC0">
        <w:rPr>
          <w:rStyle w:val="cursor-pointer"/>
          <w:rFonts w:cs="Arial"/>
          <w:sz w:val="22"/>
        </w:rPr>
        <w:t>That several legacy OEMs have embraced the overall tech and service model of the North American Charging Standard (NACS) and are looking towards making Tesla's Supercharger network available to them is a testament to the understanding of this kind of competitive asymmetry by other companies and how the advantages of networks stack up over time.</w:t>
      </w:r>
      <w:r w:rsidRPr="00647DC0">
        <w:rPr>
          <w:rFonts w:cs="Arial"/>
          <w:sz w:val="22"/>
        </w:rPr>
        <w:t xml:space="preserve"> </w:t>
      </w:r>
    </w:p>
    <w:p w14:paraId="4F3425F6" w14:textId="77777777" w:rsidR="00742A5B" w:rsidRPr="00647DC0" w:rsidRDefault="00742A5B" w:rsidP="004C0959">
      <w:pPr>
        <w:spacing w:line="360" w:lineRule="auto"/>
        <w:jc w:val="left"/>
        <w:rPr>
          <w:rFonts w:cs="Arial"/>
          <w:sz w:val="22"/>
        </w:rPr>
      </w:pPr>
      <w:r w:rsidRPr="00647DC0">
        <w:rPr>
          <w:rStyle w:val="cursor-pointer"/>
          <w:rFonts w:cs="Arial"/>
          <w:sz w:val="22"/>
        </w:rPr>
        <w:t>Another aspect of strategic divergence is apparent in competitive benchmarking against General Motors (GM).</w:t>
      </w:r>
      <w:r w:rsidRPr="00647DC0">
        <w:rPr>
          <w:rFonts w:cs="Arial"/>
          <w:sz w:val="22"/>
        </w:rPr>
        <w:t xml:space="preserve"> </w:t>
      </w:r>
      <w:r w:rsidRPr="00647DC0">
        <w:rPr>
          <w:rStyle w:val="cursor-pointer"/>
          <w:rFonts w:cs="Arial"/>
          <w:sz w:val="22"/>
        </w:rPr>
        <w:t>Hamoumi et al. (2023) analyse GM's Ultium battery system and conclude that the company's strategy of vertically integrating its battery cell manufacturing process has led to higher degrees of cost predictability and supply chain resilience as opposed to firms that have more diversified supplier networks.</w:t>
      </w:r>
      <w:r w:rsidRPr="00647DC0">
        <w:rPr>
          <w:rFonts w:cs="Arial"/>
          <w:sz w:val="22"/>
        </w:rPr>
        <w:t xml:space="preserve"> </w:t>
      </w:r>
      <w:r w:rsidRPr="00647DC0">
        <w:rPr>
          <w:rStyle w:val="cursor-pointer"/>
          <w:rFonts w:cs="Arial"/>
          <w:sz w:val="22"/>
        </w:rPr>
        <w:t>The most substantial cost driver for EVs is battery price, and EV manufacturers can leverage vertical integration as an important aspect of competitive advantage (Hamoumi et al., 2023).</w:t>
      </w:r>
      <w:r w:rsidRPr="00647DC0">
        <w:rPr>
          <w:rFonts w:cs="Arial"/>
          <w:sz w:val="22"/>
        </w:rPr>
        <w:t xml:space="preserve"> </w:t>
      </w:r>
    </w:p>
    <w:p w14:paraId="1EA140EF" w14:textId="77777777" w:rsidR="00742A5B" w:rsidRPr="00647DC0" w:rsidRDefault="00742A5B" w:rsidP="004C0959">
      <w:pPr>
        <w:spacing w:line="360" w:lineRule="auto"/>
        <w:jc w:val="left"/>
        <w:rPr>
          <w:rFonts w:cs="Arial"/>
          <w:sz w:val="22"/>
        </w:rPr>
      </w:pPr>
      <w:r w:rsidRPr="00647DC0">
        <w:rPr>
          <w:rStyle w:val="cursor-pointer"/>
          <w:rFonts w:cs="Arial"/>
          <w:sz w:val="22"/>
        </w:rPr>
        <w:t>Chinese EV firms enter the fray with an extra, and may be the most disruptive, element of competition.</w:t>
      </w:r>
      <w:r w:rsidRPr="00647DC0">
        <w:rPr>
          <w:rFonts w:cs="Arial"/>
          <w:sz w:val="22"/>
        </w:rPr>
        <w:t xml:space="preserve"> </w:t>
      </w:r>
      <w:r w:rsidRPr="00647DC0">
        <w:rPr>
          <w:rStyle w:val="cursor-pointer"/>
          <w:rFonts w:cs="Arial"/>
          <w:sz w:val="22"/>
        </w:rPr>
        <w:t>The cost-efficient system inherent in BYD's tightly coupled state subsidy, or “domestic supply chain”, as Teece (2025) puts it, is a systemic threat to Western OEMs who have yet to reach BYD's scale and cost discipline.</w:t>
      </w:r>
      <w:r w:rsidRPr="00647DC0">
        <w:rPr>
          <w:rFonts w:cs="Arial"/>
          <w:sz w:val="22"/>
        </w:rPr>
        <w:t xml:space="preserve"> </w:t>
      </w:r>
      <w:r w:rsidRPr="00647DC0">
        <w:rPr>
          <w:rStyle w:val="cursor-pointer"/>
          <w:rFonts w:cs="Arial"/>
          <w:sz w:val="22"/>
        </w:rPr>
        <w:t>This is in line with this, as Haque et al. (2024) explain that Chinese manufacturers have used their nation's advantage of supply chain integration to gain battery cost structures much more favourable than their western counterparts, making the importance of manufacturing efficiency and technological innovation for established firms even more pressing.</w:t>
      </w:r>
    </w:p>
    <w:p w14:paraId="2B44E040" w14:textId="77777777" w:rsidR="00742A5B" w:rsidRPr="00647DC0" w:rsidRDefault="00742A5B" w:rsidP="004C0959">
      <w:pPr>
        <w:pStyle w:val="Heading2"/>
        <w:spacing w:line="360" w:lineRule="auto"/>
        <w:rPr>
          <w:rFonts w:cs="Arial"/>
          <w:sz w:val="22"/>
        </w:rPr>
      </w:pPr>
      <w:bookmarkStart w:id="19" w:name="_Toc235296684"/>
      <w:r w:rsidRPr="00647DC0">
        <w:rPr>
          <w:rFonts w:cs="Arial"/>
          <w:sz w:val="22"/>
        </w:rPr>
        <w:t>2.5 Government Policies and Regulatory Environment</w:t>
      </w:r>
      <w:bookmarkEnd w:id="19"/>
    </w:p>
    <w:p w14:paraId="0C5BBF69" w14:textId="77777777" w:rsidR="00742A5B" w:rsidRPr="00647DC0" w:rsidRDefault="00742A5B" w:rsidP="004C0959">
      <w:pPr>
        <w:spacing w:line="360" w:lineRule="auto"/>
        <w:jc w:val="left"/>
        <w:rPr>
          <w:rFonts w:cs="Arial"/>
          <w:sz w:val="22"/>
        </w:rPr>
      </w:pPr>
      <w:r w:rsidRPr="00647DC0">
        <w:rPr>
          <w:rStyle w:val="cursor-pointer"/>
          <w:rFonts w:cs="Arial"/>
          <w:sz w:val="22"/>
        </w:rPr>
        <w:t>The government has been instrumental in driving the EV market across all countries.</w:t>
      </w:r>
      <w:r w:rsidRPr="00647DC0">
        <w:rPr>
          <w:rFonts w:cs="Arial"/>
          <w:sz w:val="22"/>
        </w:rPr>
        <w:t xml:space="preserve"> </w:t>
      </w:r>
      <w:r w:rsidRPr="00647DC0">
        <w:rPr>
          <w:rStyle w:val="cursor-pointer"/>
          <w:rFonts w:cs="Arial"/>
          <w:sz w:val="22"/>
        </w:rPr>
        <w:t>In their study of the adoption of electric mobility, Kester et al. (2020) show that public policy can serve as an important catalyst in moving the technology adoption curve to establish electric vehicles in the mainstream of the market, via mechanisms such as lowering upfront cost barriers and reducing perceived risk, when financial incentives are implemented.</w:t>
      </w:r>
      <w:r w:rsidRPr="00647DC0">
        <w:rPr>
          <w:rFonts w:cs="Arial"/>
          <w:sz w:val="22"/>
        </w:rPr>
        <w:t xml:space="preserve"> </w:t>
      </w:r>
      <w:r w:rsidRPr="00647DC0">
        <w:rPr>
          <w:rStyle w:val="cursor-pointer"/>
          <w:rFonts w:cs="Arial"/>
          <w:sz w:val="22"/>
        </w:rPr>
        <w:t xml:space="preserve">Evidence for </w:t>
      </w:r>
      <w:r w:rsidRPr="00647DC0">
        <w:rPr>
          <w:rStyle w:val="cursor-pointer"/>
          <w:rFonts w:cs="Arial"/>
          <w:sz w:val="22"/>
        </w:rPr>
        <w:lastRenderedPageBreak/>
        <w:t>this mechanism comes from empirical findings: Nie et al. (2021) show that the purchase subsidy and the acquisition tax cut are among the most successful policy levers to promote EV demand in both developed and developing market contexts.</w:t>
      </w:r>
      <w:r w:rsidRPr="00647DC0">
        <w:rPr>
          <w:rFonts w:cs="Arial"/>
          <w:sz w:val="22"/>
        </w:rPr>
        <w:t xml:space="preserve"> </w:t>
      </w:r>
    </w:p>
    <w:p w14:paraId="36CACF8D" w14:textId="77777777" w:rsidR="00742A5B" w:rsidRPr="00647DC0" w:rsidRDefault="00742A5B" w:rsidP="004C0959">
      <w:pPr>
        <w:spacing w:line="360" w:lineRule="auto"/>
        <w:jc w:val="left"/>
        <w:rPr>
          <w:rFonts w:cs="Arial"/>
          <w:sz w:val="22"/>
        </w:rPr>
      </w:pPr>
      <w:r w:rsidRPr="00647DC0">
        <w:rPr>
          <w:rStyle w:val="cursor-pointer"/>
          <w:rFonts w:cs="Arial"/>
          <w:sz w:val="22"/>
        </w:rPr>
        <w:t>The Inflation Reduction Act of 2022 (IRA) is the largest federal intervention in the EV market so far in the United States, with the provision for tax credits of up to $7,500 for technology for North American assembly.</w:t>
      </w:r>
      <w:r w:rsidRPr="00647DC0">
        <w:rPr>
          <w:rFonts w:cs="Arial"/>
          <w:sz w:val="22"/>
        </w:rPr>
        <w:t xml:space="preserve"> </w:t>
      </w:r>
      <w:r w:rsidRPr="00647DC0">
        <w:rPr>
          <w:rStyle w:val="cursor-pointer"/>
          <w:rFonts w:cs="Arial"/>
          <w:sz w:val="22"/>
        </w:rPr>
        <w:t>Khan and Pervin (2024) consider the strategic impacts on domestic manufacturers, finding that the new Act offers significant demand-side benefits, but compliance with its requirements, notably those centred on putting in place appropriate trading partners for obtaining battery minerals from China, presents challenges for manufacturers with Chinese-sourced materials in their supply chain.</w:t>
      </w:r>
      <w:r w:rsidRPr="00647DC0">
        <w:rPr>
          <w:rFonts w:cs="Arial"/>
          <w:sz w:val="22"/>
        </w:rPr>
        <w:t xml:space="preserve"> </w:t>
      </w:r>
      <w:r w:rsidRPr="00647DC0">
        <w:rPr>
          <w:rStyle w:val="cursor-pointer"/>
          <w:rFonts w:cs="Arial"/>
          <w:sz w:val="22"/>
        </w:rPr>
        <w:t>This framework sets up a demand-side incentive system and simultaneously acts as a governance mechanism of the supply chain, impacting all the manufacturing practices of the country's manufacturers (Khan and Pervin, 2024).</w:t>
      </w:r>
      <w:r w:rsidRPr="00647DC0">
        <w:rPr>
          <w:rFonts w:cs="Arial"/>
          <w:sz w:val="22"/>
        </w:rPr>
        <w:t xml:space="preserve"> </w:t>
      </w:r>
    </w:p>
    <w:p w14:paraId="1D8914BD" w14:textId="77777777" w:rsidR="00742A5B" w:rsidRPr="00647DC0" w:rsidRDefault="00742A5B" w:rsidP="004C0959">
      <w:pPr>
        <w:spacing w:line="360" w:lineRule="auto"/>
        <w:jc w:val="left"/>
        <w:rPr>
          <w:rFonts w:cs="Arial"/>
          <w:sz w:val="22"/>
        </w:rPr>
      </w:pPr>
      <w:r w:rsidRPr="00647DC0">
        <w:rPr>
          <w:rStyle w:val="cursor-pointer"/>
          <w:rFonts w:cs="Arial"/>
          <w:sz w:val="22"/>
        </w:rPr>
        <w:t>European regulatory approaches have been more prescriptive in nature.</w:t>
      </w:r>
      <w:r w:rsidRPr="00647DC0">
        <w:rPr>
          <w:rFonts w:cs="Arial"/>
          <w:sz w:val="22"/>
        </w:rPr>
        <w:t xml:space="preserve"> </w:t>
      </w:r>
      <w:r w:rsidRPr="00647DC0">
        <w:rPr>
          <w:rStyle w:val="cursor-pointer"/>
          <w:rFonts w:cs="Arial"/>
          <w:sz w:val="22"/>
        </w:rPr>
        <w:t>CEVs by 2035 marks a practical electrification mandate on the road to 2030 for EU passenger vehicles overall, or a de facto mandate for the total electrification of the passenger vehicle fleet (He et al., 2021).</w:t>
      </w:r>
      <w:r w:rsidRPr="00647DC0">
        <w:rPr>
          <w:rFonts w:cs="Arial"/>
          <w:sz w:val="22"/>
        </w:rPr>
        <w:t xml:space="preserve"> </w:t>
      </w:r>
      <w:r w:rsidRPr="00647DC0">
        <w:rPr>
          <w:rStyle w:val="cursor-pointer"/>
          <w:rFonts w:cs="Arial"/>
          <w:sz w:val="22"/>
        </w:rPr>
        <w:t>Maor et al. (2024), however, highlight that regulatory measures do not necessarily lead to a linear market transformation, as the success of emission targets depends on other factors, such as the investment in charging infrastructure, increasing electricity grid capacities, and educating the public.</w:t>
      </w:r>
      <w:r w:rsidRPr="00647DC0">
        <w:rPr>
          <w:rFonts w:cs="Arial"/>
          <w:sz w:val="22"/>
        </w:rPr>
        <w:t xml:space="preserve"> </w:t>
      </w:r>
      <w:r w:rsidRPr="00647DC0">
        <w:rPr>
          <w:rStyle w:val="cursor-pointer"/>
          <w:rFonts w:cs="Arial"/>
          <w:sz w:val="22"/>
        </w:rPr>
        <w:t>Otherwise, for ambitious regulatory goals to be reached, they are threatened by outstripping current market maturity and consumer readiness to adopt.</w:t>
      </w:r>
      <w:r w:rsidRPr="00647DC0">
        <w:rPr>
          <w:rFonts w:cs="Arial"/>
          <w:sz w:val="22"/>
        </w:rPr>
        <w:t xml:space="preserve"> </w:t>
      </w:r>
    </w:p>
    <w:p w14:paraId="7245BD60" w14:textId="77777777" w:rsidR="00742A5B" w:rsidRPr="00647DC0" w:rsidRDefault="00742A5B" w:rsidP="004C0959">
      <w:pPr>
        <w:pStyle w:val="Heading2"/>
        <w:spacing w:line="360" w:lineRule="auto"/>
        <w:rPr>
          <w:rFonts w:cs="Arial"/>
          <w:sz w:val="22"/>
        </w:rPr>
      </w:pPr>
      <w:bookmarkStart w:id="20" w:name="_Toc235296685"/>
      <w:r w:rsidRPr="00647DC0">
        <w:rPr>
          <w:rFonts w:cs="Arial"/>
          <w:sz w:val="22"/>
        </w:rPr>
        <w:t>2.6 Supply Chain and Sustainability Challenges</w:t>
      </w:r>
      <w:bookmarkEnd w:id="20"/>
    </w:p>
    <w:p w14:paraId="787EFF09" w14:textId="77777777" w:rsidR="00742A5B" w:rsidRPr="00647DC0" w:rsidRDefault="00742A5B" w:rsidP="004C0959">
      <w:pPr>
        <w:spacing w:line="360" w:lineRule="auto"/>
        <w:jc w:val="left"/>
        <w:rPr>
          <w:rFonts w:cs="Arial"/>
          <w:sz w:val="22"/>
        </w:rPr>
      </w:pPr>
      <w:r w:rsidRPr="00647DC0">
        <w:rPr>
          <w:rStyle w:val="cursor-pointer"/>
          <w:rFonts w:cs="Arial"/>
          <w:sz w:val="22"/>
        </w:rPr>
        <w:t>The move to EV production revealed significant weaknesses in worldwide battery value chains.</w:t>
      </w:r>
      <w:r w:rsidRPr="00647DC0">
        <w:rPr>
          <w:rFonts w:cs="Arial"/>
          <w:sz w:val="22"/>
        </w:rPr>
        <w:t xml:space="preserve"> </w:t>
      </w:r>
      <w:r w:rsidRPr="00647DC0">
        <w:rPr>
          <w:rStyle w:val="cursor-pointer"/>
          <w:rFonts w:cs="Arial"/>
          <w:sz w:val="22"/>
        </w:rPr>
        <w:t>Some systems are especially vulnerable to being disrupted, particularly in islands of geo-concentrated minerals such as lithium, cobalt, and nickel in politically sensitive regions (Badiru and Tourangeau, 2023).</w:t>
      </w:r>
      <w:r w:rsidRPr="00647DC0">
        <w:rPr>
          <w:rFonts w:cs="Arial"/>
          <w:sz w:val="22"/>
        </w:rPr>
        <w:t xml:space="preserve"> </w:t>
      </w:r>
      <w:r w:rsidRPr="00647DC0">
        <w:rPr>
          <w:rStyle w:val="cursor-pointer"/>
          <w:rFonts w:cs="Arial"/>
          <w:sz w:val="22"/>
        </w:rPr>
        <w:t>The COVID-19 pandemic showed the fragility of interwoven auto supply chains and further spurred the industry-wide push for diversification, ‘near-shoring’, and vertical integration as ways of mitigating risk in these supply chains.</w:t>
      </w:r>
      <w:r w:rsidRPr="00647DC0">
        <w:rPr>
          <w:rFonts w:cs="Arial"/>
          <w:sz w:val="22"/>
        </w:rPr>
        <w:t xml:space="preserve"> </w:t>
      </w:r>
      <w:r w:rsidRPr="00647DC0">
        <w:rPr>
          <w:rStyle w:val="cursor-pointer"/>
          <w:rFonts w:cs="Arial"/>
          <w:sz w:val="22"/>
        </w:rPr>
        <w:t>In the context of EVs, these existing weaknesses are exacerbated by the significant demand for battery minerals and thus supply chain security is a matter of strategic importance.</w:t>
      </w:r>
      <w:r w:rsidRPr="00647DC0">
        <w:rPr>
          <w:rFonts w:cs="Arial"/>
          <w:sz w:val="22"/>
        </w:rPr>
        <w:t xml:space="preserve"> </w:t>
      </w:r>
    </w:p>
    <w:p w14:paraId="3B0B0384" w14:textId="70370217" w:rsidR="00742A5B" w:rsidRPr="00647DC0" w:rsidRDefault="00742A5B" w:rsidP="004C0959">
      <w:pPr>
        <w:spacing w:line="360" w:lineRule="auto"/>
        <w:jc w:val="left"/>
        <w:rPr>
          <w:rFonts w:cs="Arial"/>
          <w:sz w:val="22"/>
        </w:rPr>
      </w:pPr>
      <w:r w:rsidRPr="00647DC0">
        <w:rPr>
          <w:rStyle w:val="cursor-pointer"/>
          <w:rFonts w:cs="Arial"/>
          <w:sz w:val="22"/>
        </w:rPr>
        <w:t>In terms of long-term contracts, EV companies are utilising contracts for longer periods, and gigafactory investments are emerging as key methods to bank predictability in battery supply and battery cost trajectory.</w:t>
      </w:r>
      <w:r w:rsidRPr="00647DC0">
        <w:rPr>
          <w:rFonts w:cs="Arial"/>
          <w:sz w:val="22"/>
        </w:rPr>
        <w:t xml:space="preserve"> </w:t>
      </w:r>
      <w:r w:rsidRPr="00647DC0">
        <w:rPr>
          <w:rStyle w:val="cursor-pointer"/>
          <w:rFonts w:cs="Arial"/>
          <w:sz w:val="22"/>
        </w:rPr>
        <w:t xml:space="preserve">These investments fit into the framework of "vertical </w:t>
      </w:r>
      <w:r w:rsidRPr="00647DC0">
        <w:rPr>
          <w:rStyle w:val="cursor-pointer"/>
          <w:rFonts w:cs="Arial"/>
          <w:sz w:val="22"/>
        </w:rPr>
        <w:lastRenderedPageBreak/>
        <w:t>integration" as a competition strategy for technologically innovative time-changing industries, defined by multiple levels of capital-intensive (L) technologies, argues Levinson (2024).</w:t>
      </w:r>
      <w:r w:rsidRPr="00647DC0">
        <w:rPr>
          <w:rFonts w:cs="Arial"/>
          <w:sz w:val="22"/>
        </w:rPr>
        <w:t xml:space="preserve"> </w:t>
      </w:r>
      <w:r w:rsidRPr="00647DC0">
        <w:rPr>
          <w:rStyle w:val="cursor-pointer"/>
          <w:rFonts w:cs="Arial"/>
          <w:sz w:val="22"/>
        </w:rPr>
        <w:t xml:space="preserve">The strategic pillar is robust and simple – because owning the battery reduces risk of cost exposure, and enables more precise battery </w:t>
      </w:r>
      <w:r w:rsidR="009D3F75" w:rsidRPr="00647DC0">
        <w:rPr>
          <w:rStyle w:val="cursor-pointer"/>
          <w:rFonts w:cs="Arial"/>
          <w:sz w:val="22"/>
        </w:rPr>
        <w:t>sizing</w:t>
      </w:r>
      <w:r w:rsidRPr="00647DC0">
        <w:rPr>
          <w:rStyle w:val="cursor-pointer"/>
          <w:rFonts w:cs="Arial"/>
          <w:sz w:val="22"/>
        </w:rPr>
        <w:t xml:space="preserve"> planning.</w:t>
      </w:r>
      <w:r w:rsidRPr="00647DC0">
        <w:rPr>
          <w:rFonts w:cs="Arial"/>
          <w:sz w:val="22"/>
        </w:rPr>
        <w:t xml:space="preserve"> </w:t>
      </w:r>
      <w:r w:rsidRPr="00647DC0">
        <w:rPr>
          <w:rStyle w:val="cursor-pointer"/>
          <w:rFonts w:cs="Arial"/>
          <w:sz w:val="22"/>
        </w:rPr>
        <w:t>But, as Warrick and Mulally (2024) state, there is a technological execution risk for large-scale investment in specific battery chemistry since the next decade could bring about material changes in the cost and performance picture for solid-state batteries and next-generation battery chemistries.</w:t>
      </w:r>
      <w:r w:rsidRPr="00647DC0">
        <w:rPr>
          <w:rFonts w:cs="Arial"/>
          <w:sz w:val="22"/>
        </w:rPr>
        <w:t xml:space="preserve"> </w:t>
      </w:r>
    </w:p>
    <w:p w14:paraId="3092B38C" w14:textId="77777777" w:rsidR="00742A5B" w:rsidRPr="00647DC0" w:rsidRDefault="00742A5B" w:rsidP="004C0959">
      <w:pPr>
        <w:spacing w:line="360" w:lineRule="auto"/>
        <w:jc w:val="left"/>
        <w:rPr>
          <w:rFonts w:cs="Arial"/>
          <w:sz w:val="22"/>
        </w:rPr>
      </w:pPr>
      <w:r w:rsidRPr="00647DC0">
        <w:rPr>
          <w:rStyle w:val="cursor-pointer"/>
          <w:rFonts w:cs="Arial"/>
          <w:sz w:val="22"/>
        </w:rPr>
        <w:t>One of the most evident changes in recent years has been the growing importance of sustainability in the automotive industry, whether in terms of consumer demands or institutional investment decisions.</w:t>
      </w:r>
      <w:r w:rsidRPr="00647DC0">
        <w:rPr>
          <w:rFonts w:cs="Arial"/>
          <w:sz w:val="22"/>
        </w:rPr>
        <w:t xml:space="preserve"> </w:t>
      </w:r>
      <w:r w:rsidRPr="00647DC0">
        <w:rPr>
          <w:rStyle w:val="cursor-pointer"/>
          <w:rFonts w:cs="Arial"/>
          <w:sz w:val="22"/>
        </w:rPr>
        <w:t>Ugoani (2023) found that automotive companies matter markedly in a positive way for the improvements achieved in their environmental, social and governmental performance (ESG), which is linked to their brand equity, with consumers giving more weight to the whole life cycle environmental impact of these companies ranging from raw material extraction to end-of-life recycling.</w:t>
      </w:r>
      <w:r w:rsidRPr="00647DC0">
        <w:rPr>
          <w:rFonts w:cs="Arial"/>
          <w:sz w:val="22"/>
        </w:rPr>
        <w:t xml:space="preserve"> </w:t>
      </w:r>
      <w:r w:rsidRPr="00647DC0">
        <w:rPr>
          <w:rStyle w:val="cursor-pointer"/>
          <w:rFonts w:cs="Arial"/>
          <w:sz w:val="22"/>
        </w:rPr>
        <w:t>Sustainability commitments are the condition of successful reorientation of the brand in the era of EVs for the traditional manufacturers of products with high carbon emissions, whose main products are not related to renewables (Ugoani, 2023).</w:t>
      </w:r>
    </w:p>
    <w:p w14:paraId="7AA98EE9" w14:textId="5B738D07" w:rsidR="00742A5B" w:rsidRPr="00647DC0" w:rsidRDefault="00742A5B" w:rsidP="004C0959">
      <w:pPr>
        <w:pStyle w:val="Heading2"/>
        <w:spacing w:line="360" w:lineRule="auto"/>
        <w:rPr>
          <w:rFonts w:cs="Arial"/>
          <w:sz w:val="22"/>
        </w:rPr>
      </w:pPr>
      <w:bookmarkStart w:id="21" w:name="_Toc235296686"/>
      <w:r w:rsidRPr="00647DC0">
        <w:rPr>
          <w:rFonts w:cs="Arial"/>
          <w:sz w:val="22"/>
        </w:rPr>
        <w:t>2.7 Gaps in the Existing Literature</w:t>
      </w:r>
      <w:bookmarkEnd w:id="21"/>
    </w:p>
    <w:p w14:paraId="55DC815F" w14:textId="50AF4F6D" w:rsidR="003E453D" w:rsidRPr="00647DC0" w:rsidRDefault="00742A5B" w:rsidP="004C0959">
      <w:pPr>
        <w:spacing w:line="360" w:lineRule="auto"/>
        <w:jc w:val="left"/>
        <w:rPr>
          <w:rStyle w:val="cursor-pointer"/>
          <w:rFonts w:cs="Arial"/>
          <w:sz w:val="22"/>
        </w:rPr>
      </w:pPr>
      <w:r w:rsidRPr="00647DC0">
        <w:rPr>
          <w:rStyle w:val="cursor-pointer"/>
          <w:rFonts w:cs="Arial"/>
          <w:sz w:val="22"/>
        </w:rPr>
        <w:t>A large body of literature exists on EV adoption, business strategies, and regulations, but there are some crucial gaps across these fields.</w:t>
      </w:r>
      <w:r w:rsidRPr="00647DC0">
        <w:rPr>
          <w:rFonts w:cs="Arial"/>
          <w:sz w:val="22"/>
        </w:rPr>
        <w:t xml:space="preserve"> </w:t>
      </w:r>
      <w:r w:rsidRPr="00647DC0">
        <w:rPr>
          <w:rStyle w:val="cursor-pointer"/>
          <w:rFonts w:cs="Arial"/>
          <w:sz w:val="22"/>
        </w:rPr>
        <w:t>While TAM-based frameworks (Adnan et al., 2022; Venkatesh et al., 2022) and diffusion analyses (Kester et al., 2020) have come into widespread use in EV markets, their specific use in the North American pick-up truck market where identity-based barriers are salient is less studied.</w:t>
      </w:r>
      <w:r w:rsidRPr="00647DC0">
        <w:rPr>
          <w:rFonts w:cs="Arial"/>
          <w:sz w:val="22"/>
        </w:rPr>
        <w:t xml:space="preserve"> </w:t>
      </w:r>
      <w:r w:rsidRPr="00647DC0">
        <w:rPr>
          <w:rStyle w:val="cursor-pointer"/>
          <w:rFonts w:cs="Arial"/>
          <w:sz w:val="22"/>
        </w:rPr>
        <w:t>There is a need for more function-oriented empirical studies at the segment level, in line with Rezvani et al. (2021) and Sovacool et al. (2021) resistance mechanisms.</w:t>
      </w:r>
      <w:r w:rsidRPr="00647DC0">
        <w:rPr>
          <w:rFonts w:cs="Arial"/>
          <w:sz w:val="22"/>
        </w:rPr>
        <w:t xml:space="preserve"> </w:t>
      </w:r>
      <w:r w:rsidRPr="00647DC0">
        <w:rPr>
          <w:rStyle w:val="cursor-pointer"/>
          <w:rFonts w:cs="Arial"/>
          <w:sz w:val="22"/>
        </w:rPr>
        <w:t>Second, the competitive literature has focused largely on the comparison between legacy OEMs and Tesla (Haque and Wang, 2024; Teece, 2025); the rise of the Chinese manufacturers has been somewhat overlooked in Western management scholarship.</w:t>
      </w:r>
      <w:r w:rsidRPr="00647DC0">
        <w:rPr>
          <w:rFonts w:cs="Arial"/>
          <w:sz w:val="22"/>
        </w:rPr>
        <w:t xml:space="preserve"> </w:t>
      </w:r>
      <w:r w:rsidRPr="00647DC0">
        <w:rPr>
          <w:rStyle w:val="cursor-pointer"/>
          <w:rFonts w:cs="Arial"/>
          <w:sz w:val="22"/>
        </w:rPr>
        <w:t>Third, the policy literature has analysed supply-side incentive mechanisms thoroughly (Nie et al., 2021; Khan and Pervin, 2024), but has been much less studied in terms of the impact of policy complexity and volatility on manufacturers' long-term investment decisions (Min, 2023).</w:t>
      </w:r>
      <w:r w:rsidRPr="00647DC0">
        <w:rPr>
          <w:rFonts w:cs="Arial"/>
          <w:sz w:val="22"/>
        </w:rPr>
        <w:t xml:space="preserve"> </w:t>
      </w:r>
      <w:r w:rsidRPr="00647DC0">
        <w:rPr>
          <w:rStyle w:val="cursor-pointer"/>
          <w:rFonts w:cs="Arial"/>
          <w:sz w:val="22"/>
        </w:rPr>
        <w:t>These three areas are considered appropriate gaps that can be investigated empirically in the primary research stage.</w:t>
      </w:r>
    </w:p>
    <w:p w14:paraId="7086F76A" w14:textId="77777777" w:rsidR="003E453D" w:rsidRPr="00647DC0" w:rsidRDefault="003E453D" w:rsidP="004C0959">
      <w:pPr>
        <w:spacing w:before="0" w:after="160" w:line="360" w:lineRule="auto"/>
        <w:ind w:firstLine="0"/>
        <w:contextualSpacing w:val="0"/>
        <w:jc w:val="left"/>
        <w:rPr>
          <w:rStyle w:val="cursor-pointer"/>
          <w:rFonts w:cs="Arial"/>
          <w:sz w:val="22"/>
        </w:rPr>
      </w:pPr>
      <w:r w:rsidRPr="00647DC0">
        <w:rPr>
          <w:rStyle w:val="cursor-pointer"/>
          <w:rFonts w:cs="Arial"/>
          <w:sz w:val="22"/>
        </w:rPr>
        <w:br w:type="page"/>
      </w:r>
    </w:p>
    <w:p w14:paraId="04CE9027" w14:textId="77777777" w:rsidR="003E453D" w:rsidRPr="00647DC0" w:rsidRDefault="003E453D" w:rsidP="004C0959">
      <w:pPr>
        <w:pStyle w:val="Heading1"/>
        <w:spacing w:line="360" w:lineRule="auto"/>
        <w:rPr>
          <w:rFonts w:cs="Arial"/>
          <w:sz w:val="22"/>
        </w:rPr>
      </w:pPr>
      <w:bookmarkStart w:id="22" w:name="_Toc235296687"/>
      <w:r w:rsidRPr="00647DC0">
        <w:rPr>
          <w:rFonts w:cs="Arial"/>
          <w:sz w:val="22"/>
        </w:rPr>
        <w:lastRenderedPageBreak/>
        <w:t>Chapter 3: Methodology</w:t>
      </w:r>
      <w:bookmarkEnd w:id="22"/>
    </w:p>
    <w:p w14:paraId="580BE9BB" w14:textId="77777777" w:rsidR="00B45A47" w:rsidRPr="00B45A47" w:rsidRDefault="00B45A47" w:rsidP="004C0959">
      <w:pPr>
        <w:pStyle w:val="Heading2"/>
      </w:pPr>
      <w:bookmarkStart w:id="23" w:name="_Toc235296688"/>
      <w:r w:rsidRPr="00B45A47">
        <w:t>3.1 Systematic Literature Review (SLR)</w:t>
      </w:r>
      <w:bookmarkEnd w:id="23"/>
    </w:p>
    <w:p w14:paraId="19DE04B6" w14:textId="61E4B73F" w:rsidR="00B45A47" w:rsidRPr="00B45A47" w:rsidRDefault="005C6AE0" w:rsidP="004C0959">
      <w:pPr>
        <w:spacing w:line="360" w:lineRule="auto"/>
        <w:jc w:val="left"/>
        <w:rPr>
          <w:rFonts w:cs="Arial"/>
          <w:color w:val="000000" w:themeColor="text1"/>
          <w:sz w:val="22"/>
        </w:rPr>
      </w:pPr>
      <w:r w:rsidRPr="005C6AE0">
        <w:rPr>
          <w:rFonts w:cs="Arial"/>
          <w:color w:val="000000" w:themeColor="text1"/>
          <w:sz w:val="22"/>
        </w:rPr>
        <w:t xml:space="preserve">This study uses a Systematic Literature Review (SLR) approach to examine leadership and strategic management practices of Ford Motor Company in the electric vehicle (EV) transition process. Structured and transparent research approach in which research question is systematically identified, appraised and compiled of existing evidence, limiting researcher bias due to preconceived search strategies and selection criteria. The approach was suitable for this study as it was decided the study would NOT be a primary data based study as it was looking at consumers perceptions, competitor responses, government policies and strategic challenges that Ford faced on their journey to electrification. Systematic reviews offer a structured approach to evidence synthesis, as suggested by William (2024); structured methodologies increase the credibility and transparency of research, as stated by Pretorius (2024). The SLR thus was a very strong and academically solid method in achieving the objectives of research. </w:t>
      </w:r>
    </w:p>
    <w:p w14:paraId="1F4E0A94" w14:textId="77777777" w:rsidR="00B45A47" w:rsidRPr="00B45A47" w:rsidRDefault="00B45A47" w:rsidP="004C0959">
      <w:pPr>
        <w:pStyle w:val="Heading2"/>
      </w:pPr>
      <w:bookmarkStart w:id="24" w:name="_Toc235296689"/>
      <w:r w:rsidRPr="00B45A47">
        <w:t>3.2 Search Strategy</w:t>
      </w:r>
      <w:bookmarkEnd w:id="24"/>
    </w:p>
    <w:p w14:paraId="33DB31CE" w14:textId="7088768F" w:rsidR="00FB1EE1" w:rsidRPr="00FB1EE1" w:rsidRDefault="005C6AE0" w:rsidP="004C0959">
      <w:pPr>
        <w:spacing w:line="360" w:lineRule="auto"/>
        <w:jc w:val="left"/>
        <w:rPr>
          <w:rFonts w:cs="Arial"/>
          <w:color w:val="000000" w:themeColor="text1"/>
          <w:sz w:val="22"/>
        </w:rPr>
      </w:pPr>
      <w:r w:rsidRPr="005C6AE0">
        <w:rPr>
          <w:rFonts w:cs="Arial"/>
          <w:color w:val="000000" w:themeColor="text1"/>
          <w:sz w:val="22"/>
        </w:rPr>
        <w:t xml:space="preserve">An information and literature search was conducted using a method that was systematic, structured and replicable. The search was full and took place in four stages: Identification, screening, eligibility assessment and final selection of studies. The relevant publications were first scanned for the existence of certain search terms within selected universities' databases, before further research was conducted. The title and abstract of both the titles and abstract of the studies were screened to identify their relevance to the topic and studies that were irrelevant were excluded. Full text review was done with the remaining articles according to the fixed inclusion and exclusion criteria. A systematic search strategy helps to improve transparency and consistency of literature-based evidence synthesis and ensures reliability says William (2024). </w:t>
      </w:r>
    </w:p>
    <w:p w14:paraId="71D619C8" w14:textId="77777777" w:rsidR="00B45A47" w:rsidRPr="00B45A47" w:rsidRDefault="00B45A47" w:rsidP="004C0959">
      <w:pPr>
        <w:pStyle w:val="Heading2"/>
      </w:pPr>
      <w:bookmarkStart w:id="25" w:name="_Toc235296690"/>
      <w:r w:rsidRPr="00B45A47">
        <w:t>3.3 Search Terms</w:t>
      </w:r>
      <w:bookmarkEnd w:id="25"/>
    </w:p>
    <w:p w14:paraId="6EE15404" w14:textId="4A990F3A" w:rsidR="00B45A47" w:rsidRPr="00B45A47" w:rsidRDefault="005C6AE0" w:rsidP="004C0959">
      <w:pPr>
        <w:spacing w:line="360" w:lineRule="auto"/>
        <w:jc w:val="left"/>
        <w:rPr>
          <w:rFonts w:cs="Arial"/>
          <w:color w:val="000000" w:themeColor="text1"/>
          <w:sz w:val="22"/>
        </w:rPr>
      </w:pPr>
      <w:r w:rsidRPr="005C6AE0">
        <w:rPr>
          <w:rFonts w:cs="Arial"/>
          <w:color w:val="000000" w:themeColor="text1"/>
          <w:sz w:val="22"/>
        </w:rPr>
        <w:t xml:space="preserve">A combination of search terms was used to identify relevant academic and industry literature. Key Phrases used included "Ford Motor Company," "Electric Vehicles," "EV Adoption," "Strategic Management," "Leadership," "Consumer Perception," "Government Policy," "Automotive Industry," "Battery Supply Chain," "Sustainability," and "Technological Transformation. Boolean operators (AND or OR) were used to combine keywords and extend/reduce the results. Such combinations as "Ford Motor Company" AND "Electric </w:t>
      </w:r>
      <w:r w:rsidRPr="005C6AE0">
        <w:rPr>
          <w:rFonts w:cs="Arial"/>
          <w:color w:val="000000" w:themeColor="text1"/>
          <w:sz w:val="22"/>
        </w:rPr>
        <w:lastRenderedPageBreak/>
        <w:t xml:space="preserve">Vehicles", "EV Adoption" AND "Consumer Perception", and "Leadership" AND "Strategic Management" AND "Automotive Industry" were some of the examples of search combinations. </w:t>
      </w:r>
    </w:p>
    <w:p w14:paraId="0596D794" w14:textId="77777777" w:rsidR="00B45A47" w:rsidRPr="00B45A47" w:rsidRDefault="00B45A47" w:rsidP="004C0959">
      <w:pPr>
        <w:pStyle w:val="Heading2"/>
      </w:pPr>
      <w:bookmarkStart w:id="26" w:name="_Toc235296691"/>
      <w:r w:rsidRPr="00B45A47">
        <w:t>3.4 Keywords</w:t>
      </w:r>
      <w:bookmarkEnd w:id="26"/>
    </w:p>
    <w:p w14:paraId="4D4348D7" w14:textId="24573A02" w:rsidR="00B45A47" w:rsidRPr="00B45A47" w:rsidRDefault="005C6AE0" w:rsidP="004C0959">
      <w:pPr>
        <w:spacing w:line="360" w:lineRule="auto"/>
        <w:jc w:val="left"/>
        <w:rPr>
          <w:rFonts w:cs="Arial"/>
          <w:color w:val="000000" w:themeColor="text1"/>
          <w:sz w:val="22"/>
        </w:rPr>
      </w:pPr>
      <w:r w:rsidRPr="005C6AE0">
        <w:rPr>
          <w:rFonts w:cs="Arial"/>
          <w:color w:val="000000" w:themeColor="text1"/>
          <w:sz w:val="22"/>
        </w:rPr>
        <w:t>The main keywords used all over the literature search were:</w:t>
      </w:r>
      <w:r>
        <w:rPr>
          <w:rFonts w:cs="Arial"/>
          <w:color w:val="000000" w:themeColor="text1"/>
          <w:sz w:val="22"/>
        </w:rPr>
        <w:t xml:space="preserve"> </w:t>
      </w:r>
      <w:r w:rsidRPr="005C6AE0">
        <w:rPr>
          <w:rFonts w:cs="Arial"/>
          <w:color w:val="000000" w:themeColor="text1"/>
          <w:sz w:val="22"/>
        </w:rPr>
        <w:t>Ford Motor Company, Electric Vehicles (EVs), Strategic Management, Leadership, Consumer Behaviour, EV Adoption, Sustainability, Government Incentives, Battery Supply Chain, Technological Transformation and Automotive Industry, Competition, Innovation, Hybrid Vehicles, and Organisational Change.</w:t>
      </w:r>
    </w:p>
    <w:p w14:paraId="5A92FA78" w14:textId="77777777" w:rsidR="00B45A47" w:rsidRPr="00B45A47" w:rsidRDefault="00B45A47" w:rsidP="004C0959">
      <w:pPr>
        <w:pStyle w:val="Heading2"/>
      </w:pPr>
      <w:bookmarkStart w:id="27" w:name="_Toc235296692"/>
      <w:r w:rsidRPr="00B45A47">
        <w:t>3.5 Databases</w:t>
      </w:r>
      <w:bookmarkEnd w:id="27"/>
    </w:p>
    <w:p w14:paraId="30C44987" w14:textId="6F769942" w:rsidR="00B45A47" w:rsidRPr="00B45A47" w:rsidRDefault="00770CE0" w:rsidP="004C0959">
      <w:pPr>
        <w:spacing w:line="360" w:lineRule="auto"/>
        <w:jc w:val="left"/>
        <w:rPr>
          <w:rFonts w:cs="Arial"/>
          <w:color w:val="000000" w:themeColor="text1"/>
          <w:sz w:val="22"/>
        </w:rPr>
      </w:pPr>
      <w:r w:rsidRPr="00770CE0">
        <w:rPr>
          <w:rFonts w:cs="Arial"/>
          <w:color w:val="000000" w:themeColor="text1"/>
          <w:sz w:val="22"/>
        </w:rPr>
        <w:t xml:space="preserve">Several widely used academic databases were used to gather literature to ensure high quality, credible evidence. The major databases searched were Google Scholar, ScienceDirect, Emerald Insight, SpringerLink, Wiley Online Library, Taylor </w:t>
      </w:r>
      <w:r>
        <w:rPr>
          <w:rFonts w:cs="Arial"/>
          <w:color w:val="000000" w:themeColor="text1"/>
          <w:sz w:val="22"/>
        </w:rPr>
        <w:t>and</w:t>
      </w:r>
      <w:r w:rsidRPr="00770CE0">
        <w:rPr>
          <w:rFonts w:cs="Arial"/>
          <w:color w:val="000000" w:themeColor="text1"/>
          <w:sz w:val="22"/>
        </w:rPr>
        <w:t xml:space="preserve"> Francis Online and MDPI. The choice of these databases was based on the fact that they offer access to peer reviewed publications in journals, conference papers, academic books and research reports on English and German on the topics of leadership, strategic management, innovation, sustainability and the automotive industry. Academic databases were also used to get evidence in addition to data from Ford Motor Company reports, government reports, policy documents and reports from internationally recognised organi</w:t>
      </w:r>
      <w:r w:rsidR="004C0959">
        <w:rPr>
          <w:rFonts w:cs="Arial"/>
          <w:color w:val="000000" w:themeColor="text1"/>
          <w:sz w:val="22"/>
        </w:rPr>
        <w:t>s</w:t>
      </w:r>
      <w:r w:rsidRPr="00770CE0">
        <w:rPr>
          <w:rFonts w:cs="Arial"/>
          <w:color w:val="000000" w:themeColor="text1"/>
          <w:sz w:val="22"/>
        </w:rPr>
        <w:t xml:space="preserve">ations including the Internal Revenue Service (IRS), the Environmental Protection Agency (EPA), and the International Energy Agency (IEA). </w:t>
      </w:r>
    </w:p>
    <w:p w14:paraId="0B133A6E" w14:textId="77777777" w:rsidR="00B45A47" w:rsidRPr="00B45A47" w:rsidRDefault="00B45A47" w:rsidP="004C0959">
      <w:pPr>
        <w:pStyle w:val="Heading2"/>
      </w:pPr>
      <w:bookmarkStart w:id="28" w:name="_Toc235296693"/>
      <w:r w:rsidRPr="00B45A47">
        <w:t>3.6 Inclusion and Exclusion Criteria</w:t>
      </w:r>
      <w:bookmarkEnd w:id="28"/>
    </w:p>
    <w:p w14:paraId="7BB550B8" w14:textId="0AF1F7D1" w:rsidR="00B45A47" w:rsidRPr="00B45A47" w:rsidRDefault="009953F9" w:rsidP="004C0959">
      <w:pPr>
        <w:spacing w:line="360" w:lineRule="auto"/>
        <w:jc w:val="left"/>
        <w:rPr>
          <w:rFonts w:cs="Arial"/>
          <w:color w:val="000000" w:themeColor="text1"/>
          <w:sz w:val="22"/>
        </w:rPr>
      </w:pPr>
      <w:r w:rsidRPr="009953F9">
        <w:rPr>
          <w:rFonts w:cs="Arial"/>
          <w:color w:val="000000" w:themeColor="text1"/>
          <w:sz w:val="22"/>
        </w:rPr>
        <w:t xml:space="preserve">Before literature selection, the inclusion and exclusion criteria were defined in order to ensure the consistency in the review process. Pretorius (2024) states that a well-defined set of selection criteria helps to build methodological transparency and enhance the credibility of systematic reviews. </w:t>
      </w:r>
    </w:p>
    <w:p w14:paraId="75E69CF9" w14:textId="77777777" w:rsidR="00B45A47" w:rsidRPr="00B45A47" w:rsidRDefault="00B45A47" w:rsidP="004C0959">
      <w:pPr>
        <w:pStyle w:val="Heading3"/>
        <w:jc w:val="left"/>
      </w:pPr>
      <w:bookmarkStart w:id="29" w:name="_Toc235296694"/>
      <w:r w:rsidRPr="00B45A47">
        <w:t>3.6.1 Inclusion Criteria</w:t>
      </w:r>
      <w:bookmarkEnd w:id="29"/>
    </w:p>
    <w:p w14:paraId="53A70102" w14:textId="77777777" w:rsidR="00057F81" w:rsidRPr="00057F81" w:rsidRDefault="00057F81" w:rsidP="004C0959">
      <w:pPr>
        <w:spacing w:line="360" w:lineRule="auto"/>
        <w:jc w:val="left"/>
        <w:rPr>
          <w:rFonts w:cs="Arial"/>
          <w:color w:val="000000" w:themeColor="text1"/>
          <w:sz w:val="22"/>
        </w:rPr>
      </w:pPr>
      <w:r w:rsidRPr="00057F81">
        <w:rPr>
          <w:rFonts w:cs="Arial"/>
          <w:color w:val="000000" w:themeColor="text1"/>
          <w:sz w:val="22"/>
        </w:rPr>
        <w:t>Studies were included when they met the following criteria:</w:t>
      </w:r>
    </w:p>
    <w:p w14:paraId="48DE8164" w14:textId="77777777" w:rsidR="00057F81" w:rsidRPr="00057F81" w:rsidRDefault="00057F81" w:rsidP="004C0959">
      <w:pPr>
        <w:numPr>
          <w:ilvl w:val="0"/>
          <w:numId w:val="3"/>
        </w:numPr>
        <w:spacing w:line="360" w:lineRule="auto"/>
        <w:jc w:val="left"/>
        <w:rPr>
          <w:rFonts w:cs="Arial"/>
          <w:color w:val="000000" w:themeColor="text1"/>
          <w:sz w:val="22"/>
        </w:rPr>
      </w:pPr>
      <w:r w:rsidRPr="00057F81">
        <w:rPr>
          <w:rFonts w:cs="Arial"/>
          <w:color w:val="000000" w:themeColor="text1"/>
          <w:sz w:val="22"/>
        </w:rPr>
        <w:t xml:space="preserve">Each published between 2020 and 2026 to provide up-to-date evidence. </w:t>
      </w:r>
    </w:p>
    <w:p w14:paraId="1B16C71A" w14:textId="5C10F44F" w:rsidR="00057F81" w:rsidRPr="00057F81" w:rsidRDefault="00057F81" w:rsidP="004C0959">
      <w:pPr>
        <w:numPr>
          <w:ilvl w:val="0"/>
          <w:numId w:val="3"/>
        </w:numPr>
        <w:spacing w:line="360" w:lineRule="auto"/>
        <w:jc w:val="left"/>
        <w:rPr>
          <w:rFonts w:cs="Arial"/>
          <w:color w:val="000000" w:themeColor="text1"/>
          <w:sz w:val="22"/>
        </w:rPr>
      </w:pPr>
      <w:r w:rsidRPr="00057F81">
        <w:rPr>
          <w:rFonts w:cs="Arial"/>
          <w:color w:val="000000" w:themeColor="text1"/>
          <w:sz w:val="22"/>
        </w:rPr>
        <w:t xml:space="preserve">Published in the English language. </w:t>
      </w:r>
    </w:p>
    <w:p w14:paraId="53E0E7E4" w14:textId="7B392F6D" w:rsidR="00057F81" w:rsidRPr="00057F81" w:rsidRDefault="00057F81" w:rsidP="004C0959">
      <w:pPr>
        <w:numPr>
          <w:ilvl w:val="0"/>
          <w:numId w:val="3"/>
        </w:numPr>
        <w:spacing w:line="360" w:lineRule="auto"/>
        <w:jc w:val="left"/>
        <w:rPr>
          <w:rFonts w:cs="Arial"/>
          <w:color w:val="000000" w:themeColor="text1"/>
          <w:sz w:val="22"/>
        </w:rPr>
      </w:pPr>
      <w:r w:rsidRPr="00057F81">
        <w:rPr>
          <w:rFonts w:cs="Arial"/>
          <w:color w:val="000000" w:themeColor="text1"/>
          <w:sz w:val="22"/>
        </w:rPr>
        <w:t xml:space="preserve">Peer-reviewed journal articles, academic books, conference papers, corporate reports or government publications. </w:t>
      </w:r>
    </w:p>
    <w:p w14:paraId="762CFF8D" w14:textId="55109491" w:rsidR="00057F81" w:rsidRPr="00057F81" w:rsidRDefault="00057F81" w:rsidP="004C0959">
      <w:pPr>
        <w:numPr>
          <w:ilvl w:val="0"/>
          <w:numId w:val="3"/>
        </w:numPr>
        <w:spacing w:line="360" w:lineRule="auto"/>
        <w:jc w:val="left"/>
        <w:rPr>
          <w:rFonts w:cs="Arial"/>
          <w:color w:val="000000" w:themeColor="text1"/>
          <w:sz w:val="22"/>
        </w:rPr>
      </w:pPr>
      <w:r w:rsidRPr="00057F81">
        <w:rPr>
          <w:rFonts w:cs="Arial"/>
          <w:color w:val="000000" w:themeColor="text1"/>
          <w:sz w:val="22"/>
        </w:rPr>
        <w:lastRenderedPageBreak/>
        <w:t xml:space="preserve">Concentrated on Ford Motor Company, EVs, strategic management, leadership, consumer behaviour, government policy, automotive sustainability or automotive technological transformation. </w:t>
      </w:r>
    </w:p>
    <w:p w14:paraId="3754A960" w14:textId="0AE53DA8" w:rsidR="00057F81" w:rsidRPr="00057F81" w:rsidRDefault="00057F81" w:rsidP="004C0959">
      <w:pPr>
        <w:numPr>
          <w:ilvl w:val="0"/>
          <w:numId w:val="3"/>
        </w:numPr>
        <w:spacing w:line="360" w:lineRule="auto"/>
        <w:jc w:val="left"/>
        <w:rPr>
          <w:rFonts w:cs="Arial"/>
          <w:color w:val="000000" w:themeColor="text1"/>
          <w:sz w:val="22"/>
        </w:rPr>
      </w:pPr>
      <w:r w:rsidRPr="00057F81">
        <w:rPr>
          <w:rFonts w:cs="Arial"/>
          <w:color w:val="000000" w:themeColor="text1"/>
          <w:sz w:val="22"/>
        </w:rPr>
        <w:t xml:space="preserve">Provided empirical findings or evidence directly relevant to the research objectives. </w:t>
      </w:r>
    </w:p>
    <w:p w14:paraId="22C64DD6" w14:textId="45F2AA1B" w:rsidR="00B45A47" w:rsidRPr="00B45A47" w:rsidRDefault="00057F81" w:rsidP="004C0959">
      <w:pPr>
        <w:numPr>
          <w:ilvl w:val="0"/>
          <w:numId w:val="3"/>
        </w:numPr>
        <w:spacing w:line="360" w:lineRule="auto"/>
        <w:jc w:val="left"/>
        <w:rPr>
          <w:rFonts w:cs="Arial"/>
          <w:color w:val="000000" w:themeColor="text1"/>
          <w:sz w:val="22"/>
        </w:rPr>
      </w:pPr>
      <w:r w:rsidRPr="00057F81">
        <w:rPr>
          <w:rFonts w:cs="Arial"/>
          <w:color w:val="000000" w:themeColor="text1"/>
          <w:sz w:val="22"/>
        </w:rPr>
        <w:t xml:space="preserve">Recommended by prestigious academic institutions, government bodies or organisations. </w:t>
      </w:r>
    </w:p>
    <w:p w14:paraId="2CA4D380" w14:textId="77777777" w:rsidR="00B45A47" w:rsidRPr="00B45A47" w:rsidRDefault="00B45A47" w:rsidP="004C0959">
      <w:pPr>
        <w:pStyle w:val="Heading3"/>
        <w:jc w:val="left"/>
      </w:pPr>
      <w:bookmarkStart w:id="30" w:name="_Toc235296695"/>
      <w:r w:rsidRPr="00B45A47">
        <w:t>3.6.2 Exclusion Criteria</w:t>
      </w:r>
      <w:bookmarkEnd w:id="30"/>
    </w:p>
    <w:p w14:paraId="057854D6" w14:textId="77777777" w:rsidR="00977B6C" w:rsidRPr="00977B6C" w:rsidRDefault="00977B6C" w:rsidP="004C0959">
      <w:pPr>
        <w:spacing w:line="360" w:lineRule="auto"/>
        <w:jc w:val="left"/>
        <w:rPr>
          <w:rFonts w:cs="Arial"/>
          <w:color w:val="000000" w:themeColor="text1"/>
          <w:sz w:val="22"/>
        </w:rPr>
      </w:pPr>
      <w:r w:rsidRPr="00977B6C">
        <w:rPr>
          <w:rFonts w:cs="Arial"/>
          <w:color w:val="000000" w:themeColor="text1"/>
          <w:sz w:val="22"/>
        </w:rPr>
        <w:t>The following sources were not included in the review:</w:t>
      </w:r>
    </w:p>
    <w:p w14:paraId="745B58CD" w14:textId="77777777" w:rsidR="00977B6C" w:rsidRPr="00977B6C" w:rsidRDefault="00977B6C" w:rsidP="004C0959">
      <w:pPr>
        <w:pStyle w:val="ListParagraph"/>
        <w:numPr>
          <w:ilvl w:val="0"/>
          <w:numId w:val="5"/>
        </w:numPr>
        <w:spacing w:line="360" w:lineRule="auto"/>
        <w:jc w:val="left"/>
        <w:rPr>
          <w:rFonts w:cs="Arial"/>
          <w:color w:val="000000" w:themeColor="text1"/>
          <w:sz w:val="22"/>
        </w:rPr>
      </w:pPr>
      <w:r w:rsidRPr="00977B6C">
        <w:rPr>
          <w:rFonts w:cs="Arial"/>
          <w:color w:val="000000" w:themeColor="text1"/>
          <w:sz w:val="22"/>
        </w:rPr>
        <w:t xml:space="preserve">All publications prior to 2020 (excluding as foundational or highly influential). </w:t>
      </w:r>
    </w:p>
    <w:p w14:paraId="6F6AA01D" w14:textId="67BD89E1" w:rsidR="00977B6C" w:rsidRPr="00977B6C" w:rsidRDefault="00977B6C" w:rsidP="004C0959">
      <w:pPr>
        <w:pStyle w:val="ListParagraph"/>
        <w:numPr>
          <w:ilvl w:val="0"/>
          <w:numId w:val="5"/>
        </w:numPr>
        <w:spacing w:line="360" w:lineRule="auto"/>
        <w:jc w:val="left"/>
        <w:rPr>
          <w:rFonts w:cs="Arial"/>
          <w:color w:val="000000" w:themeColor="text1"/>
          <w:sz w:val="22"/>
        </w:rPr>
      </w:pPr>
      <w:r w:rsidRPr="00977B6C">
        <w:rPr>
          <w:rFonts w:cs="Arial"/>
          <w:color w:val="000000" w:themeColor="text1"/>
          <w:sz w:val="22"/>
        </w:rPr>
        <w:t xml:space="preserve">Unsolicited opinion pieces, blogs, promotional websites and unqualified opinion. </w:t>
      </w:r>
    </w:p>
    <w:p w14:paraId="688D6B40" w14:textId="019CAE7F" w:rsidR="00977B6C" w:rsidRPr="00977B6C" w:rsidRDefault="00977B6C" w:rsidP="004C0959">
      <w:pPr>
        <w:pStyle w:val="ListParagraph"/>
        <w:numPr>
          <w:ilvl w:val="0"/>
          <w:numId w:val="5"/>
        </w:numPr>
        <w:spacing w:line="360" w:lineRule="auto"/>
        <w:jc w:val="left"/>
        <w:rPr>
          <w:rFonts w:cs="Arial"/>
          <w:color w:val="000000" w:themeColor="text1"/>
          <w:sz w:val="22"/>
        </w:rPr>
      </w:pPr>
      <w:r w:rsidRPr="00977B6C">
        <w:rPr>
          <w:rFonts w:cs="Arial"/>
          <w:color w:val="000000" w:themeColor="text1"/>
          <w:sz w:val="22"/>
        </w:rPr>
        <w:t xml:space="preserve">Research projects not related to cars or electric vehicle adoption. </w:t>
      </w:r>
    </w:p>
    <w:p w14:paraId="145853B0" w14:textId="77777777" w:rsidR="00977B6C" w:rsidRPr="00977B6C" w:rsidRDefault="00977B6C" w:rsidP="004C0959">
      <w:pPr>
        <w:pStyle w:val="ListParagraph"/>
        <w:numPr>
          <w:ilvl w:val="0"/>
          <w:numId w:val="5"/>
        </w:numPr>
        <w:spacing w:line="360" w:lineRule="auto"/>
        <w:jc w:val="left"/>
        <w:rPr>
          <w:rFonts w:cs="Arial"/>
          <w:color w:val="000000" w:themeColor="text1"/>
          <w:sz w:val="22"/>
        </w:rPr>
      </w:pPr>
      <w:r w:rsidRPr="00977B6C">
        <w:rPr>
          <w:rFonts w:cs="Arial"/>
          <w:color w:val="000000" w:themeColor="text1"/>
          <w:sz w:val="22"/>
        </w:rPr>
        <w:t xml:space="preserve">Duplicate publications found within multiple databases. </w:t>
      </w:r>
    </w:p>
    <w:p w14:paraId="1B8F4DD2" w14:textId="77777777" w:rsidR="00977B6C" w:rsidRPr="00977B6C" w:rsidRDefault="00977B6C" w:rsidP="004C0959">
      <w:pPr>
        <w:pStyle w:val="ListParagraph"/>
        <w:numPr>
          <w:ilvl w:val="0"/>
          <w:numId w:val="5"/>
        </w:numPr>
        <w:spacing w:line="360" w:lineRule="auto"/>
        <w:jc w:val="left"/>
        <w:rPr>
          <w:rFonts w:cs="Arial"/>
          <w:color w:val="000000" w:themeColor="text1"/>
          <w:sz w:val="22"/>
        </w:rPr>
      </w:pPr>
      <w:r w:rsidRPr="00977B6C">
        <w:rPr>
          <w:rFonts w:cs="Arial"/>
          <w:color w:val="000000" w:themeColor="text1"/>
          <w:sz w:val="22"/>
        </w:rPr>
        <w:t xml:space="preserve">Poorly written or unreliable publications. </w:t>
      </w:r>
    </w:p>
    <w:p w14:paraId="63A944AF" w14:textId="6DE225F7" w:rsidR="00977B6C" w:rsidRPr="00977B6C" w:rsidRDefault="00977B6C" w:rsidP="004C0959">
      <w:pPr>
        <w:pStyle w:val="ListParagraph"/>
        <w:numPr>
          <w:ilvl w:val="0"/>
          <w:numId w:val="5"/>
        </w:numPr>
        <w:spacing w:line="360" w:lineRule="auto"/>
        <w:jc w:val="left"/>
        <w:rPr>
          <w:rFonts w:cs="Arial"/>
          <w:color w:val="000000" w:themeColor="text1"/>
          <w:sz w:val="22"/>
        </w:rPr>
      </w:pPr>
      <w:r w:rsidRPr="00977B6C">
        <w:rPr>
          <w:rFonts w:cs="Arial"/>
          <w:color w:val="000000" w:themeColor="text1"/>
          <w:sz w:val="22"/>
        </w:rPr>
        <w:t xml:space="preserve">Materials in languages other than English. </w:t>
      </w:r>
    </w:p>
    <w:p w14:paraId="75F8EFE4" w14:textId="6FBCCDC8" w:rsidR="00B45A47" w:rsidRPr="00B45A47" w:rsidRDefault="00977B6C" w:rsidP="004C0959">
      <w:pPr>
        <w:spacing w:line="360" w:lineRule="auto"/>
        <w:jc w:val="left"/>
        <w:rPr>
          <w:rFonts w:cs="Arial"/>
          <w:color w:val="000000" w:themeColor="text1"/>
          <w:sz w:val="22"/>
        </w:rPr>
      </w:pPr>
      <w:r w:rsidRPr="00977B6C">
        <w:rPr>
          <w:rFonts w:cs="Arial"/>
          <w:color w:val="000000" w:themeColor="text1"/>
          <w:sz w:val="22"/>
        </w:rPr>
        <w:t>Applying these parameters helped to ensure the final literature accurately reflected the aim of the research and fit with the academic standards of literature and relevance.</w:t>
      </w:r>
    </w:p>
    <w:p w14:paraId="19575D77" w14:textId="77777777" w:rsidR="00B45A47" w:rsidRPr="00B45A47" w:rsidRDefault="00B45A47" w:rsidP="004C0959">
      <w:pPr>
        <w:pStyle w:val="Heading2"/>
      </w:pPr>
      <w:bookmarkStart w:id="31" w:name="_Toc235296696"/>
      <w:r w:rsidRPr="00B45A47">
        <w:t>3.7 Search Results</w:t>
      </w:r>
      <w:bookmarkEnd w:id="31"/>
    </w:p>
    <w:p w14:paraId="3CC51F3C" w14:textId="1790BE83" w:rsidR="00CD1A9B" w:rsidRPr="00CD1A9B" w:rsidRDefault="00977B6C" w:rsidP="004C0959">
      <w:pPr>
        <w:spacing w:line="360" w:lineRule="auto"/>
        <w:jc w:val="left"/>
        <w:rPr>
          <w:rFonts w:cs="Arial"/>
          <w:color w:val="000000" w:themeColor="text1"/>
          <w:sz w:val="22"/>
        </w:rPr>
      </w:pPr>
      <w:r w:rsidRPr="00977B6C">
        <w:rPr>
          <w:rFonts w:cs="Arial"/>
          <w:color w:val="000000" w:themeColor="text1"/>
          <w:sz w:val="22"/>
        </w:rPr>
        <w:t xml:space="preserve">The detailed search uncovered a wide repertoire of literature on electric vehicles, strategic planning approaches and leadership, organisational change and transformation, consumer attitudes and behaviours, and Government policies directed at the automotive sector. Various academic databases were used to obtain library research literature as well as corporate reports, journal articles, government reports, and industry reports. To meet the goal of eliminating duplication the records were duplicated prior to titles and abstracts were being screened to evaluate their relevance to the research goals. Papers which allised to study topics that had not related to the research topic and papers which were not methodologically sound and papers which did not answer the research question were excluded. All the other publications were read in full and assessed according to the pre-defined criteria for inclusion and exclusion. Special attention was paid on recent, credible and peer-reviewed references which focused on the Ford Motor Company, Electric Vehicles (EVs) and strategic management. The resulting sample included academic Journal articles, Government papers, corporate reports and industry publications arranged by themes/topic and used for analysis. A clear selection </w:t>
      </w:r>
      <w:r w:rsidRPr="00977B6C">
        <w:rPr>
          <w:rFonts w:cs="Arial"/>
          <w:color w:val="000000" w:themeColor="text1"/>
          <w:sz w:val="22"/>
        </w:rPr>
        <w:lastRenderedPageBreak/>
        <w:t xml:space="preserve">process can further help to ensure the reliability of systematic reviews, and systematic screening can further make the evidence synthesis credible and increase the trustworthiness (William 2024, Pretorius 2024). </w:t>
      </w:r>
    </w:p>
    <w:p w14:paraId="48A2E307" w14:textId="77777777" w:rsidR="00B45A47" w:rsidRPr="00B45A47" w:rsidRDefault="00B45A47" w:rsidP="004C0959">
      <w:pPr>
        <w:pStyle w:val="Heading2"/>
      </w:pPr>
      <w:bookmarkStart w:id="32" w:name="_Toc235296697"/>
      <w:r w:rsidRPr="00B45A47">
        <w:t>3.8 Ethical Considerations</w:t>
      </w:r>
      <w:bookmarkEnd w:id="32"/>
    </w:p>
    <w:p w14:paraId="4FF7E36D" w14:textId="51C83710" w:rsidR="00411F1C" w:rsidRPr="00411F1C" w:rsidRDefault="00977B6C" w:rsidP="004C0959">
      <w:pPr>
        <w:spacing w:line="360" w:lineRule="auto"/>
        <w:jc w:val="left"/>
        <w:rPr>
          <w:rFonts w:cs="Arial"/>
          <w:color w:val="000000" w:themeColor="text1"/>
          <w:sz w:val="22"/>
        </w:rPr>
      </w:pPr>
      <w:r w:rsidRPr="00977B6C">
        <w:rPr>
          <w:rFonts w:cs="Arial"/>
          <w:color w:val="000000" w:themeColor="text1"/>
          <w:sz w:val="22"/>
        </w:rPr>
        <w:t>This study was based entirely on secondary data, so that no human interventions, interviews, child surveys or collection of personal data was performed, hence no formal ethical approval was required for this study. But the principles of ethics have been adhered to throughout the process of research. Proper and correct citations/references arranged to a Harvard referencing style to ensure proper citation and avoid plagiarism. Findings were presented objectively, therefore not selective reporting or misrepresentation occurred. Some of the information was obtained from corporate reports and industry publications and potential organisational bias was critically considered before being used in the analysis. Corporate evidence was triangulated with peer-reviewed journal articles, government reports and independent industry reports to strengthen the credibility of the information. To maintain methodological integrity, transparency and ethical responsibility have to be ensured, as stated by Pandey et al. (2026); further, systematic reporting helps to ensure that the findings of the research receive more credibility and trustworthiness, as proposed by Pretorius (2024).</w:t>
      </w:r>
    </w:p>
    <w:p w14:paraId="4A9FB3A4" w14:textId="77777777" w:rsidR="00B45A47" w:rsidRPr="00B45A47" w:rsidRDefault="00B45A47" w:rsidP="004C0959">
      <w:pPr>
        <w:pStyle w:val="Heading2"/>
      </w:pPr>
      <w:bookmarkStart w:id="33" w:name="_Toc235296698"/>
      <w:r w:rsidRPr="00B45A47">
        <w:t>3.9 Chapter Summary</w:t>
      </w:r>
      <w:bookmarkEnd w:id="33"/>
    </w:p>
    <w:p w14:paraId="7DAACBC2" w14:textId="30C45DFD" w:rsidR="00411F1C" w:rsidRPr="00411F1C" w:rsidRDefault="0048785E" w:rsidP="004C0959">
      <w:pPr>
        <w:spacing w:line="360" w:lineRule="auto"/>
        <w:jc w:val="left"/>
        <w:rPr>
          <w:rFonts w:cs="Arial"/>
          <w:color w:val="000000" w:themeColor="text1"/>
          <w:sz w:val="22"/>
        </w:rPr>
      </w:pPr>
      <w:r w:rsidRPr="0048785E">
        <w:rPr>
          <w:rFonts w:cs="Arial"/>
          <w:color w:val="000000" w:themeColor="text1"/>
          <w:sz w:val="22"/>
        </w:rPr>
        <w:t xml:space="preserve">The application of Systematic Literature Review (SLR) as a methodology that would achieve the aims of this research was justified in this chapter. Described the search methodology, search terms, databases searched, eligibility criteria for content inclusion/exclusion and ethics considerations for conducting the search. These systematic procedures resulted in a transparent and rigorous evidence synthesis process which served as a solid foundation for the findings and discussion in the next chapter. </w:t>
      </w:r>
    </w:p>
    <w:p w14:paraId="6BBB6461" w14:textId="0901825C" w:rsidR="00B45A47" w:rsidRPr="00B45A47" w:rsidRDefault="00B45A47" w:rsidP="004C0959">
      <w:pPr>
        <w:spacing w:line="360" w:lineRule="auto"/>
        <w:jc w:val="left"/>
        <w:rPr>
          <w:rFonts w:cs="Arial"/>
          <w:color w:val="000000" w:themeColor="text1"/>
          <w:sz w:val="22"/>
        </w:rPr>
      </w:pPr>
    </w:p>
    <w:p w14:paraId="7D8E21B0" w14:textId="1321EBF5" w:rsidR="00742A5B" w:rsidRPr="000916E8" w:rsidRDefault="00742A5B" w:rsidP="004C0959">
      <w:pPr>
        <w:spacing w:line="360" w:lineRule="auto"/>
        <w:jc w:val="left"/>
        <w:rPr>
          <w:rFonts w:cs="Arial"/>
          <w:b/>
          <w:bCs/>
          <w:color w:val="FF0000"/>
          <w:sz w:val="22"/>
        </w:rPr>
      </w:pPr>
    </w:p>
    <w:p w14:paraId="589AC4C3" w14:textId="77777777" w:rsidR="00FB4DE5" w:rsidRPr="000916E8" w:rsidRDefault="00FB4DE5" w:rsidP="004C0959">
      <w:pPr>
        <w:spacing w:line="360" w:lineRule="auto"/>
        <w:jc w:val="left"/>
        <w:rPr>
          <w:rFonts w:cs="Arial"/>
          <w:color w:val="FF0000"/>
          <w:sz w:val="22"/>
        </w:rPr>
      </w:pPr>
    </w:p>
    <w:p w14:paraId="4F1B3E64" w14:textId="77777777" w:rsidR="00FB4DE5" w:rsidRPr="00647DC0" w:rsidRDefault="00FB4DE5" w:rsidP="004C0959">
      <w:pPr>
        <w:spacing w:before="0" w:after="160" w:line="360" w:lineRule="auto"/>
        <w:ind w:firstLine="0"/>
        <w:contextualSpacing w:val="0"/>
        <w:jc w:val="left"/>
        <w:rPr>
          <w:rFonts w:cs="Arial"/>
          <w:b/>
          <w:i/>
          <w:sz w:val="22"/>
        </w:rPr>
      </w:pPr>
      <w:r w:rsidRPr="00647DC0">
        <w:rPr>
          <w:rFonts w:cs="Arial"/>
          <w:sz w:val="22"/>
        </w:rPr>
        <w:br w:type="page"/>
      </w:r>
    </w:p>
    <w:p w14:paraId="5B9837CC" w14:textId="3C316C79" w:rsidR="00B10D22" w:rsidRPr="00647DC0" w:rsidRDefault="00B10D22" w:rsidP="004C0959">
      <w:pPr>
        <w:pStyle w:val="Heading1"/>
        <w:spacing w:line="360" w:lineRule="auto"/>
        <w:rPr>
          <w:rFonts w:cs="Arial"/>
          <w:sz w:val="22"/>
        </w:rPr>
      </w:pPr>
      <w:bookmarkStart w:id="34" w:name="_Toc235296699"/>
      <w:r w:rsidRPr="00647DC0">
        <w:rPr>
          <w:rFonts w:cs="Arial"/>
          <w:sz w:val="22"/>
        </w:rPr>
        <w:lastRenderedPageBreak/>
        <w:t xml:space="preserve">Chapter </w:t>
      </w:r>
      <w:r w:rsidR="00F6249F" w:rsidRPr="00647DC0">
        <w:rPr>
          <w:rFonts w:cs="Arial"/>
          <w:sz w:val="22"/>
        </w:rPr>
        <w:t>4</w:t>
      </w:r>
      <w:r w:rsidRPr="00647DC0">
        <w:rPr>
          <w:rFonts w:cs="Arial"/>
          <w:sz w:val="22"/>
        </w:rPr>
        <w:t xml:space="preserve">: </w:t>
      </w:r>
      <w:r w:rsidR="00F6249F" w:rsidRPr="00647DC0">
        <w:rPr>
          <w:rFonts w:cs="Arial"/>
          <w:sz w:val="22"/>
        </w:rPr>
        <w:t>Findings and Discussion</w:t>
      </w:r>
      <w:bookmarkEnd w:id="34"/>
    </w:p>
    <w:p w14:paraId="3801D372" w14:textId="77777777" w:rsidR="008252E2" w:rsidRPr="00647DC0" w:rsidRDefault="008252E2" w:rsidP="004C0959">
      <w:pPr>
        <w:pStyle w:val="Heading2"/>
        <w:spacing w:line="360" w:lineRule="auto"/>
        <w:rPr>
          <w:rFonts w:cs="Arial"/>
          <w:sz w:val="22"/>
        </w:rPr>
      </w:pPr>
      <w:bookmarkStart w:id="35" w:name="_Toc235296700"/>
      <w:r w:rsidRPr="00647DC0">
        <w:rPr>
          <w:rFonts w:cs="Arial"/>
          <w:sz w:val="22"/>
        </w:rPr>
        <w:t>4.1 Introduction</w:t>
      </w:r>
      <w:bookmarkEnd w:id="35"/>
    </w:p>
    <w:p w14:paraId="0C2AF567" w14:textId="77777777" w:rsidR="0048785E" w:rsidRDefault="0048785E" w:rsidP="004C0959">
      <w:pPr>
        <w:spacing w:line="360" w:lineRule="auto"/>
        <w:ind w:firstLine="0"/>
        <w:jc w:val="left"/>
        <w:rPr>
          <w:rFonts w:cs="Arial"/>
          <w:sz w:val="22"/>
        </w:rPr>
      </w:pPr>
      <w:r w:rsidRPr="0048785E">
        <w:rPr>
          <w:rFonts w:cs="Arial"/>
          <w:sz w:val="22"/>
        </w:rPr>
        <w:t xml:space="preserve">The findings and the discussion presented in this chapter is based on the thematic synthesis of the literature, which was identified from the Systematic Literature Review (SLR) described in Chapter 3. The included studies were then 'critically reviewed' and sorted into common thematic groups based on the identified 'pattern' across the included and relevant studies. Three dominant themes arose from this synthesis: (1) Ford's consumer attitudes and perceptions of electric vehicles; (2) competitive reactions from other automotive groups to the evolution towards electric vehicle; and (3) the impact of government policies and incentives on Ford's electric vehicle strategy. They mirror the research objectives and research questions and offer a framework to handle Ford's leadership and strategic administration in the context of technological transformation and organisation. </w:t>
      </w:r>
    </w:p>
    <w:p w14:paraId="273E3AEC" w14:textId="15A593FC" w:rsidR="008252E2" w:rsidRPr="00647DC0" w:rsidRDefault="006C562E" w:rsidP="004C0959">
      <w:pPr>
        <w:spacing w:line="360" w:lineRule="auto"/>
        <w:ind w:firstLine="0"/>
        <w:jc w:val="left"/>
        <w:rPr>
          <w:rFonts w:cs="Arial"/>
          <w:sz w:val="22"/>
        </w:rPr>
      </w:pPr>
      <w:r w:rsidRPr="00647DC0">
        <w:rPr>
          <w:rFonts w:cs="Arial"/>
          <w:sz w:val="22"/>
        </w:rPr>
        <w:t xml:space="preserve">The results indicate that Ford's EV transition is a strategic imperative that is complex, yet. Ford has produced viable electric models like the Mustang Mach-E, the F-150 Lightning and the E-Transit, but its products are still being met with consumer prudence, high production costs, and tough competition and policy challenges. It aligns with the discussion presented in the literature review that </w:t>
      </w:r>
      <w:r w:rsidR="009F5ADD" w:rsidRPr="00647DC0">
        <w:rPr>
          <w:rFonts w:cs="Arial"/>
          <w:sz w:val="22"/>
        </w:rPr>
        <w:t xml:space="preserve">the </w:t>
      </w:r>
      <w:r w:rsidRPr="00647DC0">
        <w:rPr>
          <w:rFonts w:cs="Arial"/>
          <w:sz w:val="22"/>
        </w:rPr>
        <w:t xml:space="preserve">EV transition is more than an innovation in products. It's a leadership, strategic positioning, supply chain, policy and customer-value challenge as well. The chapter thus assesses Ford's transformation by </w:t>
      </w:r>
      <w:r w:rsidR="009F5ADD" w:rsidRPr="00647DC0">
        <w:rPr>
          <w:rFonts w:cs="Arial"/>
          <w:sz w:val="22"/>
        </w:rPr>
        <w:t>analysing</w:t>
      </w:r>
      <w:r w:rsidRPr="00647DC0">
        <w:rPr>
          <w:rFonts w:cs="Arial"/>
          <w:sz w:val="22"/>
        </w:rPr>
        <w:t xml:space="preserve"> the data presented in corporate reports, market research, legislative documents, industry reports, and recent academic publications.</w:t>
      </w:r>
    </w:p>
    <w:p w14:paraId="19673F63" w14:textId="77777777" w:rsidR="008252E2" w:rsidRPr="00647DC0" w:rsidRDefault="008252E2" w:rsidP="004C0959">
      <w:pPr>
        <w:pStyle w:val="Heading2"/>
        <w:spacing w:line="360" w:lineRule="auto"/>
        <w:rPr>
          <w:rFonts w:cs="Arial"/>
          <w:sz w:val="22"/>
        </w:rPr>
      </w:pPr>
      <w:bookmarkStart w:id="36" w:name="_Toc235296701"/>
      <w:r w:rsidRPr="00647DC0">
        <w:rPr>
          <w:rFonts w:cs="Arial"/>
          <w:sz w:val="22"/>
        </w:rPr>
        <w:t>4.2 Consumer Attitudes and Perceptions of Ford’s Electric Vehicles</w:t>
      </w:r>
      <w:bookmarkEnd w:id="36"/>
    </w:p>
    <w:p w14:paraId="6FAE381A" w14:textId="18B089ED" w:rsidR="006C562E" w:rsidRPr="00647DC0" w:rsidRDefault="006C562E" w:rsidP="004C0959">
      <w:pPr>
        <w:spacing w:line="360" w:lineRule="auto"/>
        <w:ind w:firstLine="0"/>
        <w:jc w:val="left"/>
        <w:rPr>
          <w:rFonts w:cs="Arial"/>
          <w:sz w:val="22"/>
        </w:rPr>
      </w:pPr>
      <w:r w:rsidRPr="00647DC0">
        <w:rPr>
          <w:rFonts w:cs="Arial"/>
          <w:sz w:val="22"/>
        </w:rPr>
        <w:t xml:space="preserve">The first is that Ford's </w:t>
      </w:r>
      <w:r w:rsidR="009F5ADD" w:rsidRPr="00647DC0">
        <w:rPr>
          <w:rFonts w:cs="Arial"/>
          <w:sz w:val="22"/>
        </w:rPr>
        <w:t>EVs</w:t>
      </w:r>
      <w:r w:rsidRPr="00647DC0">
        <w:rPr>
          <w:rFonts w:cs="Arial"/>
          <w:sz w:val="22"/>
        </w:rPr>
        <w:t xml:space="preserve"> have positive attitudes but also some reservations from </w:t>
      </w:r>
      <w:r w:rsidR="009F5ADD" w:rsidRPr="00647DC0">
        <w:rPr>
          <w:rFonts w:cs="Arial"/>
          <w:sz w:val="22"/>
        </w:rPr>
        <w:t>consumers</w:t>
      </w:r>
      <w:r w:rsidRPr="00647DC0">
        <w:rPr>
          <w:rFonts w:cs="Arial"/>
          <w:sz w:val="22"/>
        </w:rPr>
        <w:t>. Ford has a strong heritage brand, particularly in its trucks, vans and mainstream family cars. But consumer confidence in a vehicle with an internal combustion engine does not necessarily translate to confidence in an electric vehicle. The findings from J.D. Power (2025</w:t>
      </w:r>
      <w:r w:rsidR="004B2603">
        <w:rPr>
          <w:rFonts w:cs="Arial"/>
          <w:sz w:val="22"/>
        </w:rPr>
        <w:t>, p. 45</w:t>
      </w:r>
      <w:r w:rsidRPr="00647DC0">
        <w:rPr>
          <w:rFonts w:cs="Arial"/>
          <w:sz w:val="22"/>
        </w:rPr>
        <w:t>) showed that EV consideration among US vehicle shoppers had levelled off at 24% “very likely” to consider an EV and 35% “somewhat likely”, indicating a slowdown in the rapid growth of EV consideration. That's significant for Ford, as it's not just selling EVs to early adopters; it's attempting to convince the mainstream market buyers whose car buying habits are influenced by price, convenience, reliability, range, and charging.</w:t>
      </w:r>
    </w:p>
    <w:p w14:paraId="09AB3BB4" w14:textId="0A58F7D4" w:rsidR="006C562E" w:rsidRPr="00647DC0" w:rsidRDefault="006C562E" w:rsidP="004C0959">
      <w:pPr>
        <w:spacing w:line="360" w:lineRule="auto"/>
        <w:ind w:firstLine="0"/>
        <w:jc w:val="left"/>
        <w:rPr>
          <w:rFonts w:cs="Arial"/>
          <w:sz w:val="22"/>
        </w:rPr>
      </w:pPr>
      <w:r w:rsidRPr="00647DC0">
        <w:rPr>
          <w:rFonts w:cs="Arial"/>
          <w:sz w:val="22"/>
        </w:rPr>
        <w:t xml:space="preserve">The biggest obstacle to affordability is still remaining. As revealed by the Cox Automotive (2023) survey, cost and lack of consumer readiness remain a critical issue to consider in EV adoption, and J.D. Power (2024) noted that EV consideration dropped due to consumer concern about </w:t>
      </w:r>
      <w:r w:rsidRPr="00647DC0">
        <w:rPr>
          <w:rFonts w:cs="Arial"/>
          <w:sz w:val="22"/>
        </w:rPr>
        <w:lastRenderedPageBreak/>
        <w:t>charging access</w:t>
      </w:r>
      <w:r w:rsidR="00765C6D" w:rsidRPr="00647DC0">
        <w:rPr>
          <w:rFonts w:cs="Arial"/>
          <w:sz w:val="22"/>
        </w:rPr>
        <w:t>,</w:t>
      </w:r>
      <w:r w:rsidRPr="00647DC0">
        <w:rPr>
          <w:rFonts w:cs="Arial"/>
          <w:sz w:val="22"/>
        </w:rPr>
        <w:t xml:space="preserve"> high purchase prices and lack of knowledge about incentives. This has a direct impact on Ford since they have customers </w:t>
      </w:r>
      <w:r w:rsidR="00765C6D" w:rsidRPr="00647DC0">
        <w:rPr>
          <w:rFonts w:cs="Arial"/>
          <w:sz w:val="22"/>
        </w:rPr>
        <w:t>who</w:t>
      </w:r>
      <w:r w:rsidRPr="00647DC0">
        <w:rPr>
          <w:rFonts w:cs="Arial"/>
          <w:sz w:val="22"/>
        </w:rPr>
        <w:t xml:space="preserve"> are </w:t>
      </w:r>
      <w:r w:rsidR="00765C6D" w:rsidRPr="00647DC0">
        <w:rPr>
          <w:rFonts w:cs="Arial"/>
          <w:sz w:val="22"/>
        </w:rPr>
        <w:t>price-conscious</w:t>
      </w:r>
      <w:r w:rsidRPr="00647DC0">
        <w:rPr>
          <w:rFonts w:cs="Arial"/>
          <w:sz w:val="22"/>
        </w:rPr>
        <w:t xml:space="preserve">, truck users, fleet operators, etc. Environmental preference is not the only motivation driving an EV choice for these groups. It's founded on how it will help the car to carry out daily work and how it will help to cut down on operating costs and inconvenience. Consumers' willingness to pay for EV attributes </w:t>
      </w:r>
      <w:r w:rsidR="00765C6D" w:rsidRPr="00647DC0">
        <w:rPr>
          <w:rFonts w:cs="Arial"/>
          <w:sz w:val="22"/>
        </w:rPr>
        <w:t>was also</w:t>
      </w:r>
      <w:r w:rsidRPr="00647DC0">
        <w:rPr>
          <w:rFonts w:cs="Arial"/>
          <w:sz w:val="22"/>
        </w:rPr>
        <w:t xml:space="preserve"> shown to be closely linked to range and charging time and operating-cost savings by Bansal et al. (2021). So, Ford's EV challenge is not just to manufacture electric vehicles</w:t>
      </w:r>
      <w:r w:rsidR="00765C6D" w:rsidRPr="00647DC0">
        <w:rPr>
          <w:rFonts w:cs="Arial"/>
          <w:sz w:val="22"/>
        </w:rPr>
        <w:t>;</w:t>
      </w:r>
      <w:r w:rsidRPr="00647DC0">
        <w:rPr>
          <w:rFonts w:cs="Arial"/>
          <w:sz w:val="22"/>
        </w:rPr>
        <w:t xml:space="preserve"> it's to provide sound and viable economics and practicality.</w:t>
      </w:r>
    </w:p>
    <w:p w14:paraId="091E1E6B" w14:textId="5D5B5667" w:rsidR="006C562E" w:rsidRPr="00647DC0" w:rsidRDefault="006C562E" w:rsidP="004C0959">
      <w:pPr>
        <w:spacing w:line="360" w:lineRule="auto"/>
        <w:ind w:firstLine="0"/>
        <w:jc w:val="left"/>
        <w:rPr>
          <w:rFonts w:cs="Arial"/>
          <w:sz w:val="22"/>
        </w:rPr>
      </w:pPr>
      <w:r w:rsidRPr="00647DC0">
        <w:rPr>
          <w:rFonts w:cs="Arial"/>
          <w:sz w:val="22"/>
        </w:rPr>
        <w:t xml:space="preserve">Ford's 2024 U.S. sales show a mix of strengths and weaknesses. The Mustang Mach-E, F-150 Lightning and F-150 E-Transit all grew year on year (Ford Motor Company, 2025c), and Ford had record 2024 US EV sales of 97,865. But the same data reveals that hybrids are even more powerful, as Ford sold 187,426 hybrid vehicles in 2024, which is up 40% from 2023 (Ford Motor Company, 2025c). This indicates that many Ford customers have </w:t>
      </w:r>
      <w:r w:rsidR="00765C6D" w:rsidRPr="00647DC0">
        <w:rPr>
          <w:rFonts w:cs="Arial"/>
          <w:sz w:val="22"/>
        </w:rPr>
        <w:t>an</w:t>
      </w:r>
      <w:r w:rsidRPr="00647DC0">
        <w:rPr>
          <w:rFonts w:cs="Arial"/>
          <w:sz w:val="22"/>
        </w:rPr>
        <w:t xml:space="preserve"> interest </w:t>
      </w:r>
      <w:r w:rsidR="00765C6D" w:rsidRPr="00647DC0">
        <w:rPr>
          <w:rFonts w:cs="Arial"/>
          <w:sz w:val="22"/>
        </w:rPr>
        <w:t>in</w:t>
      </w:r>
      <w:r w:rsidRPr="00647DC0">
        <w:rPr>
          <w:rFonts w:cs="Arial"/>
          <w:sz w:val="22"/>
        </w:rPr>
        <w:t xml:space="preserve"> becoming more electrified, albeit not completely dependent on batteries. The discovery is significant in the context of Ford's announced hybrid strategy, which will continue to feature both electric vehicles and gas and electric hybrid models. It is not a weakness in EV goals to have hybrid growth; it is a sign of </w:t>
      </w:r>
      <w:r w:rsidR="00765C6D" w:rsidRPr="00647DC0">
        <w:rPr>
          <w:rFonts w:cs="Arial"/>
          <w:sz w:val="22"/>
        </w:rPr>
        <w:t>consumers'</w:t>
      </w:r>
      <w:r w:rsidRPr="00647DC0">
        <w:rPr>
          <w:rFonts w:cs="Arial"/>
          <w:sz w:val="22"/>
        </w:rPr>
        <w:t xml:space="preserve"> progressive step-by-step adoption.</w:t>
      </w:r>
    </w:p>
    <w:p w14:paraId="6381A0EC" w14:textId="77777777" w:rsidR="006C562E" w:rsidRPr="00647DC0" w:rsidRDefault="006C562E" w:rsidP="004C0959">
      <w:pPr>
        <w:spacing w:line="360" w:lineRule="auto"/>
        <w:ind w:firstLine="0"/>
        <w:jc w:val="left"/>
        <w:rPr>
          <w:rFonts w:cs="Arial"/>
          <w:sz w:val="22"/>
        </w:rPr>
      </w:pPr>
      <w:r w:rsidRPr="00647DC0">
        <w:rPr>
          <w:rFonts w:cs="Arial"/>
          <w:sz w:val="22"/>
        </w:rPr>
        <w:t>One of the other primary factors affecting consumer perception is charging anxiety. The TAM suggests that consumers use new technologies when they see them as beneficial and user-friendly (Bektaş, 2024). For Ford, perceived usefulness is driving performance, towing and reduced running costs, and perceived ease of use is charging access, installation and reliability. This meant that Ford's Power Promise, a strategic response that covered assistance with home charging and installation, was the appropriate response. The Verge (2025) stated that Ford had not only seen good sales momentum for the EVs but had also extended the programme, as Ford believed that charging confidence was a part of the product proposition.</w:t>
      </w:r>
    </w:p>
    <w:p w14:paraId="7F076475" w14:textId="14100C7D" w:rsidR="006C562E" w:rsidRPr="00647DC0" w:rsidRDefault="006C562E" w:rsidP="004C0959">
      <w:pPr>
        <w:spacing w:line="360" w:lineRule="auto"/>
        <w:ind w:firstLine="0"/>
        <w:jc w:val="left"/>
        <w:rPr>
          <w:rFonts w:cs="Arial"/>
          <w:sz w:val="22"/>
        </w:rPr>
      </w:pPr>
      <w:r w:rsidRPr="00647DC0">
        <w:rPr>
          <w:rFonts w:cs="Arial"/>
          <w:sz w:val="22"/>
        </w:rPr>
        <w:t xml:space="preserve">But home-charging assistance is not the answer to all the problems. According to Chen et al. (2025), spatial accessibility, cost, reliability, usability and consumer trust are the factors that influence public charging equity. </w:t>
      </w:r>
      <w:r w:rsidR="00765C6D" w:rsidRPr="00647DC0">
        <w:rPr>
          <w:rFonts w:cs="Arial"/>
          <w:sz w:val="22"/>
        </w:rPr>
        <w:t>E</w:t>
      </w:r>
      <w:r w:rsidRPr="00647DC0">
        <w:rPr>
          <w:rFonts w:cs="Arial"/>
          <w:sz w:val="22"/>
        </w:rPr>
        <w:t xml:space="preserve">ven if buyers have access to home-charging programmes, renters and those living in apartments and </w:t>
      </w:r>
      <w:r w:rsidR="00765C6D" w:rsidRPr="00647DC0">
        <w:rPr>
          <w:rFonts w:cs="Arial"/>
          <w:sz w:val="22"/>
        </w:rPr>
        <w:t>lower-income</w:t>
      </w:r>
      <w:r w:rsidRPr="00647DC0">
        <w:rPr>
          <w:rFonts w:cs="Arial"/>
          <w:sz w:val="22"/>
        </w:rPr>
        <w:t xml:space="preserve"> households may still be facing challenges. This poses a segmentation challenge for Ford. Higher-income homeowners might be more willing to make the transition to EV ownership, whereas urban renters and rural users, along with work-truck drivers, may be more hesitant. As such, Ford's consumer strategy needs to tackle a non-uniform charging situation, as opposed to a non-uniform charging infrastructure.</w:t>
      </w:r>
    </w:p>
    <w:p w14:paraId="59A5DDD4" w14:textId="2EFD757B" w:rsidR="006C562E" w:rsidRPr="00647DC0" w:rsidRDefault="006C562E" w:rsidP="004C0959">
      <w:pPr>
        <w:spacing w:line="360" w:lineRule="auto"/>
        <w:jc w:val="left"/>
        <w:rPr>
          <w:rFonts w:cs="Arial"/>
          <w:sz w:val="22"/>
        </w:rPr>
      </w:pPr>
      <w:r w:rsidRPr="00647DC0">
        <w:rPr>
          <w:rFonts w:cs="Arial"/>
          <w:sz w:val="22"/>
        </w:rPr>
        <w:lastRenderedPageBreak/>
        <w:t xml:space="preserve">Consumer identity </w:t>
      </w:r>
      <w:r w:rsidR="00765C6D" w:rsidRPr="00647DC0">
        <w:rPr>
          <w:rFonts w:cs="Arial"/>
          <w:sz w:val="22"/>
        </w:rPr>
        <w:t>is also</w:t>
      </w:r>
      <w:r w:rsidRPr="00647DC0">
        <w:rPr>
          <w:rFonts w:cs="Arial"/>
          <w:sz w:val="22"/>
        </w:rPr>
        <w:t xml:space="preserve"> important. It's challenging to electrify a culturally relevant vehicle like the Ford F-150 Lightning. The F-Series has long been synonymous with ruggedness, load-handling capabilities and </w:t>
      </w:r>
      <w:r w:rsidR="00765C6D" w:rsidRPr="00647DC0">
        <w:rPr>
          <w:rFonts w:cs="Arial"/>
          <w:sz w:val="22"/>
        </w:rPr>
        <w:t>old-school</w:t>
      </w:r>
      <w:r w:rsidRPr="00647DC0">
        <w:rPr>
          <w:rFonts w:cs="Arial"/>
          <w:sz w:val="22"/>
        </w:rPr>
        <w:t xml:space="preserve"> trucking. According to Li et al</w:t>
      </w:r>
      <w:r w:rsidR="00765C6D" w:rsidRPr="00647DC0">
        <w:rPr>
          <w:rFonts w:cs="Arial"/>
          <w:sz w:val="22"/>
        </w:rPr>
        <w:t>.</w:t>
      </w:r>
      <w:r w:rsidRPr="00647DC0">
        <w:rPr>
          <w:rFonts w:cs="Arial"/>
          <w:sz w:val="22"/>
        </w:rPr>
        <w:t xml:space="preserve"> (2022), self-image motives can affect EV adoption, as consumers can turn to or away from EVs based on how they identify. Jiang et al. (2025) also suggest that people build their social identity by means of income, age, gender, education and technical preferences in buying an EV. For Ford's truck line, there may be an expectation that electrification does not fit their notion of durability, independence and work. Thus, Ford must not only position the F-150 Lightning as an eco-friendly vehicle, but one worthy of the F-150 legacy.</w:t>
      </w:r>
    </w:p>
    <w:p w14:paraId="4B3BFBA3" w14:textId="30B7B3C7" w:rsidR="006C562E" w:rsidRPr="00647DC0" w:rsidRDefault="006C562E" w:rsidP="004C0959">
      <w:pPr>
        <w:spacing w:line="360" w:lineRule="auto"/>
        <w:ind w:firstLine="0"/>
        <w:jc w:val="left"/>
        <w:rPr>
          <w:rFonts w:cs="Arial"/>
          <w:sz w:val="22"/>
        </w:rPr>
      </w:pPr>
      <w:r w:rsidRPr="00647DC0">
        <w:rPr>
          <w:rFonts w:cs="Arial"/>
          <w:sz w:val="22"/>
        </w:rPr>
        <w:t>That is why it is partly symbolic that Ford faces an EV adoption problem. Even if the electric truck is technically sound, it will meet resistance if customers think the technology will alter the truck ownership experience. Product bundling can overcome these barriers to adoption by pairing the vehicle with other services, according to Plananska and Gamma (2022). Ford's Power Promise and charging support embody this logic, but the company might need to do more, including offering warranties, fleet charging support, battery-health transparency, and TCO tools with EVs</w:t>
      </w:r>
      <w:r w:rsidR="00765C6D" w:rsidRPr="00647DC0">
        <w:rPr>
          <w:rFonts w:cs="Arial"/>
          <w:sz w:val="22"/>
        </w:rPr>
        <w:t>.</w:t>
      </w:r>
      <w:r w:rsidRPr="00647DC0">
        <w:rPr>
          <w:rFonts w:cs="Arial"/>
          <w:sz w:val="22"/>
        </w:rPr>
        <w:t xml:space="preserve"> Such “bunding” would lower the risk perceived by the consumer and enable them to understand EV ownership as a service.</w:t>
      </w:r>
    </w:p>
    <w:p w14:paraId="57316C16" w14:textId="626CF0EA" w:rsidR="006C562E" w:rsidRPr="00647DC0" w:rsidRDefault="006C562E" w:rsidP="004C0959">
      <w:pPr>
        <w:spacing w:line="360" w:lineRule="auto"/>
        <w:ind w:firstLine="0"/>
        <w:jc w:val="left"/>
        <w:rPr>
          <w:rFonts w:cs="Arial"/>
          <w:sz w:val="22"/>
        </w:rPr>
      </w:pPr>
      <w:r w:rsidRPr="00647DC0">
        <w:rPr>
          <w:rFonts w:cs="Arial"/>
          <w:sz w:val="22"/>
        </w:rPr>
        <w:t>Tesla makes another perceptual hurdle for Ford. Tesla is not only viewed as an EV manufacturer, but as an EV-native technology company with software, charging infrastructure and direct customer relationships. In 2024, Tesla sold around 1.789 million EVs worldwide, which is significantly higher than Ford's EV sales (Tesla, 2025). This difference in scale is important because market visibility has an impact on consumer perceptions. Tesla has now become the go-to EV</w:t>
      </w:r>
      <w:r w:rsidR="00765C6D" w:rsidRPr="00647DC0">
        <w:rPr>
          <w:rFonts w:cs="Arial"/>
          <w:sz w:val="22"/>
        </w:rPr>
        <w:t>,</w:t>
      </w:r>
      <w:r w:rsidRPr="00647DC0">
        <w:rPr>
          <w:rFonts w:cs="Arial"/>
          <w:sz w:val="22"/>
        </w:rPr>
        <w:t xml:space="preserve"> and Ford will have to convince their customers that a car brand with such a history can give them the same level of confidence. That puts Ford in a two-in-one situation, having to safeguard its core brand attributes and build a new tech brand.</w:t>
      </w:r>
    </w:p>
    <w:p w14:paraId="6F08E8CB" w14:textId="4C3B7CDD" w:rsidR="008252E2" w:rsidRPr="00647DC0" w:rsidRDefault="006C562E" w:rsidP="004C0959">
      <w:pPr>
        <w:spacing w:line="360" w:lineRule="auto"/>
        <w:ind w:firstLine="0"/>
        <w:jc w:val="left"/>
        <w:rPr>
          <w:rFonts w:cs="Arial"/>
          <w:sz w:val="22"/>
        </w:rPr>
      </w:pPr>
      <w:r w:rsidRPr="00647DC0">
        <w:rPr>
          <w:rFonts w:cs="Arial"/>
          <w:sz w:val="22"/>
        </w:rPr>
        <w:t xml:space="preserve">Ford's consumers are no less enthusiastic about electrification, overall. Rather, they are discussing the speed and the shape of the electrification. When it comes to lower-emission technology, Ford customers are receptive where it doesn't demand significant </w:t>
      </w:r>
      <w:r w:rsidR="00765C6D" w:rsidRPr="00647DC0">
        <w:rPr>
          <w:rFonts w:cs="Arial"/>
          <w:sz w:val="22"/>
        </w:rPr>
        <w:t>behavioural</w:t>
      </w:r>
      <w:r w:rsidRPr="00647DC0">
        <w:rPr>
          <w:rFonts w:cs="Arial"/>
          <w:sz w:val="22"/>
        </w:rPr>
        <w:t xml:space="preserve"> changes, according to hybrid sales</w:t>
      </w:r>
      <w:r w:rsidR="00765C6D" w:rsidRPr="00647DC0">
        <w:rPr>
          <w:rFonts w:cs="Arial"/>
          <w:sz w:val="22"/>
        </w:rPr>
        <w:t xml:space="preserve"> (Plananska and Gamma, 2022)</w:t>
      </w:r>
      <w:r w:rsidRPr="00647DC0">
        <w:rPr>
          <w:rFonts w:cs="Arial"/>
          <w:sz w:val="22"/>
        </w:rPr>
        <w:t>. Full EV adoption is lagging due to charging, range, cost and identity fit. This addresses the first research goal and demonstrates that Ford's EVs are seen as credible, but not yet affordable, convenient or culturally integrated enough to have mainstream consumer market share.</w:t>
      </w:r>
    </w:p>
    <w:p w14:paraId="43D7B872" w14:textId="77777777" w:rsidR="008252E2" w:rsidRPr="00647DC0" w:rsidRDefault="008252E2" w:rsidP="004C0959">
      <w:pPr>
        <w:pStyle w:val="Heading2"/>
        <w:spacing w:line="360" w:lineRule="auto"/>
        <w:rPr>
          <w:rFonts w:cs="Arial"/>
          <w:sz w:val="22"/>
        </w:rPr>
      </w:pPr>
      <w:bookmarkStart w:id="37" w:name="_Toc235296702"/>
      <w:r w:rsidRPr="00647DC0">
        <w:rPr>
          <w:rFonts w:cs="Arial"/>
          <w:sz w:val="22"/>
        </w:rPr>
        <w:t>4.3 Competitive Responses of Other Automotive Companies</w:t>
      </w:r>
      <w:bookmarkEnd w:id="37"/>
    </w:p>
    <w:p w14:paraId="28C53B47" w14:textId="5EA45167" w:rsidR="00D51E1A" w:rsidRPr="00647DC0" w:rsidRDefault="00D51E1A" w:rsidP="004C0959">
      <w:pPr>
        <w:spacing w:line="360" w:lineRule="auto"/>
        <w:ind w:firstLine="0"/>
        <w:jc w:val="left"/>
        <w:rPr>
          <w:rFonts w:cs="Arial"/>
          <w:sz w:val="22"/>
        </w:rPr>
      </w:pPr>
      <w:r w:rsidRPr="00647DC0">
        <w:rPr>
          <w:rFonts w:cs="Arial"/>
          <w:sz w:val="22"/>
        </w:rPr>
        <w:lastRenderedPageBreak/>
        <w:t>The second is that Ford is under a number of competitive pressures from EV-only companies, and from legacy automotive companies and lower-cost overseas competitors. There is no one clear strategic model for the EV transition. Instead, the competitors have chosen to follow various paths, with ecosystem control, battery integration, hybrid resilience, and price competition as the focus. Ford's strategic challenge is to deal with all these pressures, whilst keeping its current business profitable</w:t>
      </w:r>
      <w:r w:rsidR="00C32BF9" w:rsidRPr="00647DC0">
        <w:rPr>
          <w:rFonts w:cs="Arial"/>
          <w:sz w:val="22"/>
        </w:rPr>
        <w:t xml:space="preserve"> (Ford Motor Company, 2025b)</w:t>
      </w:r>
      <w:r w:rsidRPr="00647DC0">
        <w:rPr>
          <w:rFonts w:cs="Arial"/>
          <w:sz w:val="22"/>
        </w:rPr>
        <w:t>.</w:t>
      </w:r>
    </w:p>
    <w:p w14:paraId="317FD901" w14:textId="5761D25C" w:rsidR="00D51E1A" w:rsidRPr="00647DC0" w:rsidRDefault="00D51E1A" w:rsidP="004C0959">
      <w:pPr>
        <w:spacing w:line="360" w:lineRule="auto"/>
        <w:ind w:firstLine="0"/>
        <w:jc w:val="left"/>
        <w:rPr>
          <w:rFonts w:cs="Arial"/>
          <w:sz w:val="22"/>
        </w:rPr>
      </w:pPr>
      <w:r w:rsidRPr="00647DC0">
        <w:rPr>
          <w:rFonts w:cs="Arial"/>
          <w:sz w:val="22"/>
        </w:rPr>
        <w:t xml:space="preserve">The comparison with Tesla remains the key strategic one for Ford as it has created an integrated EV ecosystem. According to Tesla's 2024 annual report, Tesla's 2024 vehicle production </w:t>
      </w:r>
      <w:r w:rsidR="00C32BF9" w:rsidRPr="00647DC0">
        <w:rPr>
          <w:rFonts w:cs="Arial"/>
          <w:sz w:val="22"/>
        </w:rPr>
        <w:t>totalled</w:t>
      </w:r>
      <w:r w:rsidRPr="00647DC0">
        <w:rPr>
          <w:rFonts w:cs="Arial"/>
          <w:sz w:val="22"/>
        </w:rPr>
        <w:t xml:space="preserve"> around 1.773 million vehicles, while vehicle deliveries </w:t>
      </w:r>
      <w:r w:rsidR="00C32BF9" w:rsidRPr="00647DC0">
        <w:rPr>
          <w:rFonts w:cs="Arial"/>
          <w:sz w:val="22"/>
        </w:rPr>
        <w:t>totalled</w:t>
      </w:r>
      <w:r w:rsidRPr="00647DC0">
        <w:rPr>
          <w:rFonts w:cs="Arial"/>
          <w:sz w:val="22"/>
        </w:rPr>
        <w:t xml:space="preserve"> around 1.789 million vehicles (Tesla, 2025). Tesla has been growing </w:t>
      </w:r>
      <w:r w:rsidR="00C32BF9" w:rsidRPr="00647DC0">
        <w:rPr>
          <w:rFonts w:cs="Arial"/>
          <w:sz w:val="22"/>
        </w:rPr>
        <w:t>more slowly</w:t>
      </w:r>
      <w:r w:rsidRPr="00647DC0">
        <w:rPr>
          <w:rFonts w:cs="Arial"/>
          <w:sz w:val="22"/>
        </w:rPr>
        <w:t>, but it still has a big leg-up, as it's in control of the software, the over-the-air updates, the charging infrastructure, and the brand image. Ford's choice to embrace the North American Charging Standard, then, is not only practical but also a sign of the company's forward-thinking approach. It does give Ford customers easier access to charging, but it also demonstrates the complementary assets that Tesla has that legacy manufacturers can't match.</w:t>
      </w:r>
    </w:p>
    <w:p w14:paraId="10B4B669" w14:textId="374599A8" w:rsidR="00D51E1A" w:rsidRPr="00647DC0" w:rsidRDefault="00D51E1A" w:rsidP="004C0959">
      <w:pPr>
        <w:spacing w:line="360" w:lineRule="auto"/>
        <w:ind w:firstLine="0"/>
        <w:jc w:val="left"/>
        <w:rPr>
          <w:rFonts w:cs="Arial"/>
          <w:sz w:val="22"/>
        </w:rPr>
      </w:pPr>
      <w:r w:rsidRPr="00647DC0">
        <w:rPr>
          <w:rFonts w:cs="Arial"/>
          <w:sz w:val="22"/>
        </w:rPr>
        <w:t xml:space="preserve">This reflects the broader strategic point that EV competition is not vehicle-based, but ecosystem-based. A car is not the only part of the value proposition. The focus is shifting more and more towards charging, software, data, energy services and digital customer experience. Manufacturing, dealer networks </w:t>
      </w:r>
      <w:r w:rsidR="00C32BF9" w:rsidRPr="00647DC0">
        <w:rPr>
          <w:rFonts w:cs="Arial"/>
          <w:sz w:val="22"/>
        </w:rPr>
        <w:t>and</w:t>
      </w:r>
      <w:r w:rsidRPr="00647DC0">
        <w:rPr>
          <w:rFonts w:cs="Arial"/>
          <w:sz w:val="22"/>
        </w:rPr>
        <w:t xml:space="preserve"> the reputation of Ford's trucks are still useful, but they cannot replace ecosystem control. Ford's strategic transformation in this context demands organisational learning, not just at the level of vehicle engineering</w:t>
      </w:r>
      <w:r w:rsidR="00C32BF9" w:rsidRPr="00647DC0">
        <w:rPr>
          <w:rFonts w:cs="Arial"/>
          <w:sz w:val="22"/>
        </w:rPr>
        <w:t xml:space="preserve"> (Ford Motor Company, 2025b)</w:t>
      </w:r>
      <w:r w:rsidRPr="00647DC0">
        <w:rPr>
          <w:rFonts w:cs="Arial"/>
          <w:sz w:val="22"/>
        </w:rPr>
        <w:t>. If it's to be a rival to EV-native firms, it will have to enhance software capability, customer data use, and charging partnerships.</w:t>
      </w:r>
    </w:p>
    <w:p w14:paraId="7FC692B6" w14:textId="0B068006" w:rsidR="00D51E1A" w:rsidRPr="00647DC0" w:rsidRDefault="00D51E1A" w:rsidP="004C0959">
      <w:pPr>
        <w:spacing w:line="360" w:lineRule="auto"/>
        <w:ind w:firstLine="0"/>
        <w:jc w:val="left"/>
        <w:rPr>
          <w:rFonts w:cs="Arial"/>
          <w:sz w:val="22"/>
        </w:rPr>
      </w:pPr>
      <w:r w:rsidRPr="00647DC0">
        <w:rPr>
          <w:rFonts w:cs="Arial"/>
          <w:sz w:val="22"/>
        </w:rPr>
        <w:t>But General Motors teaches a different lesson. GM has built up its EV program with Chevrolet, Cadillac and GMC, and has backed it with battery-platform investments. GM's U.S. EV sales increased to 12% of the market in the fourth quarter of 2024, doubling its market share, Reuters (2025b) reported, while Tesla's market share remained much bigger. This is relevant because GM's journey into the EV market indicates that traditional manufacturers have the potential to regain market share by expanding both the range of products and prices. Ford's lineup of EVs has been more focused, with the Mustang Mach-E, F-150 Lightning and E-Transit being the primary offerings. This brings concentration risk</w:t>
      </w:r>
      <w:r w:rsidR="00C32BF9" w:rsidRPr="00647DC0">
        <w:rPr>
          <w:rFonts w:cs="Arial"/>
          <w:sz w:val="22"/>
        </w:rPr>
        <w:t>,</w:t>
      </w:r>
      <w:r w:rsidRPr="00647DC0">
        <w:rPr>
          <w:rFonts w:cs="Arial"/>
          <w:sz w:val="22"/>
        </w:rPr>
        <w:t xml:space="preserve"> as if Ford's Model e's sales flagged, it can have an impact on the sales of the weakest model.</w:t>
      </w:r>
    </w:p>
    <w:p w14:paraId="7FF755A3" w14:textId="731C671B" w:rsidR="00D51E1A" w:rsidRPr="00647DC0" w:rsidRDefault="00D51E1A" w:rsidP="004C0959">
      <w:pPr>
        <w:spacing w:line="360" w:lineRule="auto"/>
        <w:ind w:firstLine="0"/>
        <w:jc w:val="left"/>
        <w:rPr>
          <w:rFonts w:cs="Arial"/>
          <w:sz w:val="22"/>
        </w:rPr>
      </w:pPr>
      <w:r w:rsidRPr="00647DC0">
        <w:rPr>
          <w:rFonts w:cs="Arial"/>
          <w:sz w:val="22"/>
        </w:rPr>
        <w:t xml:space="preserve">But at the same time, GM shows that expanding </w:t>
      </w:r>
      <w:r w:rsidR="00C32BF9" w:rsidRPr="00647DC0">
        <w:rPr>
          <w:rFonts w:cs="Arial"/>
          <w:sz w:val="22"/>
        </w:rPr>
        <w:t>EVs</w:t>
      </w:r>
      <w:r w:rsidRPr="00647DC0">
        <w:rPr>
          <w:rFonts w:cs="Arial"/>
          <w:sz w:val="22"/>
        </w:rPr>
        <w:t xml:space="preserve"> does not guarantee profitability. This is especially evident in the case of Ford. According to Ford's 2025 Integrated Sustainability and </w:t>
      </w:r>
      <w:r w:rsidRPr="00647DC0">
        <w:rPr>
          <w:rFonts w:cs="Arial"/>
          <w:sz w:val="22"/>
        </w:rPr>
        <w:lastRenderedPageBreak/>
        <w:t>Financial Report, Ford Model e had a full-year loss of $5.1 billion in 2024, representing an EBIT loss (Ford Motor Company, 2025b). Reuters (2025a) further reported that Ford predicted further losses of up to $5.5 billion on the EV and software side in 2025. It's not just demand generation that's Ford's issue</w:t>
      </w:r>
      <w:r w:rsidR="00C32BF9" w:rsidRPr="00647DC0">
        <w:rPr>
          <w:rFonts w:cs="Arial"/>
          <w:sz w:val="22"/>
        </w:rPr>
        <w:t>;</w:t>
      </w:r>
      <w:r w:rsidRPr="00647DC0">
        <w:rPr>
          <w:rFonts w:cs="Arial"/>
          <w:sz w:val="22"/>
        </w:rPr>
        <w:t xml:space="preserve"> these numbers reveal. It's all about </w:t>
      </w:r>
      <w:r w:rsidR="00C32BF9" w:rsidRPr="00647DC0">
        <w:rPr>
          <w:rFonts w:cs="Arial"/>
          <w:sz w:val="22"/>
        </w:rPr>
        <w:t xml:space="preserve">the </w:t>
      </w:r>
      <w:r w:rsidRPr="00647DC0">
        <w:rPr>
          <w:rFonts w:cs="Arial"/>
          <w:sz w:val="22"/>
        </w:rPr>
        <w:t>economics of EV production, pricing and scale. Any approach which increases the amount of money lost while increasing sales is not a strategy for sustainable transformation.</w:t>
      </w:r>
    </w:p>
    <w:p w14:paraId="4E9D426E" w14:textId="35E9A13C" w:rsidR="00D51E1A" w:rsidRPr="00647DC0" w:rsidRDefault="00D51E1A" w:rsidP="004C0959">
      <w:pPr>
        <w:spacing w:line="360" w:lineRule="auto"/>
        <w:ind w:firstLine="0"/>
        <w:jc w:val="left"/>
        <w:rPr>
          <w:rFonts w:cs="Arial"/>
          <w:sz w:val="22"/>
        </w:rPr>
      </w:pPr>
      <w:r w:rsidRPr="00647DC0">
        <w:rPr>
          <w:rFonts w:cs="Arial"/>
          <w:sz w:val="22"/>
        </w:rPr>
        <w:t>But BYD is an even tougher competitive counterpoint</w:t>
      </w:r>
      <w:r w:rsidR="00C32BF9" w:rsidRPr="00647DC0">
        <w:rPr>
          <w:rFonts w:cs="Arial"/>
          <w:sz w:val="22"/>
        </w:rPr>
        <w:t>,</w:t>
      </w:r>
      <w:r w:rsidRPr="00647DC0">
        <w:rPr>
          <w:rFonts w:cs="Arial"/>
          <w:sz w:val="22"/>
        </w:rPr>
        <w:t xml:space="preserve"> as it is scale, battery mastery and cost-efficiency combined. In terms of business results, BYD (2025) said its total revenue for 2024 is RMB 777.1 billion, an increase of 23% year on year, and that </w:t>
      </w:r>
      <w:r w:rsidR="00C32BF9" w:rsidRPr="00647DC0">
        <w:rPr>
          <w:rFonts w:cs="Arial"/>
          <w:sz w:val="22"/>
        </w:rPr>
        <w:t>its</w:t>
      </w:r>
      <w:r w:rsidRPr="00647DC0">
        <w:rPr>
          <w:rFonts w:cs="Arial"/>
          <w:sz w:val="22"/>
        </w:rPr>
        <w:t xml:space="preserve"> new energy vehicles continued to grow quickly. What matters for Ford is that BYD's edge isn't just about its low labour costs or its domestic market. </w:t>
      </w:r>
      <w:r w:rsidR="00C32BF9" w:rsidRPr="00647DC0">
        <w:rPr>
          <w:rFonts w:cs="Arial"/>
          <w:sz w:val="22"/>
        </w:rPr>
        <w:t>Furthermore,</w:t>
      </w:r>
      <w:r w:rsidRPr="00647DC0">
        <w:rPr>
          <w:rFonts w:cs="Arial"/>
          <w:sz w:val="22"/>
        </w:rPr>
        <w:t xml:space="preserve"> it is associated with vertical integration, battery technology and controlling the value chain. This is important as battery cost</w:t>
      </w:r>
      <w:r w:rsidR="00C32BF9" w:rsidRPr="00647DC0">
        <w:rPr>
          <w:rFonts w:cs="Arial"/>
          <w:sz w:val="22"/>
        </w:rPr>
        <w:t>,</w:t>
      </w:r>
      <w:r w:rsidRPr="00647DC0">
        <w:rPr>
          <w:rFonts w:cs="Arial"/>
          <w:sz w:val="22"/>
        </w:rPr>
        <w:t xml:space="preserve"> security of supply and manufacturing efficiencies impact the cost competitiveness of EVs</w:t>
      </w:r>
      <w:r w:rsidR="00C32BF9" w:rsidRPr="00647DC0">
        <w:rPr>
          <w:rFonts w:cs="Arial"/>
          <w:sz w:val="22"/>
        </w:rPr>
        <w:t>.</w:t>
      </w:r>
      <w:r w:rsidRPr="00647DC0">
        <w:rPr>
          <w:rFonts w:cs="Arial"/>
          <w:sz w:val="22"/>
        </w:rPr>
        <w:t xml:space="preserve"> Now, Ford's challenge is to do this in a higher-cost North American industrial landscape.</w:t>
      </w:r>
    </w:p>
    <w:p w14:paraId="020A4550" w14:textId="0A8F7CF0" w:rsidR="00D51E1A" w:rsidRPr="00647DC0" w:rsidRDefault="00D51E1A" w:rsidP="004C0959">
      <w:pPr>
        <w:spacing w:line="360" w:lineRule="auto"/>
        <w:ind w:firstLine="0"/>
        <w:jc w:val="left"/>
        <w:rPr>
          <w:rFonts w:cs="Arial"/>
          <w:sz w:val="22"/>
        </w:rPr>
      </w:pPr>
      <w:r w:rsidRPr="00647DC0">
        <w:rPr>
          <w:rFonts w:cs="Arial"/>
          <w:sz w:val="22"/>
        </w:rPr>
        <w:t xml:space="preserve">Toyota provides a counterpoint strategic lesson. Toyota's reputation has been weighed down in the past </w:t>
      </w:r>
      <w:r w:rsidR="00C32BF9" w:rsidRPr="00647DC0">
        <w:rPr>
          <w:rFonts w:cs="Arial"/>
          <w:sz w:val="22"/>
        </w:rPr>
        <w:t>by</w:t>
      </w:r>
      <w:r w:rsidRPr="00647DC0">
        <w:rPr>
          <w:rFonts w:cs="Arial"/>
          <w:sz w:val="22"/>
        </w:rPr>
        <w:t xml:space="preserve"> quicker rates of EV adoption, but today the power of the hybrid is more important when consumer appetite for hybrids is growing. This trend is backed up by Ford's own growth as a hybrid. Ford has finally started to reap the rewards of focusing on hybrids, according to Business Insider (2024), as they're less expensive and make fewer compromises in charging. This indicates that a hybrid approach does not have to be counter-innovation. It can be understood as a practical stepping-stone, especially for those who aren't ready to embrace total EV adoption.</w:t>
      </w:r>
    </w:p>
    <w:p w14:paraId="5F11CF40" w14:textId="10A71E18" w:rsidR="00D51E1A" w:rsidRPr="00647DC0" w:rsidRDefault="00D51E1A" w:rsidP="004C0959">
      <w:pPr>
        <w:spacing w:line="360" w:lineRule="auto"/>
        <w:jc w:val="left"/>
        <w:rPr>
          <w:rFonts w:cs="Arial"/>
          <w:sz w:val="22"/>
        </w:rPr>
      </w:pPr>
      <w:r w:rsidRPr="00647DC0">
        <w:rPr>
          <w:rFonts w:cs="Arial"/>
          <w:sz w:val="22"/>
        </w:rPr>
        <w:t xml:space="preserve">However, the downside is that if hybrid is successful, then there may be less urgency surrounding EV capability-building. Ford cannot afford </w:t>
      </w:r>
      <w:r w:rsidR="00C32BF9" w:rsidRPr="00647DC0">
        <w:rPr>
          <w:rFonts w:cs="Arial"/>
          <w:sz w:val="22"/>
        </w:rPr>
        <w:t>long-term</w:t>
      </w:r>
      <w:r w:rsidRPr="00647DC0">
        <w:rPr>
          <w:rFonts w:cs="Arial"/>
          <w:sz w:val="22"/>
        </w:rPr>
        <w:t xml:space="preserve"> EV transformation to be replaced by hybrids. While revenue, regulatory support and consumer confidence can be generated during the transition, hybrids will not negate the need for low-cost EV platforms, </w:t>
      </w:r>
      <w:r w:rsidR="00C32BF9" w:rsidRPr="00647DC0">
        <w:rPr>
          <w:rFonts w:cs="Arial"/>
          <w:sz w:val="22"/>
        </w:rPr>
        <w:t>battery</w:t>
      </w:r>
      <w:r w:rsidRPr="00647DC0">
        <w:rPr>
          <w:rFonts w:cs="Arial"/>
          <w:sz w:val="22"/>
        </w:rPr>
        <w:t xml:space="preserve"> supply chain and software capability</w:t>
      </w:r>
      <w:r w:rsidR="00C32BF9" w:rsidRPr="00647DC0">
        <w:rPr>
          <w:rFonts w:cs="Arial"/>
          <w:sz w:val="22"/>
        </w:rPr>
        <w:t xml:space="preserve"> (Ford Motor Company, 2025b)</w:t>
      </w:r>
      <w:r w:rsidRPr="00647DC0">
        <w:rPr>
          <w:rFonts w:cs="Arial"/>
          <w:sz w:val="22"/>
        </w:rPr>
        <w:t>. Over-dependence on hybrid vehicles could leave Ford vulnerable if the price of batteries drops and charging stations become more prevalent. So, Ford's competitive response needs to be ready to be resilient in the short term while being technologically prepared in the long term.</w:t>
      </w:r>
    </w:p>
    <w:p w14:paraId="4948A524" w14:textId="612380DC" w:rsidR="00D51E1A" w:rsidRPr="00647DC0" w:rsidRDefault="00D51E1A" w:rsidP="004C0959">
      <w:pPr>
        <w:spacing w:line="360" w:lineRule="auto"/>
        <w:jc w:val="left"/>
        <w:rPr>
          <w:rFonts w:cs="Arial"/>
          <w:sz w:val="22"/>
        </w:rPr>
      </w:pPr>
      <w:r w:rsidRPr="00647DC0">
        <w:rPr>
          <w:rFonts w:cs="Arial"/>
          <w:sz w:val="22"/>
        </w:rPr>
        <w:t>Ford Pro seems to be one of the strongest points of Ford's competition. Professional and commercial customers value vehicles differently compared to retail consumers</w:t>
      </w:r>
      <w:r w:rsidR="00C32BF9" w:rsidRPr="00647DC0">
        <w:rPr>
          <w:rFonts w:cs="Arial"/>
          <w:sz w:val="22"/>
        </w:rPr>
        <w:t xml:space="preserve"> (Ford Motor Company, 2025b)</w:t>
      </w:r>
      <w:r w:rsidRPr="00647DC0">
        <w:rPr>
          <w:rFonts w:cs="Arial"/>
          <w:sz w:val="22"/>
        </w:rPr>
        <w:t xml:space="preserve">. These are total cost of ownership, uptime, depot charging, telematics and maintenance support. E-Transit is significantly important due to the fact that delivery routes and </w:t>
      </w:r>
      <w:r w:rsidR="00C32BF9" w:rsidRPr="00647DC0">
        <w:rPr>
          <w:rFonts w:cs="Arial"/>
          <w:sz w:val="22"/>
        </w:rPr>
        <w:lastRenderedPageBreak/>
        <w:t>fleet charging</w:t>
      </w:r>
      <w:r w:rsidRPr="00647DC0">
        <w:rPr>
          <w:rFonts w:cs="Arial"/>
          <w:sz w:val="22"/>
        </w:rPr>
        <w:t xml:space="preserve"> may be more predictable than for private consumers. Commercial electrification can be used to accelerate where the operating and charging patterns are predictable, according to the IEA (2025). Ford can thus segment by creating a holistic commercial EV service offering instead of just a private passenger EV market offering.</w:t>
      </w:r>
    </w:p>
    <w:p w14:paraId="51186B59" w14:textId="5198C05A" w:rsidR="008252E2" w:rsidRPr="00647DC0" w:rsidRDefault="00D51E1A" w:rsidP="004C0959">
      <w:pPr>
        <w:spacing w:line="360" w:lineRule="auto"/>
        <w:jc w:val="left"/>
        <w:rPr>
          <w:rFonts w:cs="Arial"/>
          <w:sz w:val="22"/>
        </w:rPr>
      </w:pPr>
      <w:r w:rsidRPr="00647DC0">
        <w:rPr>
          <w:rFonts w:cs="Arial"/>
          <w:sz w:val="22"/>
        </w:rPr>
        <w:t>The analysis indicates that Ford should not copy any one competitor. Tesla provides ecosystem control, GM provides portfolio breadth, BYD provides cost/supply-chain integration, and Toyota provides hybrid pragmatism</w:t>
      </w:r>
      <w:r w:rsidR="00C32BF9" w:rsidRPr="00647DC0">
        <w:rPr>
          <w:rFonts w:cs="Arial"/>
          <w:sz w:val="22"/>
        </w:rPr>
        <w:t xml:space="preserve"> (Ford Motor Company, 2025b)</w:t>
      </w:r>
      <w:r w:rsidRPr="00647DC0">
        <w:rPr>
          <w:rFonts w:cs="Arial"/>
          <w:sz w:val="22"/>
        </w:rPr>
        <w:t>. The most successful strategy Ford can make is to develop an affordable EV, expand hybrid production, introduce a Ford Pro electrification program, partner with charging networks and reduce costs responsibly. This addresses the second research objective by demonstrating that lessons offered by the competitors exist</w:t>
      </w:r>
      <w:r w:rsidR="00C32BF9" w:rsidRPr="00647DC0">
        <w:rPr>
          <w:rFonts w:cs="Arial"/>
          <w:sz w:val="22"/>
        </w:rPr>
        <w:t>,</w:t>
      </w:r>
      <w:r w:rsidRPr="00647DC0">
        <w:rPr>
          <w:rFonts w:cs="Arial"/>
          <w:sz w:val="22"/>
        </w:rPr>
        <w:t xml:space="preserve"> but Ford needs to make certain adaptations in terms of its organisational competences, customer base and brand positioning.</w:t>
      </w:r>
    </w:p>
    <w:p w14:paraId="30DB1684" w14:textId="77777777" w:rsidR="008252E2" w:rsidRPr="00647DC0" w:rsidRDefault="008252E2" w:rsidP="004C0959">
      <w:pPr>
        <w:pStyle w:val="Heading2"/>
        <w:spacing w:line="360" w:lineRule="auto"/>
        <w:rPr>
          <w:rFonts w:cs="Arial"/>
          <w:sz w:val="22"/>
        </w:rPr>
      </w:pPr>
      <w:bookmarkStart w:id="38" w:name="_Toc235296703"/>
      <w:r w:rsidRPr="00647DC0">
        <w:rPr>
          <w:rFonts w:cs="Arial"/>
          <w:sz w:val="22"/>
        </w:rPr>
        <w:t>4.4 Government Policy, Incentives and Regulatory Influence</w:t>
      </w:r>
      <w:bookmarkEnd w:id="38"/>
    </w:p>
    <w:p w14:paraId="362924A8" w14:textId="4154D63B" w:rsidR="00D51E1A" w:rsidRPr="00647DC0" w:rsidRDefault="00D51E1A" w:rsidP="004C0959">
      <w:pPr>
        <w:spacing w:line="360" w:lineRule="auto"/>
        <w:jc w:val="left"/>
        <w:rPr>
          <w:rFonts w:cs="Arial"/>
          <w:sz w:val="22"/>
        </w:rPr>
      </w:pPr>
      <w:r w:rsidRPr="00647DC0">
        <w:rPr>
          <w:rFonts w:cs="Arial"/>
          <w:sz w:val="22"/>
        </w:rPr>
        <w:t>The third finding is that government policy is central to Ford’s EV strategy. Tax credits, domestic-content rules, charging investment, emissions standards and industrial policy are all a part of shaping the EV market apart from its consumers and competitors. Ford's production and sales policy thus is adjusted based on regulatory factors and market demand</w:t>
      </w:r>
      <w:r w:rsidR="00D02B71" w:rsidRPr="00647DC0">
        <w:rPr>
          <w:rFonts w:cs="Arial"/>
          <w:sz w:val="22"/>
        </w:rPr>
        <w:t xml:space="preserve"> (Ford Motor Company, 2025b)</w:t>
      </w:r>
      <w:r w:rsidRPr="00647DC0">
        <w:rPr>
          <w:rFonts w:cs="Arial"/>
          <w:sz w:val="22"/>
        </w:rPr>
        <w:t>.</w:t>
      </w:r>
    </w:p>
    <w:p w14:paraId="63701014" w14:textId="49063BEF" w:rsidR="00D51E1A" w:rsidRPr="00647DC0" w:rsidRDefault="00D51E1A" w:rsidP="004C0959">
      <w:pPr>
        <w:spacing w:line="360" w:lineRule="auto"/>
        <w:jc w:val="left"/>
        <w:rPr>
          <w:rFonts w:cs="Arial"/>
          <w:sz w:val="22"/>
        </w:rPr>
      </w:pPr>
      <w:r w:rsidRPr="00647DC0">
        <w:rPr>
          <w:rFonts w:cs="Arial"/>
          <w:sz w:val="22"/>
        </w:rPr>
        <w:t>The Inflation Reduction Act has had a strong impact on the EV market in the United States. The IRS (2025) details that the credit for buying a clean vehicle can be up to $7,500</w:t>
      </w:r>
      <w:r w:rsidR="00D02B71" w:rsidRPr="00647DC0">
        <w:rPr>
          <w:rFonts w:cs="Arial"/>
          <w:sz w:val="22"/>
        </w:rPr>
        <w:t>,</w:t>
      </w:r>
      <w:r w:rsidRPr="00647DC0">
        <w:rPr>
          <w:rFonts w:cs="Arial"/>
          <w:sz w:val="22"/>
        </w:rPr>
        <w:t xml:space="preserve"> but there are certain requirements like final assembly, qualified manufacturer, battery components, critical minerals</w:t>
      </w:r>
      <w:r w:rsidR="00D02B71" w:rsidRPr="00647DC0">
        <w:rPr>
          <w:rFonts w:cs="Arial"/>
          <w:sz w:val="22"/>
        </w:rPr>
        <w:t>,</w:t>
      </w:r>
      <w:r w:rsidRPr="00647DC0">
        <w:rPr>
          <w:rFonts w:cs="Arial"/>
          <w:sz w:val="22"/>
        </w:rPr>
        <w:t xml:space="preserve"> etc. The Department of Energy (2025) also notes that </w:t>
      </w:r>
      <w:r w:rsidR="00D02B71" w:rsidRPr="00647DC0">
        <w:rPr>
          <w:rFonts w:cs="Arial"/>
          <w:sz w:val="22"/>
        </w:rPr>
        <w:t xml:space="preserve">the </w:t>
      </w:r>
      <w:r w:rsidRPr="00647DC0">
        <w:rPr>
          <w:rFonts w:cs="Arial"/>
          <w:sz w:val="22"/>
        </w:rPr>
        <w:t>30D New Clean Vehicle Credit is a tool to promote clean vehicle adoption and promote home-grown supply chain development. This is both a threat and an opportunity to Ford. The incentives would lower the price that consumers pay for Ford's cars, but only if they adhere to stringent vehicle sourcing and assembly requirements.</w:t>
      </w:r>
    </w:p>
    <w:p w14:paraId="5D25C14E" w14:textId="749EC0F8" w:rsidR="00D51E1A" w:rsidRPr="00647DC0" w:rsidRDefault="00D51E1A" w:rsidP="004C0959">
      <w:pPr>
        <w:spacing w:line="360" w:lineRule="auto"/>
        <w:jc w:val="left"/>
        <w:rPr>
          <w:rFonts w:cs="Arial"/>
          <w:sz w:val="22"/>
        </w:rPr>
      </w:pPr>
      <w:r w:rsidRPr="00647DC0">
        <w:rPr>
          <w:rFonts w:cs="Arial"/>
          <w:sz w:val="22"/>
        </w:rPr>
        <w:t>The rules in the Federal Register (2024) provide evidence for how policy is reshaping the EV supply chain. With critical minerals, battery components and foreign entities of concern, sourcing for automakers is a strategic challenge. It is worthwhile to consider the investment in North American battery capacity in Ford's context as an answer to industrial policy rather than manufacturing alone. The sourcing of batteries influences tax-credit eligibility, consumer affordability, and the competitiveness of batteries in the long term. This implies that supply chain management (SCM) has become an integral part of strategic management.</w:t>
      </w:r>
    </w:p>
    <w:p w14:paraId="0C75B8B6" w14:textId="3DD42F46" w:rsidR="00D51E1A" w:rsidRPr="00647DC0" w:rsidRDefault="00D51E1A" w:rsidP="004C0959">
      <w:pPr>
        <w:spacing w:line="360" w:lineRule="auto"/>
        <w:jc w:val="left"/>
        <w:rPr>
          <w:rFonts w:cs="Arial"/>
          <w:sz w:val="22"/>
        </w:rPr>
      </w:pPr>
      <w:r w:rsidRPr="00647DC0">
        <w:rPr>
          <w:rFonts w:cs="Arial"/>
          <w:sz w:val="22"/>
        </w:rPr>
        <w:lastRenderedPageBreak/>
        <w:t>But there is uncertainty as well as support in policy. Investments in EVs need to be long-term, and tax credits and policy rules could change after an election or after a policy review. Meanwhile, Ford had reported uncertainty regarding tariffs and incentives and further expected to see EV losses continue</w:t>
      </w:r>
      <w:r w:rsidR="00D02B71" w:rsidRPr="00647DC0">
        <w:rPr>
          <w:rFonts w:cs="Arial"/>
          <w:sz w:val="22"/>
        </w:rPr>
        <w:t>;</w:t>
      </w:r>
      <w:r w:rsidRPr="00647DC0">
        <w:rPr>
          <w:rFonts w:cs="Arial"/>
          <w:sz w:val="22"/>
        </w:rPr>
        <w:t xml:space="preserve"> Reuters (2025a) reported. This presents a tactical challenge: Ford needs to invest enough to be competitive, but not too much to create excess capacity or policy uncertainty. This is why Ford has paused some plans for EVs and ramped up its focus on hybrids and inexpensive EV-based platforms.</w:t>
      </w:r>
    </w:p>
    <w:p w14:paraId="1B3BDCC3" w14:textId="6D6B8DFC" w:rsidR="00D51E1A" w:rsidRPr="00647DC0" w:rsidRDefault="00D51E1A" w:rsidP="004C0959">
      <w:pPr>
        <w:spacing w:line="360" w:lineRule="auto"/>
        <w:jc w:val="left"/>
        <w:rPr>
          <w:rFonts w:cs="Arial"/>
          <w:sz w:val="22"/>
        </w:rPr>
      </w:pPr>
      <w:r w:rsidRPr="00647DC0">
        <w:rPr>
          <w:rFonts w:cs="Arial"/>
          <w:sz w:val="22"/>
        </w:rPr>
        <w:t xml:space="preserve">Consumer adoption is also impacted by charging infrastructure policy. The National Electric Vehicle Infrastructure Formula Program (2025) describes the EV corridor public charging support from the Alternative Fuels Data </w:t>
      </w:r>
      <w:r w:rsidR="00D02B71" w:rsidRPr="00647DC0">
        <w:rPr>
          <w:rFonts w:cs="Arial"/>
          <w:sz w:val="22"/>
        </w:rPr>
        <w:t>Centre</w:t>
      </w:r>
      <w:r w:rsidRPr="00647DC0">
        <w:rPr>
          <w:rFonts w:cs="Arial"/>
          <w:sz w:val="22"/>
        </w:rPr>
        <w:t>. Theoretically, this should ease consumers' charging anxiety and help boost Ford's EV sales. In practice, rollout has lagged behind the policy aspirations. By April 2025, less than 400 charging ports had been installed as part of the $7.5 billion plan to develop infrastructure in the United States, Reuters (2025c) reported. This disconnect in the process between policy design and implementation reduces consumers' trust and increases pressure on manufacturers to offer their own charging options.</w:t>
      </w:r>
    </w:p>
    <w:p w14:paraId="6290D29F" w14:textId="54F5CF67" w:rsidR="00D51E1A" w:rsidRPr="00647DC0" w:rsidRDefault="00D51E1A" w:rsidP="004C0959">
      <w:pPr>
        <w:spacing w:line="360" w:lineRule="auto"/>
        <w:jc w:val="left"/>
        <w:rPr>
          <w:rFonts w:cs="Arial"/>
          <w:sz w:val="22"/>
        </w:rPr>
      </w:pPr>
      <w:r w:rsidRPr="00647DC0">
        <w:rPr>
          <w:rFonts w:cs="Arial"/>
          <w:sz w:val="22"/>
        </w:rPr>
        <w:t xml:space="preserve">Another important factor is emissions regulation. </w:t>
      </w:r>
      <w:r w:rsidR="00D02B71" w:rsidRPr="00647DC0">
        <w:rPr>
          <w:rFonts w:cs="Arial"/>
          <w:sz w:val="22"/>
        </w:rPr>
        <w:t>The new</w:t>
      </w:r>
      <w:r w:rsidRPr="00647DC0">
        <w:rPr>
          <w:rFonts w:cs="Arial"/>
          <w:sz w:val="22"/>
        </w:rPr>
        <w:t xml:space="preserve"> EPA (2024) model years 2027 and later light-duty and medium-duty vehicle final rule includes lower multi-pollutant standards. The ICCT (2024) argues that the rule sends a strong signal regarding the transition towards EVs and lower-emission vehicles. It is important to note that the rule is not a straight-up EV mandate. It enables manufacturers to meet the requirement in various combinations of EVs, plug-in hybrid EVs, hybrid and efficiency. This will give Ford an edge since its hybrid and electric vehicle strategy can help to meet upcoming regulations without having to deal with consumer readiness.</w:t>
      </w:r>
    </w:p>
    <w:p w14:paraId="68ECF6ED" w14:textId="763695B3" w:rsidR="00D51E1A" w:rsidRPr="00647DC0" w:rsidRDefault="00D51E1A" w:rsidP="004C0959">
      <w:pPr>
        <w:spacing w:line="360" w:lineRule="auto"/>
        <w:jc w:val="left"/>
        <w:rPr>
          <w:rFonts w:cs="Arial"/>
          <w:sz w:val="22"/>
        </w:rPr>
      </w:pPr>
      <w:r w:rsidRPr="00647DC0">
        <w:rPr>
          <w:rFonts w:cs="Arial"/>
          <w:sz w:val="22"/>
        </w:rPr>
        <w:t>At the same time, however, regulation puts pressure on the company as Ford's biggest money-spinner is in the trucks and SUVs These are important vehicles in commerce but are not ecologically friendly. Ford's challenge is to decarbonise profitable segments whilst not putting the economics of those segments at risk. This challenge has led to the creation of the F-150 Lightning, but it's not always profitable. Thus, the policy environment would further drive Ford's interest in electrification, but the market environment would slow down the rate of full EV replacement.</w:t>
      </w:r>
    </w:p>
    <w:p w14:paraId="65C9C1C7" w14:textId="509097D2" w:rsidR="00D51E1A" w:rsidRPr="00647DC0" w:rsidRDefault="00D51E1A" w:rsidP="004C0959">
      <w:pPr>
        <w:spacing w:line="360" w:lineRule="auto"/>
        <w:jc w:val="left"/>
        <w:rPr>
          <w:rFonts w:cs="Arial"/>
          <w:sz w:val="22"/>
        </w:rPr>
      </w:pPr>
      <w:r w:rsidRPr="00647DC0">
        <w:rPr>
          <w:rFonts w:cs="Arial"/>
          <w:sz w:val="22"/>
        </w:rPr>
        <w:t xml:space="preserve">Global competition is influenced by policy. Domestic-content rules could shield U.S. </w:t>
      </w:r>
      <w:r w:rsidR="00D02B71" w:rsidRPr="00647DC0">
        <w:rPr>
          <w:rFonts w:cs="Arial"/>
          <w:sz w:val="22"/>
        </w:rPr>
        <w:t>automakers</w:t>
      </w:r>
      <w:r w:rsidRPr="00647DC0">
        <w:rPr>
          <w:rFonts w:cs="Arial"/>
          <w:sz w:val="22"/>
        </w:rPr>
        <w:t xml:space="preserve"> from some foreign competition, but could also cost U.S. automakers if their domestic supply chains are still underdeveloped. Cazzola (2025) contends that the EV market trends unfolding worldwide are of critical importance for U.S. automakers, as battery cost and </w:t>
      </w:r>
      <w:r w:rsidRPr="00647DC0">
        <w:rPr>
          <w:rFonts w:cs="Arial"/>
          <w:sz w:val="22"/>
        </w:rPr>
        <w:lastRenderedPageBreak/>
        <w:t xml:space="preserve">industrial policy and international competition are now intertwined. Ford is now facing competition from companies and many national industrial systems. BYD's battery integration and China's EV scale </w:t>
      </w:r>
      <w:r w:rsidR="00D02B71" w:rsidRPr="00647DC0">
        <w:rPr>
          <w:rFonts w:cs="Arial"/>
          <w:sz w:val="22"/>
        </w:rPr>
        <w:t>set</w:t>
      </w:r>
      <w:r w:rsidRPr="00647DC0">
        <w:rPr>
          <w:rFonts w:cs="Arial"/>
          <w:sz w:val="22"/>
        </w:rPr>
        <w:t xml:space="preserve"> the cost standard that US companies need to get to.</w:t>
      </w:r>
    </w:p>
    <w:p w14:paraId="2824E37E" w14:textId="579D9AD3" w:rsidR="008252E2" w:rsidRPr="00647DC0" w:rsidRDefault="00D51E1A" w:rsidP="004C0959">
      <w:pPr>
        <w:spacing w:line="360" w:lineRule="auto"/>
        <w:jc w:val="left"/>
        <w:rPr>
          <w:rFonts w:cs="Arial"/>
          <w:sz w:val="22"/>
        </w:rPr>
      </w:pPr>
      <w:r w:rsidRPr="00647DC0">
        <w:rPr>
          <w:rFonts w:cs="Arial"/>
          <w:sz w:val="22"/>
        </w:rPr>
        <w:t>History shows Ford that policy incentives can't be relied upon indefinitely. Tax credits may be too important to EV demand</w:t>
      </w:r>
      <w:r w:rsidR="00D02B71" w:rsidRPr="00647DC0">
        <w:rPr>
          <w:rFonts w:cs="Arial"/>
          <w:sz w:val="22"/>
        </w:rPr>
        <w:t>,</w:t>
      </w:r>
      <w:r w:rsidRPr="00647DC0">
        <w:rPr>
          <w:rFonts w:cs="Arial"/>
          <w:sz w:val="22"/>
        </w:rPr>
        <w:t xml:space="preserve"> and if eligibility is limited or subsidies are phased out, demand may weaken. Incentives thus should be considered as transition support and not as a means for them to be cost-competitive. Building capacity in battery sourcing, design of affordable EVs and charging confidence is Ford's strategic priority, to be accomplished through policy support. This </w:t>
      </w:r>
      <w:r w:rsidR="00D02B71" w:rsidRPr="00647DC0">
        <w:rPr>
          <w:rFonts w:cs="Arial"/>
          <w:sz w:val="22"/>
        </w:rPr>
        <w:t>fulfils</w:t>
      </w:r>
      <w:r w:rsidRPr="00647DC0">
        <w:rPr>
          <w:rFonts w:cs="Arial"/>
          <w:sz w:val="22"/>
        </w:rPr>
        <w:t xml:space="preserve"> the third research goal, being that government policy influences Ford's EV strategy both by inducing demand and by mandating domestic content, infrastructure funding, and emissions compliance, but also by presenting uncertainty and execution risk.</w:t>
      </w:r>
    </w:p>
    <w:p w14:paraId="2A382E45" w14:textId="77777777" w:rsidR="008252E2" w:rsidRPr="00647DC0" w:rsidRDefault="008252E2" w:rsidP="004C0959">
      <w:pPr>
        <w:pStyle w:val="Heading2"/>
        <w:spacing w:line="360" w:lineRule="auto"/>
        <w:rPr>
          <w:rFonts w:cs="Arial"/>
          <w:sz w:val="22"/>
        </w:rPr>
      </w:pPr>
      <w:bookmarkStart w:id="39" w:name="_Toc235296704"/>
      <w:r w:rsidRPr="00647DC0">
        <w:rPr>
          <w:rFonts w:cs="Arial"/>
          <w:sz w:val="22"/>
        </w:rPr>
        <w:t>4.5 Integrated Discussion</w:t>
      </w:r>
      <w:bookmarkEnd w:id="39"/>
    </w:p>
    <w:p w14:paraId="18F485F6" w14:textId="4F2EC8F0" w:rsidR="00D51E1A" w:rsidRPr="00647DC0" w:rsidRDefault="00D51E1A" w:rsidP="004C0959">
      <w:pPr>
        <w:spacing w:line="360" w:lineRule="auto"/>
        <w:jc w:val="left"/>
        <w:rPr>
          <w:rFonts w:cs="Arial"/>
          <w:sz w:val="22"/>
        </w:rPr>
      </w:pPr>
      <w:r w:rsidRPr="00647DC0">
        <w:rPr>
          <w:rFonts w:cs="Arial"/>
          <w:sz w:val="22"/>
        </w:rPr>
        <w:t xml:space="preserve">When the three themes are combined, Ford's EV transition seems to be a balancing act between strategy and commercialism. Electrification is a low-burn cost option for Ford, as regulation, competition and expectations for long-term sustainability push the industry from traditional internal combustion. But Ford can't rush too fast if consumer demand and </w:t>
      </w:r>
      <w:r w:rsidR="00D02B71" w:rsidRPr="00647DC0">
        <w:rPr>
          <w:rFonts w:cs="Arial"/>
          <w:sz w:val="22"/>
        </w:rPr>
        <w:t xml:space="preserve">the </w:t>
      </w:r>
      <w:r w:rsidRPr="00647DC0">
        <w:rPr>
          <w:rFonts w:cs="Arial"/>
          <w:sz w:val="22"/>
        </w:rPr>
        <w:t>profitability of EVs and infrastructure remain unclear</w:t>
      </w:r>
      <w:r w:rsidR="00D02B71" w:rsidRPr="00647DC0">
        <w:rPr>
          <w:rFonts w:cs="Arial"/>
          <w:sz w:val="22"/>
        </w:rPr>
        <w:t xml:space="preserve"> (Ford Motor Company, 2025b)</w:t>
      </w:r>
      <w:r w:rsidRPr="00647DC0">
        <w:rPr>
          <w:rFonts w:cs="Arial"/>
          <w:sz w:val="22"/>
        </w:rPr>
        <w:t>. So, this puts managers in a position of leadership in maintaining investor confidence, safeguarding current profitability and developing future capacity – all at the same time.</w:t>
      </w:r>
    </w:p>
    <w:p w14:paraId="77C3FB17" w14:textId="13A6B1BE" w:rsidR="00D51E1A" w:rsidRPr="00647DC0" w:rsidRDefault="00D51E1A" w:rsidP="004C0959">
      <w:pPr>
        <w:spacing w:line="360" w:lineRule="auto"/>
        <w:jc w:val="left"/>
        <w:rPr>
          <w:rFonts w:cs="Arial"/>
          <w:sz w:val="22"/>
        </w:rPr>
      </w:pPr>
      <w:r w:rsidRPr="00647DC0">
        <w:rPr>
          <w:rFonts w:cs="Arial"/>
          <w:sz w:val="22"/>
        </w:rPr>
        <w:t>This is the reason why Ford announced an intention to split its line into Ford Blue, Ford Model e and Ford Pro. Ford Blue is here to keep traditional car and hybrid car sales profitable, Ford Model e is the EV and software future-focused platform</w:t>
      </w:r>
      <w:r w:rsidR="00D02B71" w:rsidRPr="00647DC0">
        <w:rPr>
          <w:rFonts w:cs="Arial"/>
          <w:sz w:val="22"/>
        </w:rPr>
        <w:t>,</w:t>
      </w:r>
      <w:r w:rsidRPr="00647DC0">
        <w:rPr>
          <w:rFonts w:cs="Arial"/>
          <w:sz w:val="22"/>
        </w:rPr>
        <w:t xml:space="preserve"> and Ford Pro is a commercial platform where electrification could make more economic sense. The segments are critical to Ford's reporting structure, as outlined in the 2024 Form 10-K (Ford Motor Company, 2025a). The upside is transparency, as it places EV losses on the table and not buried in the larger business. The downside is that it reveals the extent of the problem of transformation. Ford Model e is vital, but not lucrative; Ford Blue and Ford Pro are more profitable.</w:t>
      </w:r>
    </w:p>
    <w:p w14:paraId="3484A18F" w14:textId="740CD0AE" w:rsidR="00D51E1A" w:rsidRPr="00647DC0" w:rsidRDefault="00D51E1A" w:rsidP="004C0959">
      <w:pPr>
        <w:spacing w:line="360" w:lineRule="auto"/>
        <w:jc w:val="left"/>
        <w:rPr>
          <w:rFonts w:cs="Arial"/>
          <w:sz w:val="22"/>
        </w:rPr>
      </w:pPr>
      <w:r w:rsidRPr="00647DC0">
        <w:rPr>
          <w:rFonts w:cs="Arial"/>
          <w:sz w:val="22"/>
        </w:rPr>
        <w:t>The results indicate that Ford's most compelling path is not the copycat, but differentiated electrification. Tesla's eco advantage, BYD's cost saving and GM's portfolio expansion are hard to replicate directly. Ford needs to focus on its own assets: trucks, vans, hybrids, commercial vehicles, and brand trust and service networks. According to Limon</w:t>
      </w:r>
      <w:r w:rsidR="00D02B71" w:rsidRPr="00647DC0">
        <w:rPr>
          <w:rFonts w:cs="Arial"/>
          <w:sz w:val="22"/>
        </w:rPr>
        <w:t xml:space="preserve"> et al. </w:t>
      </w:r>
      <w:r w:rsidRPr="00647DC0">
        <w:rPr>
          <w:rFonts w:cs="Arial"/>
          <w:sz w:val="22"/>
        </w:rPr>
        <w:t xml:space="preserve">(2023), the adoption of HEVs may help to achieve </w:t>
      </w:r>
      <w:r w:rsidR="00D02B71" w:rsidRPr="00647DC0">
        <w:rPr>
          <w:rFonts w:cs="Arial"/>
          <w:sz w:val="22"/>
        </w:rPr>
        <w:t xml:space="preserve">a </w:t>
      </w:r>
      <w:r w:rsidRPr="00647DC0">
        <w:rPr>
          <w:rFonts w:cs="Arial"/>
          <w:sz w:val="22"/>
        </w:rPr>
        <w:t xml:space="preserve">low-carbon transition in emerging markets and transitional markets, whereas Shanmugavel and Balakrishnan (2023) highlight the role of </w:t>
      </w:r>
      <w:r w:rsidRPr="00647DC0">
        <w:rPr>
          <w:rFonts w:cs="Arial"/>
          <w:sz w:val="22"/>
        </w:rPr>
        <w:lastRenderedPageBreak/>
        <w:t>pro-environmental behaviour in influencing EV intention. For Ford, this means they should consider the different customers as diverse, not the same, and not seeking one single path towards EV adoption.</w:t>
      </w:r>
    </w:p>
    <w:p w14:paraId="5F36BCB2" w14:textId="6E176A40" w:rsidR="00D51E1A" w:rsidRPr="00647DC0" w:rsidRDefault="00D51E1A" w:rsidP="004C0959">
      <w:pPr>
        <w:spacing w:line="360" w:lineRule="auto"/>
        <w:jc w:val="left"/>
        <w:rPr>
          <w:rFonts w:cs="Arial"/>
          <w:sz w:val="22"/>
        </w:rPr>
      </w:pPr>
      <w:r w:rsidRPr="00647DC0">
        <w:rPr>
          <w:rFonts w:cs="Arial"/>
          <w:sz w:val="22"/>
        </w:rPr>
        <w:t>There is also evidence that Ford's strategic leadership needs to be flexible. Technical innovation is not enough</w:t>
      </w:r>
      <w:r w:rsidR="00D02B71" w:rsidRPr="00647DC0">
        <w:rPr>
          <w:rFonts w:cs="Arial"/>
          <w:sz w:val="22"/>
        </w:rPr>
        <w:t>,</w:t>
      </w:r>
      <w:r w:rsidRPr="00647DC0">
        <w:rPr>
          <w:rFonts w:cs="Arial"/>
          <w:sz w:val="22"/>
        </w:rPr>
        <w:t xml:space="preserve"> as the EV transition will impact customer </w:t>
      </w:r>
      <w:r w:rsidR="00D02B71" w:rsidRPr="00647DC0">
        <w:rPr>
          <w:rFonts w:cs="Arial"/>
          <w:sz w:val="22"/>
        </w:rPr>
        <w:t>behaviour</w:t>
      </w:r>
      <w:r w:rsidRPr="00647DC0">
        <w:rPr>
          <w:rFonts w:cs="Arial"/>
          <w:sz w:val="22"/>
        </w:rPr>
        <w:t xml:space="preserve">, dealership structures, supplier dynamics, regulatory requirements, and </w:t>
      </w:r>
      <w:r w:rsidR="00D02B71" w:rsidRPr="00647DC0">
        <w:rPr>
          <w:rFonts w:cs="Arial"/>
          <w:sz w:val="22"/>
        </w:rPr>
        <w:t>organisational</w:t>
      </w:r>
      <w:r w:rsidRPr="00647DC0">
        <w:rPr>
          <w:rFonts w:cs="Arial"/>
          <w:sz w:val="22"/>
        </w:rPr>
        <w:t xml:space="preserve"> culture. Ford is dealing with some competing market priorities: reducing the cost of EVs without eroding profit margins, investing in batteries without excess capacity, speeding up EV production while continuing to satisfy demand for hybrid vehicles, and leveraging policy incentives without relying on them</w:t>
      </w:r>
      <w:r w:rsidR="00153589" w:rsidRPr="00647DC0">
        <w:rPr>
          <w:rFonts w:cs="Arial"/>
          <w:sz w:val="22"/>
        </w:rPr>
        <w:t xml:space="preserve"> (Ford Motor Company, 2025b)</w:t>
      </w:r>
      <w:r w:rsidRPr="00647DC0">
        <w:rPr>
          <w:rFonts w:cs="Arial"/>
          <w:sz w:val="22"/>
        </w:rPr>
        <w:t>. This depends on disciplined strategic management, not on symbolically committing to electrification.</w:t>
      </w:r>
    </w:p>
    <w:p w14:paraId="1518F3C8" w14:textId="4DAA2162" w:rsidR="008252E2" w:rsidRPr="00647DC0" w:rsidRDefault="00D51E1A" w:rsidP="004C0959">
      <w:pPr>
        <w:spacing w:line="360" w:lineRule="auto"/>
        <w:jc w:val="left"/>
        <w:rPr>
          <w:rFonts w:cs="Arial"/>
          <w:sz w:val="22"/>
        </w:rPr>
      </w:pPr>
      <w:r w:rsidRPr="00647DC0">
        <w:rPr>
          <w:rFonts w:cs="Arial"/>
          <w:sz w:val="22"/>
        </w:rPr>
        <w:t>In the end, Ford's EV strategy isn't convincing, but it's not quite complete</w:t>
      </w:r>
      <w:r w:rsidR="00153589" w:rsidRPr="00647DC0">
        <w:rPr>
          <w:rFonts w:cs="Arial"/>
          <w:sz w:val="22"/>
        </w:rPr>
        <w:t xml:space="preserve"> (Ford Motor Company, 2025b)</w:t>
      </w:r>
      <w:r w:rsidRPr="00647DC0">
        <w:rPr>
          <w:rFonts w:cs="Arial"/>
          <w:sz w:val="22"/>
        </w:rPr>
        <w:t xml:space="preserve">. The company has made significant strides in EV and hybrid market penetration, created </w:t>
      </w:r>
      <w:r w:rsidR="00153589" w:rsidRPr="00647DC0">
        <w:rPr>
          <w:rFonts w:cs="Arial"/>
          <w:sz w:val="22"/>
        </w:rPr>
        <w:t>recognisable</w:t>
      </w:r>
      <w:r w:rsidRPr="00647DC0">
        <w:rPr>
          <w:rFonts w:cs="Arial"/>
          <w:sz w:val="22"/>
        </w:rPr>
        <w:t xml:space="preserve"> vehicles and addressed consumer challenges by providing charging infrastructure. However, it is still limited by high EV losses, weak infrastructure, consumer reluctance and strong competitors. The strategic takeaway is that Ford should aim for a gradual transition, with hybrid models keeping customers engaged and pushing for regulatory progress, affordable EV platforms, the localisation of batteries to build charging portfolios, and the creation of charging confidence as a part of the product ecosystem through Ford Pro. This is a more viable and future-proof strategy than a purely electric-first one and more proactive than a reactive internal combustion (IC) push.</w:t>
      </w:r>
    </w:p>
    <w:p w14:paraId="794D009E" w14:textId="77777777" w:rsidR="008252E2" w:rsidRPr="00647DC0" w:rsidRDefault="008252E2" w:rsidP="004C0959">
      <w:pPr>
        <w:pStyle w:val="Heading2"/>
        <w:spacing w:line="360" w:lineRule="auto"/>
        <w:rPr>
          <w:rFonts w:cs="Arial"/>
          <w:sz w:val="22"/>
        </w:rPr>
      </w:pPr>
      <w:bookmarkStart w:id="40" w:name="_Toc235296705"/>
      <w:r w:rsidRPr="00647DC0">
        <w:rPr>
          <w:rFonts w:cs="Arial"/>
          <w:sz w:val="22"/>
        </w:rPr>
        <w:t>4.6 Chapter Summary</w:t>
      </w:r>
      <w:bookmarkEnd w:id="40"/>
    </w:p>
    <w:p w14:paraId="46A9BED7" w14:textId="52EEADD4" w:rsidR="000A1E71" w:rsidRPr="00647DC0" w:rsidRDefault="00D51E1A" w:rsidP="004C0959">
      <w:pPr>
        <w:spacing w:line="360" w:lineRule="auto"/>
        <w:jc w:val="left"/>
        <w:rPr>
          <w:rFonts w:cs="Arial"/>
          <w:sz w:val="22"/>
        </w:rPr>
      </w:pPr>
      <w:r w:rsidRPr="00647DC0">
        <w:rPr>
          <w:rFonts w:cs="Arial"/>
          <w:sz w:val="22"/>
        </w:rPr>
        <w:t xml:space="preserve">The content of this chapter was </w:t>
      </w:r>
      <w:r w:rsidR="00153589" w:rsidRPr="00647DC0">
        <w:rPr>
          <w:rFonts w:cs="Arial"/>
          <w:sz w:val="22"/>
        </w:rPr>
        <w:t>analysed</w:t>
      </w:r>
      <w:r w:rsidRPr="00647DC0">
        <w:rPr>
          <w:rFonts w:cs="Arial"/>
          <w:sz w:val="22"/>
        </w:rPr>
        <w:t xml:space="preserve"> using evidence related to the research objectives for Ford Motor Company's EV transition. The chapter discovered that there are positive attitudes among consumers toward Ford's EVs, but that they have concerns about the cost, charging, identity, and the question of whether EVs are “practical use.” While Ford's sales of hybrids are strong, it also indicates that a transition to electrification is welcome, but many consumers are opting for a more conservative path. Second, the chapter determined that the approaches of competitors differ: Tesla's stand is a philosophy of ecosystem control, while GM's is a strategy of diversifying its portfolio, BYD's is a strategy of cost and battery integration, and Toyota's is a strategy of hybrid resilience. Ford's answer should be specific and distinct. Third, the chapter concluded that government policy markedly affects Ford's production and sales </w:t>
      </w:r>
      <w:r w:rsidRPr="00647DC0">
        <w:rPr>
          <w:rFonts w:cs="Arial"/>
          <w:sz w:val="22"/>
        </w:rPr>
        <w:lastRenderedPageBreak/>
        <w:t>approach via tax credits, emissions standards, domestic content rules and charging investment, and that policy implementation is not consistent, adding uncertainty.</w:t>
      </w:r>
      <w:r w:rsidR="000A1E71" w:rsidRPr="00647DC0">
        <w:rPr>
          <w:rFonts w:cs="Arial"/>
          <w:sz w:val="22"/>
        </w:rPr>
        <w:br w:type="page"/>
      </w:r>
    </w:p>
    <w:p w14:paraId="4CF31B41" w14:textId="3A1C7FE6" w:rsidR="000A1E71" w:rsidRPr="00647DC0" w:rsidRDefault="000A1E71" w:rsidP="004C0959">
      <w:pPr>
        <w:pStyle w:val="Heading1"/>
        <w:spacing w:line="360" w:lineRule="auto"/>
        <w:rPr>
          <w:rFonts w:cs="Arial"/>
          <w:sz w:val="22"/>
        </w:rPr>
      </w:pPr>
      <w:bookmarkStart w:id="41" w:name="_Toc235296706"/>
      <w:r w:rsidRPr="00647DC0">
        <w:rPr>
          <w:rFonts w:cs="Arial"/>
          <w:sz w:val="22"/>
        </w:rPr>
        <w:lastRenderedPageBreak/>
        <w:t xml:space="preserve">Chapter 5: Recommendations, Conclusion and Limitations of </w:t>
      </w:r>
      <w:r w:rsidR="0064133D" w:rsidRPr="00647DC0">
        <w:rPr>
          <w:rFonts w:cs="Arial"/>
          <w:sz w:val="22"/>
        </w:rPr>
        <w:t xml:space="preserve">the </w:t>
      </w:r>
      <w:r w:rsidRPr="00647DC0">
        <w:rPr>
          <w:rFonts w:cs="Arial"/>
          <w:sz w:val="22"/>
        </w:rPr>
        <w:t>Research</w:t>
      </w:r>
      <w:bookmarkEnd w:id="41"/>
    </w:p>
    <w:p w14:paraId="256968A1" w14:textId="77777777" w:rsidR="000A1E71" w:rsidRPr="00647DC0" w:rsidRDefault="000A1E71" w:rsidP="004C0959">
      <w:pPr>
        <w:pStyle w:val="Heading2"/>
        <w:spacing w:line="360" w:lineRule="auto"/>
        <w:rPr>
          <w:rFonts w:cs="Arial"/>
          <w:sz w:val="22"/>
        </w:rPr>
      </w:pPr>
      <w:bookmarkStart w:id="42" w:name="_Toc235296707"/>
      <w:r w:rsidRPr="00647DC0">
        <w:rPr>
          <w:rFonts w:cs="Arial"/>
          <w:sz w:val="22"/>
        </w:rPr>
        <w:t>5.1 Introduction</w:t>
      </w:r>
      <w:bookmarkEnd w:id="42"/>
    </w:p>
    <w:p w14:paraId="57DF9E10" w14:textId="7F3826C3" w:rsidR="000A1E71" w:rsidRPr="00647DC0" w:rsidRDefault="00D51E1A" w:rsidP="004C0959">
      <w:pPr>
        <w:spacing w:line="360" w:lineRule="auto"/>
        <w:jc w:val="left"/>
        <w:rPr>
          <w:rFonts w:cs="Arial"/>
          <w:sz w:val="22"/>
        </w:rPr>
      </w:pPr>
      <w:r w:rsidRPr="00647DC0">
        <w:rPr>
          <w:rFonts w:cs="Arial"/>
          <w:sz w:val="22"/>
        </w:rPr>
        <w:t xml:space="preserve">This chapter presents recommendations, the overall conclusion and the limitations of the research. The recommendations are based on the findings in Chapter 4, where Ford Motor Company's transition to EVs was identified as a strategic imperative and a mixed commercial opportunity. Ford has some good EV products, a good heritage and rising hybrid demand, but high EV </w:t>
      </w:r>
      <w:r w:rsidR="00153589" w:rsidRPr="00647DC0">
        <w:rPr>
          <w:rFonts w:cs="Arial"/>
          <w:sz w:val="22"/>
        </w:rPr>
        <w:t>losses</w:t>
      </w:r>
      <w:r w:rsidRPr="00647DC0">
        <w:rPr>
          <w:rFonts w:cs="Arial"/>
          <w:sz w:val="22"/>
        </w:rPr>
        <w:t xml:space="preserve">, consumer uncertainty, charging issues and regulatory uncertainty remain. Hence, the recommendations are directed mainly towards enhancements in the strategic discipline, customer confidence, affordability, policy resilience and commercial viability. </w:t>
      </w:r>
    </w:p>
    <w:p w14:paraId="38BFA0C8" w14:textId="77777777" w:rsidR="000A1E71" w:rsidRPr="00647DC0" w:rsidRDefault="000A1E71" w:rsidP="004C0959">
      <w:pPr>
        <w:pStyle w:val="Heading2"/>
        <w:spacing w:line="360" w:lineRule="auto"/>
        <w:rPr>
          <w:rFonts w:cs="Arial"/>
          <w:sz w:val="22"/>
        </w:rPr>
      </w:pPr>
      <w:bookmarkStart w:id="43" w:name="_Toc235296708"/>
      <w:r w:rsidRPr="00647DC0">
        <w:rPr>
          <w:rFonts w:cs="Arial"/>
          <w:sz w:val="22"/>
        </w:rPr>
        <w:t>5.2 Recommendations</w:t>
      </w:r>
      <w:bookmarkEnd w:id="43"/>
    </w:p>
    <w:p w14:paraId="03CA9961" w14:textId="189D740F" w:rsidR="0048785E" w:rsidRPr="0048785E" w:rsidRDefault="0048785E" w:rsidP="004C0959">
      <w:pPr>
        <w:spacing w:line="360" w:lineRule="auto"/>
        <w:jc w:val="left"/>
        <w:rPr>
          <w:rFonts w:cs="Arial"/>
          <w:sz w:val="22"/>
        </w:rPr>
      </w:pPr>
      <w:r w:rsidRPr="0048785E">
        <w:rPr>
          <w:rFonts w:cs="Arial"/>
          <w:sz w:val="22"/>
        </w:rPr>
        <w:t xml:space="preserve">Reflecting on the results of this research, several recommendations are made to improve Ford </w:t>
      </w:r>
      <w:r w:rsidR="004C0959">
        <w:rPr>
          <w:rFonts w:cs="Arial"/>
          <w:sz w:val="22"/>
        </w:rPr>
        <w:t>Motor Company's</w:t>
      </w:r>
      <w:r w:rsidRPr="0048785E">
        <w:rPr>
          <w:rFonts w:cs="Arial"/>
          <w:sz w:val="22"/>
        </w:rPr>
        <w:t xml:space="preserve"> leadership and strategic management as it gradually makes the shift towards EVs. Both the empirical results and the theoretical views presented in the literature review are used to inform these recommendations.</w:t>
      </w:r>
    </w:p>
    <w:p w14:paraId="0E6ACFEB" w14:textId="12CD5060" w:rsidR="0048785E" w:rsidRPr="0048785E" w:rsidRDefault="0048785E" w:rsidP="004C0959">
      <w:pPr>
        <w:spacing w:line="360" w:lineRule="auto"/>
        <w:jc w:val="left"/>
        <w:rPr>
          <w:rFonts w:cs="Arial"/>
          <w:sz w:val="22"/>
        </w:rPr>
      </w:pPr>
      <w:r w:rsidRPr="0048785E">
        <w:rPr>
          <w:rFonts w:cs="Arial"/>
          <w:sz w:val="22"/>
        </w:rPr>
        <w:t xml:space="preserve">First of all, Ford should focus on cost-effective EV platforms, instead of focusing mainly on premium electric trucks and </w:t>
      </w:r>
      <w:r w:rsidR="004C0959">
        <w:rPr>
          <w:rFonts w:cs="Arial"/>
          <w:sz w:val="22"/>
        </w:rPr>
        <w:t>high-end</w:t>
      </w:r>
      <w:r w:rsidRPr="0048785E">
        <w:rPr>
          <w:rFonts w:cs="Arial"/>
          <w:sz w:val="22"/>
        </w:rPr>
        <w:t xml:space="preserve"> vehicles. As shown in Chapter 4, EV adoption remains constrained by the cost of EVs The findings from J.D. Power (2025) suggest not only are consumers less willing to consider EVs, but their primary concerns are about charging infrastructure and purchase price; plus Bansal et al. (2021) suggest that charging time</w:t>
      </w:r>
      <w:r w:rsidR="004C0959">
        <w:rPr>
          <w:rFonts w:cs="Arial"/>
          <w:sz w:val="22"/>
        </w:rPr>
        <w:t>,</w:t>
      </w:r>
      <w:r w:rsidRPr="0048785E">
        <w:rPr>
          <w:rFonts w:cs="Arial"/>
          <w:sz w:val="22"/>
        </w:rPr>
        <w:t xml:space="preserve"> car range, and cost significantly affect WTP. Perceived usefulness of the vehicle or reduced ownership costs as a result of the vehicle's functionality should help to make it more acceptable to consumers as per the Technology Acceptance Model (TAM). Ford must thus invest in low-cost battery systems and streamline vehicle platforms and total vehicle cost of ownership to win the mainstream customer.</w:t>
      </w:r>
    </w:p>
    <w:p w14:paraId="32B72E42" w14:textId="421E9433" w:rsidR="0048785E" w:rsidRPr="0048785E" w:rsidRDefault="0048785E" w:rsidP="004C0959">
      <w:pPr>
        <w:spacing w:line="360" w:lineRule="auto"/>
        <w:jc w:val="left"/>
        <w:rPr>
          <w:rFonts w:cs="Arial"/>
          <w:sz w:val="22"/>
        </w:rPr>
      </w:pPr>
      <w:r w:rsidRPr="0048785E">
        <w:rPr>
          <w:rFonts w:cs="Arial"/>
          <w:sz w:val="22"/>
        </w:rPr>
        <w:t xml:space="preserve">Second, Ford needs to keep relying on hybrid vehicles as a stepping stone toward making larger cuts in gasoline cars and larger transitions to EVs According to Bari, Debnath and Limon (2023), hybrids facilitate the shift to </w:t>
      </w:r>
      <w:r w:rsidR="004C0959">
        <w:rPr>
          <w:rFonts w:cs="Arial"/>
          <w:sz w:val="22"/>
        </w:rPr>
        <w:t>low-carbon</w:t>
      </w:r>
      <w:r w:rsidRPr="0048785E">
        <w:rPr>
          <w:rFonts w:cs="Arial"/>
          <w:sz w:val="22"/>
        </w:rPr>
        <w:t xml:space="preserve"> mobility in a context of insufficient charging networks. This is also based on the theory of Innovation Diffusion</w:t>
      </w:r>
      <w:r w:rsidR="004C0959">
        <w:rPr>
          <w:rFonts w:cs="Arial"/>
          <w:sz w:val="22"/>
        </w:rPr>
        <w:t>,</w:t>
      </w:r>
      <w:r w:rsidRPr="0048785E">
        <w:rPr>
          <w:rFonts w:cs="Arial"/>
          <w:sz w:val="22"/>
        </w:rPr>
        <w:t xml:space="preserve"> which suggests that new technologies will gradually be accepted when the consumer gains confidence, and adequate supporting infrastructure is available. Hybrids enable Ford to keep existing customers happy while encouraging </w:t>
      </w:r>
      <w:r w:rsidR="004C0959">
        <w:rPr>
          <w:rFonts w:cs="Arial"/>
          <w:sz w:val="22"/>
        </w:rPr>
        <w:t xml:space="preserve">a </w:t>
      </w:r>
      <w:r w:rsidRPr="0048785E">
        <w:rPr>
          <w:rFonts w:cs="Arial"/>
          <w:sz w:val="22"/>
        </w:rPr>
        <w:t>steady transition to full electrification - but not forcing behavioural change in the here and now.</w:t>
      </w:r>
    </w:p>
    <w:p w14:paraId="3876632F" w14:textId="0185E495" w:rsidR="0048785E" w:rsidRPr="0048785E" w:rsidRDefault="0048785E" w:rsidP="004C0959">
      <w:pPr>
        <w:spacing w:line="360" w:lineRule="auto"/>
        <w:jc w:val="left"/>
        <w:rPr>
          <w:rFonts w:cs="Arial"/>
          <w:sz w:val="22"/>
        </w:rPr>
      </w:pPr>
      <w:r w:rsidRPr="0048785E">
        <w:rPr>
          <w:rFonts w:cs="Arial"/>
          <w:sz w:val="22"/>
        </w:rPr>
        <w:lastRenderedPageBreak/>
        <w:t xml:space="preserve">Thirdly, Ford needs to reimagine Ford Pro as a strategic growth platform by offering more commercial electrification services. Commercial EV adoption is less of an unknown risk when compared with private EV use, as fleets are able to plan charging schedules. Investment in fleet charging infrastructure is especially important to enable EVs to be adopted in the commercial market (IEA 2025). Ford should continue to drive the growth of E-Transit vehicles, telematics services, fleet management and charging until such a service ecosystem is fully </w:t>
      </w:r>
      <w:r>
        <w:rPr>
          <w:rFonts w:cs="Arial"/>
          <w:sz w:val="22"/>
        </w:rPr>
        <w:t>realised</w:t>
      </w:r>
      <w:r w:rsidRPr="0048785E">
        <w:rPr>
          <w:rFonts w:cs="Arial"/>
          <w:sz w:val="22"/>
        </w:rPr>
        <w:t xml:space="preserve"> that goes beyond the sale of vehicles.</w:t>
      </w:r>
    </w:p>
    <w:p w14:paraId="30C7C74F" w14:textId="0355898D" w:rsidR="0048785E" w:rsidRPr="0048785E" w:rsidRDefault="0048785E" w:rsidP="004C0959">
      <w:pPr>
        <w:spacing w:line="360" w:lineRule="auto"/>
        <w:jc w:val="left"/>
        <w:rPr>
          <w:rFonts w:cs="Arial"/>
          <w:sz w:val="22"/>
        </w:rPr>
      </w:pPr>
      <w:r w:rsidRPr="0048785E">
        <w:rPr>
          <w:rFonts w:cs="Arial"/>
          <w:sz w:val="22"/>
        </w:rPr>
        <w:t xml:space="preserve">Fourth, Ford should keep enhancing customer confidence by embedding charging into the customer experience while driving the car. Plananska </w:t>
      </w:r>
      <w:r>
        <w:rPr>
          <w:rFonts w:cs="Arial"/>
          <w:sz w:val="22"/>
        </w:rPr>
        <w:t>and</w:t>
      </w:r>
      <w:r w:rsidRPr="0048785E">
        <w:rPr>
          <w:rFonts w:cs="Arial"/>
          <w:sz w:val="22"/>
        </w:rPr>
        <w:t xml:space="preserve"> Gamma (2022) </w:t>
      </w:r>
      <w:r>
        <w:rPr>
          <w:rFonts w:cs="Arial"/>
          <w:sz w:val="22"/>
        </w:rPr>
        <w:t>prove</w:t>
      </w:r>
      <w:r w:rsidRPr="0048785E">
        <w:rPr>
          <w:rFonts w:cs="Arial"/>
          <w:sz w:val="22"/>
        </w:rPr>
        <w:t xml:space="preserve"> that the perceived ownership risk is less when products are bundled and that </w:t>
      </w:r>
      <w:r>
        <w:rPr>
          <w:rFonts w:cs="Arial"/>
          <w:sz w:val="22"/>
        </w:rPr>
        <w:t>it</w:t>
      </w:r>
      <w:r w:rsidRPr="0048785E">
        <w:rPr>
          <w:rFonts w:cs="Arial"/>
          <w:sz w:val="22"/>
        </w:rPr>
        <w:t xml:space="preserve"> increases EV adoption. It should offer battery-health monitoring and route-planning services, maintenance and charging education and the like, and build on programs like Ford Power Promise. These efforts help to enhance the user's intentions to use the electric vehicle, as well as the ease of use, one of the most critical factors of the Technology Acceptance Model, which, in turn, supports increased EV adoption by consumers.</w:t>
      </w:r>
    </w:p>
    <w:p w14:paraId="7B35F53E" w14:textId="77777777" w:rsidR="0048785E" w:rsidRPr="0048785E" w:rsidRDefault="0048785E" w:rsidP="004C0959">
      <w:pPr>
        <w:spacing w:line="360" w:lineRule="auto"/>
        <w:jc w:val="left"/>
        <w:rPr>
          <w:rFonts w:cs="Arial"/>
          <w:sz w:val="22"/>
        </w:rPr>
      </w:pPr>
      <w:r w:rsidRPr="0048785E">
        <w:rPr>
          <w:rFonts w:cs="Arial"/>
          <w:sz w:val="22"/>
        </w:rPr>
        <w:t>Fifth, Ford should further bolster battery localisation and supply-chain resiliency to lower production costs to enable better regulatory compliance. As shown by IRS (2025) guidance, battery procurement can impact consumer eligibility for tax incentives, and Reuters (2025a) reports ongoing EV-related financial losses for Ford. The enhancement of strategic partnerships and local manufacturing of batteries would lead to better security of supply, decrease reliance on foreign sources and boost the competitiveness of the sector in the long term.</w:t>
      </w:r>
    </w:p>
    <w:p w14:paraId="4E3AF549" w14:textId="30759208" w:rsidR="00E6708D" w:rsidRPr="00E6708D" w:rsidRDefault="0048785E" w:rsidP="004C0959">
      <w:pPr>
        <w:spacing w:line="360" w:lineRule="auto"/>
        <w:jc w:val="left"/>
        <w:rPr>
          <w:rFonts w:cs="Arial"/>
          <w:sz w:val="22"/>
        </w:rPr>
      </w:pPr>
      <w:r w:rsidRPr="0048785E">
        <w:rPr>
          <w:rFonts w:cs="Arial"/>
          <w:sz w:val="22"/>
        </w:rPr>
        <w:t xml:space="preserve">Lastly, Ford is on the verge of making a policy-innovation strategy that is more sustainable than one which is incredibly dependent on government assistance. EPA emissions regulations and government incentives support electrification in the future but are subject to change. This means that Ford needs to put much more effort into creating </w:t>
      </w:r>
      <w:r>
        <w:rPr>
          <w:rFonts w:cs="Arial"/>
          <w:sz w:val="22"/>
        </w:rPr>
        <w:t>cost-competitive</w:t>
      </w:r>
      <w:r w:rsidRPr="0048785E">
        <w:rPr>
          <w:rFonts w:cs="Arial"/>
          <w:sz w:val="22"/>
        </w:rPr>
        <w:t xml:space="preserve"> EVs, ongoing innovation and operational efficiencies with the idea of making long-term competitiveness based on customer value instead of short-term mechanisms. This would increase Ford's capacity to maintain a competitive advantage in the soon-to-be dynamic automotive sector.</w:t>
      </w:r>
    </w:p>
    <w:p w14:paraId="294C651B" w14:textId="77777777" w:rsidR="000A1E71" w:rsidRPr="00647DC0" w:rsidRDefault="000A1E71" w:rsidP="004C0959">
      <w:pPr>
        <w:pStyle w:val="Heading2"/>
        <w:spacing w:line="360" w:lineRule="auto"/>
        <w:rPr>
          <w:rFonts w:cs="Arial"/>
          <w:sz w:val="22"/>
        </w:rPr>
      </w:pPr>
      <w:bookmarkStart w:id="44" w:name="_Toc235296709"/>
      <w:r w:rsidRPr="00647DC0">
        <w:rPr>
          <w:rFonts w:cs="Arial"/>
          <w:sz w:val="22"/>
        </w:rPr>
        <w:t>5.3 Limitations of the Research</w:t>
      </w:r>
      <w:bookmarkEnd w:id="44"/>
    </w:p>
    <w:p w14:paraId="7E56B78F" w14:textId="43F8B07F" w:rsidR="00A175A5" w:rsidRPr="00647DC0" w:rsidRDefault="00A175A5" w:rsidP="004C0959">
      <w:pPr>
        <w:spacing w:line="360" w:lineRule="auto"/>
        <w:jc w:val="left"/>
        <w:rPr>
          <w:rFonts w:cs="Arial"/>
          <w:sz w:val="22"/>
        </w:rPr>
      </w:pPr>
      <w:r w:rsidRPr="00647DC0">
        <w:rPr>
          <w:rFonts w:cs="Arial"/>
          <w:sz w:val="22"/>
        </w:rPr>
        <w:t>There are a few drawbacks to this research. First, it was based on secondary qualitative data and not primary interviews or surveys. This was suitable for the analysis of Ford's EV strategy</w:t>
      </w:r>
      <w:r w:rsidR="00E5314E" w:rsidRPr="00647DC0">
        <w:rPr>
          <w:rFonts w:cs="Arial"/>
          <w:sz w:val="22"/>
        </w:rPr>
        <w:t>,</w:t>
      </w:r>
      <w:r w:rsidRPr="00647DC0">
        <w:rPr>
          <w:rFonts w:cs="Arial"/>
          <w:sz w:val="22"/>
        </w:rPr>
        <w:t xml:space="preserve"> but it did mean that the study used published corporate, academic, policy and industry </w:t>
      </w:r>
      <w:r w:rsidRPr="00647DC0">
        <w:rPr>
          <w:rFonts w:cs="Arial"/>
          <w:sz w:val="22"/>
        </w:rPr>
        <w:lastRenderedPageBreak/>
        <w:t xml:space="preserve">sources. Because of this, the research was unable to directly reflect the opinions of Ford managers, employees, </w:t>
      </w:r>
      <w:r w:rsidR="00E5314E" w:rsidRPr="00647DC0">
        <w:rPr>
          <w:rFonts w:cs="Arial"/>
          <w:sz w:val="22"/>
        </w:rPr>
        <w:t>dealers</w:t>
      </w:r>
      <w:r w:rsidRPr="00647DC0">
        <w:rPr>
          <w:rFonts w:cs="Arial"/>
          <w:sz w:val="22"/>
        </w:rPr>
        <w:t xml:space="preserve"> or customers.</w:t>
      </w:r>
    </w:p>
    <w:p w14:paraId="5FCCE15B" w14:textId="41671714" w:rsidR="00A175A5" w:rsidRPr="00647DC0" w:rsidRDefault="00A175A5" w:rsidP="004C0959">
      <w:pPr>
        <w:spacing w:line="360" w:lineRule="auto"/>
        <w:jc w:val="left"/>
        <w:rPr>
          <w:rFonts w:cs="Arial"/>
          <w:sz w:val="22"/>
        </w:rPr>
      </w:pPr>
      <w:r w:rsidRPr="00647DC0">
        <w:rPr>
          <w:rFonts w:cs="Arial"/>
          <w:sz w:val="22"/>
        </w:rPr>
        <w:t xml:space="preserve">Secondly, there can be strategic bias in some of the sources of information in the corporations. Ford's reports offer excellent evidence of performance, investment and sustainability, but they </w:t>
      </w:r>
      <w:r w:rsidR="00E5314E" w:rsidRPr="00647DC0">
        <w:rPr>
          <w:rFonts w:cs="Arial"/>
          <w:sz w:val="22"/>
        </w:rPr>
        <w:t>are also</w:t>
      </w:r>
      <w:r w:rsidRPr="00647DC0">
        <w:rPr>
          <w:rFonts w:cs="Arial"/>
          <w:sz w:val="22"/>
        </w:rPr>
        <w:t xml:space="preserve"> created for investors and stakeholders. This implies that they can highlight growth and show problems in a regulated language. To </w:t>
      </w:r>
      <w:r w:rsidR="00E5314E" w:rsidRPr="00647DC0">
        <w:rPr>
          <w:rFonts w:cs="Arial"/>
          <w:sz w:val="22"/>
        </w:rPr>
        <w:t>minimise</w:t>
      </w:r>
      <w:r w:rsidRPr="00647DC0">
        <w:rPr>
          <w:rFonts w:cs="Arial"/>
          <w:sz w:val="22"/>
        </w:rPr>
        <w:t xml:space="preserve"> this limitation, triangulation with external sources (Reuters, I.D. Power, IEA and policy documents) was used.</w:t>
      </w:r>
    </w:p>
    <w:p w14:paraId="51EE5C5D" w14:textId="77777777" w:rsidR="00A175A5" w:rsidRPr="00647DC0" w:rsidRDefault="00A175A5" w:rsidP="004C0959">
      <w:pPr>
        <w:spacing w:line="360" w:lineRule="auto"/>
        <w:jc w:val="left"/>
        <w:rPr>
          <w:rFonts w:cs="Arial"/>
          <w:sz w:val="22"/>
        </w:rPr>
      </w:pPr>
      <w:r w:rsidRPr="00647DC0">
        <w:rPr>
          <w:rFonts w:cs="Arial"/>
          <w:sz w:val="22"/>
        </w:rPr>
        <w:t>Thirdly, the EV market is dynamic. Consumer attitudes, battery costs, government incentives, charging stations and competitor plans can change in a matter of months. Thus, the results are based on what was known at the time of this report and may be updated as Ford adjusts its plans for EVs.</w:t>
      </w:r>
    </w:p>
    <w:p w14:paraId="15FDB3BD" w14:textId="405A42BD" w:rsidR="000A1E71" w:rsidRPr="00647DC0" w:rsidRDefault="00A175A5" w:rsidP="004C0959">
      <w:pPr>
        <w:spacing w:line="360" w:lineRule="auto"/>
        <w:jc w:val="left"/>
        <w:rPr>
          <w:rFonts w:cs="Arial"/>
          <w:sz w:val="22"/>
        </w:rPr>
      </w:pPr>
      <w:r w:rsidRPr="00647DC0">
        <w:rPr>
          <w:rFonts w:cs="Arial"/>
          <w:sz w:val="22"/>
        </w:rPr>
        <w:t>Fourth, a primary limitation of the study was that it concentrated on Ford's U.S. and North American EV transition. This was because Ford's EV business and tax incentives, as well as the truck market, are highly North American. However, it is important to note that it does not allow findings to be generalised to Europe, China or emerging markets, as policy conditions, charging infrastructure and consumer behaviour may be different.</w:t>
      </w:r>
    </w:p>
    <w:p w14:paraId="40E5196D" w14:textId="77777777" w:rsidR="000A1E71" w:rsidRPr="00647DC0" w:rsidRDefault="000A1E71" w:rsidP="004C0959">
      <w:pPr>
        <w:pStyle w:val="Heading2"/>
        <w:spacing w:line="360" w:lineRule="auto"/>
        <w:rPr>
          <w:rFonts w:cs="Arial"/>
          <w:sz w:val="22"/>
        </w:rPr>
      </w:pPr>
      <w:bookmarkStart w:id="45" w:name="_Toc235296710"/>
      <w:r w:rsidRPr="00647DC0">
        <w:rPr>
          <w:rFonts w:cs="Arial"/>
          <w:sz w:val="22"/>
        </w:rPr>
        <w:t>5.4 Conclusion</w:t>
      </w:r>
      <w:bookmarkEnd w:id="45"/>
    </w:p>
    <w:p w14:paraId="0FAA1098" w14:textId="42FF8245" w:rsidR="00B10D22" w:rsidRPr="00647DC0" w:rsidRDefault="00A175A5" w:rsidP="004C0959">
      <w:pPr>
        <w:spacing w:line="360" w:lineRule="auto"/>
        <w:jc w:val="left"/>
        <w:rPr>
          <w:rFonts w:cs="Arial"/>
          <w:b/>
          <w:i/>
          <w:sz w:val="22"/>
        </w:rPr>
      </w:pPr>
      <w:r w:rsidRPr="00647DC0">
        <w:rPr>
          <w:rFonts w:cs="Arial"/>
          <w:sz w:val="22"/>
        </w:rPr>
        <w:t>The overall aim of this dissertation was to explore the strategic management of Ford Motor Company's transformation into an EV organisation in the context of technological and organisational change. The study revealed that Ford's EV transition is viable but not guaranteed. Ford has high EV losses, consumer EV caution, infrastructure obstacles, competitive pressures, and strong brand recognition and recognised EV models, but also has rising demand for hybrid and commercial vehicles. The study also indicated that Ford shouldn't just replicate Tesla, BYD, GM or Toyota. The differentiated transition based on affordable EVs, hybrid resilience, Ford Pro commercial electrification and charging support/battery localisation is its most powerful one. This strategy acknowledges that Ford's customers do not constitute a monolithic market segment and that widespread EV adoption relies on practi</w:t>
      </w:r>
      <w:r w:rsidR="000A1E71" w:rsidRPr="00647DC0">
        <w:rPr>
          <w:rFonts w:cs="Arial"/>
          <w:sz w:val="22"/>
        </w:rPr>
        <w:t>cal value, confidence and affordability.</w:t>
      </w:r>
      <w:r w:rsidR="00B10D22" w:rsidRPr="00647DC0">
        <w:rPr>
          <w:rFonts w:cs="Arial"/>
          <w:sz w:val="22"/>
        </w:rPr>
        <w:br w:type="page"/>
      </w:r>
    </w:p>
    <w:p w14:paraId="0878C97E" w14:textId="02A5047E" w:rsidR="000743CD" w:rsidRPr="00647DC0" w:rsidRDefault="001472AF" w:rsidP="004C0959">
      <w:pPr>
        <w:pStyle w:val="Heading1"/>
        <w:spacing w:line="360" w:lineRule="auto"/>
        <w:rPr>
          <w:rFonts w:cs="Arial"/>
          <w:sz w:val="22"/>
        </w:rPr>
      </w:pPr>
      <w:bookmarkStart w:id="46" w:name="_Toc235296711"/>
      <w:r w:rsidRPr="00647DC0">
        <w:rPr>
          <w:rFonts w:cs="Arial"/>
          <w:sz w:val="22"/>
        </w:rPr>
        <w:lastRenderedPageBreak/>
        <w:t>References</w:t>
      </w:r>
      <w:bookmarkEnd w:id="46"/>
    </w:p>
    <w:p w14:paraId="5FF7F6FE" w14:textId="0398AE2D" w:rsidR="003E453D" w:rsidRPr="00647DC0" w:rsidRDefault="003E453D" w:rsidP="004C0959">
      <w:pPr>
        <w:pStyle w:val="ListParagraph"/>
        <w:spacing w:line="360" w:lineRule="auto"/>
        <w:ind w:hanging="720"/>
        <w:jc w:val="left"/>
        <w:rPr>
          <w:rFonts w:cs="Arial"/>
          <w:sz w:val="22"/>
        </w:rPr>
      </w:pPr>
      <w:r w:rsidRPr="00647DC0">
        <w:rPr>
          <w:rFonts w:cs="Arial"/>
          <w:sz w:val="22"/>
        </w:rPr>
        <w:t>Adnan, N., Nordin, S.M. and Rahman, I. (2022) Understanding consumer adoption of electric vehicles through the technology acceptance model: a systematic review and empirical extension, Transportation Research Part A: Policy and Practice, 156, pp. 95–112.</w:t>
      </w:r>
    </w:p>
    <w:p w14:paraId="46CB6123" w14:textId="77777777" w:rsidR="003E453D" w:rsidRPr="00647DC0" w:rsidRDefault="003E453D" w:rsidP="004C0959">
      <w:pPr>
        <w:spacing w:line="360" w:lineRule="auto"/>
        <w:ind w:left="720" w:hanging="720"/>
        <w:jc w:val="left"/>
        <w:rPr>
          <w:rFonts w:cs="Arial"/>
          <w:sz w:val="22"/>
        </w:rPr>
      </w:pPr>
      <w:r w:rsidRPr="00647DC0">
        <w:rPr>
          <w:rFonts w:cs="Arial"/>
          <w:sz w:val="22"/>
        </w:rPr>
        <w:t>Ali, I. M. (2024). A guide for positivist research paradigm: From philosophy to methodology. </w:t>
      </w:r>
      <w:r w:rsidRPr="00647DC0">
        <w:rPr>
          <w:rFonts w:cs="Arial"/>
          <w:i/>
          <w:iCs/>
          <w:sz w:val="22"/>
        </w:rPr>
        <w:t>Idealogy Journal</w:t>
      </w:r>
      <w:r w:rsidRPr="00647DC0">
        <w:rPr>
          <w:rFonts w:cs="Arial"/>
          <w:sz w:val="22"/>
        </w:rPr>
        <w:t>, </w:t>
      </w:r>
      <w:r w:rsidRPr="00647DC0">
        <w:rPr>
          <w:rFonts w:cs="Arial"/>
          <w:i/>
          <w:iCs/>
          <w:sz w:val="22"/>
        </w:rPr>
        <w:t>9</w:t>
      </w:r>
      <w:r w:rsidRPr="00647DC0">
        <w:rPr>
          <w:rFonts w:cs="Arial"/>
          <w:sz w:val="22"/>
        </w:rPr>
        <w:t>(2).</w:t>
      </w:r>
    </w:p>
    <w:p w14:paraId="035A6704"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Alternative Fuels Data Center (2025) </w:t>
      </w:r>
      <w:r w:rsidRPr="00647DC0">
        <w:rPr>
          <w:rFonts w:cs="Arial"/>
          <w:i/>
          <w:iCs/>
          <w:sz w:val="22"/>
        </w:rPr>
        <w:t>National Electric Vehicle Infrastructure Formula Program</w:t>
      </w:r>
      <w:r w:rsidRPr="00647DC0">
        <w:rPr>
          <w:rFonts w:cs="Arial"/>
          <w:sz w:val="22"/>
        </w:rPr>
        <w:t xml:space="preserve">. Available at: </w:t>
      </w:r>
      <w:hyperlink r:id="rId14" w:history="1">
        <w:r w:rsidRPr="00647DC0">
          <w:rPr>
            <w:rStyle w:val="Hyperlink"/>
            <w:rFonts w:cs="Arial"/>
            <w:sz w:val="22"/>
          </w:rPr>
          <w:t>https://afdc.energy.gov/laws/12744</w:t>
        </w:r>
      </w:hyperlink>
      <w:r w:rsidRPr="00647DC0">
        <w:rPr>
          <w:rFonts w:cs="Arial"/>
          <w:sz w:val="22"/>
        </w:rPr>
        <w:t xml:space="preserve"> (Accessed: 11 June 2026).</w:t>
      </w:r>
    </w:p>
    <w:p w14:paraId="3E2EBC20"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Aniebonam, E.E., 2024. Strategic management in turbulent markets: A case study of the USA. </w:t>
      </w:r>
      <w:r w:rsidRPr="00647DC0">
        <w:rPr>
          <w:rFonts w:cs="Arial"/>
          <w:i/>
          <w:iCs/>
          <w:sz w:val="22"/>
        </w:rPr>
        <w:t>International Journal of Modern Science and Research Technology</w:t>
      </w:r>
      <w:r w:rsidRPr="00647DC0">
        <w:rPr>
          <w:rFonts w:cs="Arial"/>
          <w:sz w:val="22"/>
        </w:rPr>
        <w:t>, 1(8), pp.35-43.</w:t>
      </w:r>
    </w:p>
    <w:p w14:paraId="21F3EFE5" w14:textId="336163EB" w:rsidR="003E453D" w:rsidRPr="00647DC0" w:rsidRDefault="003E453D" w:rsidP="004C0959">
      <w:pPr>
        <w:pStyle w:val="ListParagraph"/>
        <w:spacing w:line="360" w:lineRule="auto"/>
        <w:ind w:hanging="720"/>
        <w:jc w:val="left"/>
        <w:rPr>
          <w:rFonts w:cs="Arial"/>
          <w:sz w:val="22"/>
        </w:rPr>
      </w:pPr>
      <w:r w:rsidRPr="00647DC0">
        <w:rPr>
          <w:rFonts w:cs="Arial"/>
          <w:sz w:val="22"/>
        </w:rPr>
        <w:t>Awirotananon, K., Thongpoon, S. and Suttipun, M. (2023) Strategic competitiveness in the electric vehicle industry: a comparative analysis of Tesla and traditional automakers, International Journal of Business and Management, 18(4), pp. 45–59.</w:t>
      </w:r>
    </w:p>
    <w:p w14:paraId="2646D69F" w14:textId="77777777" w:rsidR="003E453D" w:rsidRPr="00647DC0" w:rsidRDefault="003E453D" w:rsidP="004C0959">
      <w:pPr>
        <w:pStyle w:val="ListParagraph"/>
        <w:spacing w:line="360" w:lineRule="auto"/>
        <w:ind w:hanging="720"/>
        <w:jc w:val="left"/>
        <w:rPr>
          <w:rFonts w:cs="Arial"/>
          <w:sz w:val="22"/>
        </w:rPr>
      </w:pPr>
      <w:r w:rsidRPr="00647DC0">
        <w:rPr>
          <w:rFonts w:cs="Arial"/>
          <w:sz w:val="22"/>
        </w:rPr>
        <w:t>Badiru, A.B. and Tourangeau, K. (2023) Industry 4.0 and the automotive sector: supply chain resilience in the post-pandemic era. Boca Raton: CRC Press.</w:t>
      </w:r>
    </w:p>
    <w:p w14:paraId="06A44E9B" w14:textId="10905CD9" w:rsidR="003E453D" w:rsidRPr="00647DC0" w:rsidRDefault="003E453D" w:rsidP="004C0959">
      <w:pPr>
        <w:spacing w:line="360" w:lineRule="auto"/>
        <w:ind w:left="720" w:hanging="720"/>
        <w:jc w:val="left"/>
        <w:rPr>
          <w:rFonts w:cs="Arial"/>
          <w:sz w:val="22"/>
        </w:rPr>
      </w:pPr>
      <w:r w:rsidRPr="00647DC0">
        <w:rPr>
          <w:rFonts w:cs="Arial"/>
          <w:sz w:val="22"/>
        </w:rPr>
        <w:t xml:space="preserve">Badiru, A.B. and Tourangeau, M.L., </w:t>
      </w:r>
      <w:r w:rsidR="00ED549F" w:rsidRPr="00647DC0">
        <w:rPr>
          <w:rFonts w:cs="Arial"/>
          <w:sz w:val="22"/>
        </w:rPr>
        <w:t>(</w:t>
      </w:r>
      <w:r w:rsidRPr="00647DC0">
        <w:rPr>
          <w:rFonts w:cs="Arial"/>
          <w:sz w:val="22"/>
        </w:rPr>
        <w:t>2023</w:t>
      </w:r>
      <w:r w:rsidR="009D6C74" w:rsidRPr="00647DC0">
        <w:rPr>
          <w:rFonts w:cs="Arial"/>
          <w:sz w:val="22"/>
        </w:rPr>
        <w:t>)</w:t>
      </w:r>
      <w:r w:rsidRPr="00647DC0">
        <w:rPr>
          <w:rFonts w:cs="Arial"/>
          <w:sz w:val="22"/>
        </w:rPr>
        <w:t xml:space="preserve">. </w:t>
      </w:r>
      <w:r w:rsidRPr="00647DC0">
        <w:rPr>
          <w:rFonts w:cs="Arial"/>
          <w:i/>
          <w:iCs/>
          <w:sz w:val="22"/>
        </w:rPr>
        <w:t>Leadership Matters: An Industrial Engineering Framework for Developing and Sustaining Industry</w:t>
      </w:r>
      <w:r w:rsidRPr="00647DC0">
        <w:rPr>
          <w:rFonts w:cs="Arial"/>
          <w:sz w:val="22"/>
        </w:rPr>
        <w:t>. Boca Raton: CRC Press.</w:t>
      </w:r>
    </w:p>
    <w:p w14:paraId="686856AA" w14:textId="6B2D26BF" w:rsidR="003E453D" w:rsidRPr="00647DC0" w:rsidRDefault="003E453D" w:rsidP="004C0959">
      <w:pPr>
        <w:spacing w:line="360" w:lineRule="auto"/>
        <w:ind w:left="720" w:hanging="720"/>
        <w:jc w:val="left"/>
        <w:rPr>
          <w:rFonts w:cs="Arial"/>
          <w:sz w:val="22"/>
        </w:rPr>
      </w:pPr>
      <w:r w:rsidRPr="00647DC0">
        <w:rPr>
          <w:rFonts w:cs="Arial"/>
          <w:sz w:val="22"/>
        </w:rPr>
        <w:t xml:space="preserve">Bainbridge, S.M., </w:t>
      </w:r>
      <w:r w:rsidR="00052777" w:rsidRPr="00647DC0">
        <w:rPr>
          <w:rFonts w:cs="Arial"/>
          <w:sz w:val="22"/>
        </w:rPr>
        <w:t>(</w:t>
      </w:r>
      <w:r w:rsidRPr="00647DC0">
        <w:rPr>
          <w:rFonts w:cs="Arial"/>
          <w:sz w:val="22"/>
        </w:rPr>
        <w:t>2022</w:t>
      </w:r>
      <w:r w:rsidR="009D6C74" w:rsidRPr="00647DC0">
        <w:rPr>
          <w:rFonts w:cs="Arial"/>
          <w:sz w:val="22"/>
        </w:rPr>
        <w:t>)</w:t>
      </w:r>
      <w:r w:rsidRPr="00647DC0">
        <w:rPr>
          <w:rFonts w:cs="Arial"/>
          <w:sz w:val="22"/>
        </w:rPr>
        <w:t xml:space="preserve">. Why we should keep teaching Dodge v. Ford Motor Co. </w:t>
      </w:r>
      <w:r w:rsidRPr="00647DC0">
        <w:rPr>
          <w:rFonts w:cs="Arial"/>
          <w:i/>
          <w:iCs/>
          <w:sz w:val="22"/>
        </w:rPr>
        <w:t>Journal of Corporation Law</w:t>
      </w:r>
      <w:r w:rsidRPr="00647DC0">
        <w:rPr>
          <w:rFonts w:cs="Arial"/>
          <w:sz w:val="22"/>
        </w:rPr>
        <w:t>, 48, p.77.</w:t>
      </w:r>
    </w:p>
    <w:p w14:paraId="05D1A71B" w14:textId="36010F6C" w:rsidR="003E453D" w:rsidRPr="00647DC0" w:rsidRDefault="003E453D" w:rsidP="004C0959">
      <w:pPr>
        <w:spacing w:line="360" w:lineRule="auto"/>
        <w:ind w:left="720" w:hanging="720"/>
        <w:jc w:val="left"/>
        <w:rPr>
          <w:rFonts w:cs="Arial"/>
          <w:sz w:val="22"/>
        </w:rPr>
      </w:pPr>
      <w:r w:rsidRPr="00647DC0">
        <w:rPr>
          <w:rFonts w:cs="Arial"/>
          <w:sz w:val="22"/>
        </w:rPr>
        <w:t xml:space="preserve">Bansal, P., Kumar, R.R., Raj, A., Dubey, S. and Graham, D.J. (2021) Willingness to pay and attitudinal preferences of Indian consumers for electric vehicles, </w:t>
      </w:r>
      <w:r w:rsidRPr="00647DC0">
        <w:rPr>
          <w:rFonts w:cs="Arial"/>
          <w:i/>
          <w:iCs/>
          <w:sz w:val="22"/>
        </w:rPr>
        <w:t>Energy Economics</w:t>
      </w:r>
      <w:r w:rsidRPr="00647DC0">
        <w:rPr>
          <w:rFonts w:cs="Arial"/>
          <w:sz w:val="22"/>
        </w:rPr>
        <w:t xml:space="preserve">, 100, Article 105340. </w:t>
      </w:r>
      <w:hyperlink r:id="rId15" w:history="1">
        <w:r w:rsidRPr="00647DC0">
          <w:rPr>
            <w:rStyle w:val="Hyperlink"/>
            <w:rFonts w:cs="Arial"/>
            <w:sz w:val="22"/>
          </w:rPr>
          <w:t>https://doi.org/10.1016/j.eneco.2021.105340</w:t>
        </w:r>
      </w:hyperlink>
    </w:p>
    <w:p w14:paraId="57046723" w14:textId="23F3956A" w:rsidR="003E453D" w:rsidRPr="00647DC0" w:rsidRDefault="003E453D" w:rsidP="004C0959">
      <w:pPr>
        <w:spacing w:line="360" w:lineRule="auto"/>
        <w:ind w:left="720" w:hanging="720"/>
        <w:jc w:val="left"/>
        <w:rPr>
          <w:rFonts w:cs="Arial"/>
          <w:sz w:val="22"/>
        </w:rPr>
      </w:pPr>
      <w:r w:rsidRPr="00647DC0">
        <w:rPr>
          <w:rFonts w:cs="Arial"/>
          <w:sz w:val="22"/>
        </w:rPr>
        <w:t xml:space="preserve">Bektaş, B.C. (2024) Understanding electric vehicle adoption in Türkiye: analysing user motivations through the Technology Acceptance Model, </w:t>
      </w:r>
      <w:r w:rsidRPr="00647DC0">
        <w:rPr>
          <w:rFonts w:cs="Arial"/>
          <w:i/>
          <w:iCs/>
          <w:sz w:val="22"/>
        </w:rPr>
        <w:t>Sustainability</w:t>
      </w:r>
      <w:r w:rsidRPr="00647DC0">
        <w:rPr>
          <w:rFonts w:cs="Arial"/>
          <w:sz w:val="22"/>
        </w:rPr>
        <w:t xml:space="preserve">, 16(21), Article 9439. </w:t>
      </w:r>
      <w:hyperlink r:id="rId16" w:history="1">
        <w:r w:rsidRPr="00647DC0">
          <w:rPr>
            <w:rStyle w:val="Hyperlink"/>
            <w:rFonts w:cs="Arial"/>
            <w:sz w:val="22"/>
          </w:rPr>
          <w:t>https://doi.org/10.3390/su16219439</w:t>
        </w:r>
      </w:hyperlink>
    </w:p>
    <w:p w14:paraId="5EF5899F"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Boopathi, S. and Kautish, S., 2024. Cost competitiveness, customer focus, and sustainability in the VUCA automotive market: A case study. In: </w:t>
      </w:r>
      <w:r w:rsidRPr="00647DC0">
        <w:rPr>
          <w:rFonts w:cs="Arial"/>
          <w:i/>
          <w:iCs/>
          <w:sz w:val="22"/>
        </w:rPr>
        <w:t>VUCA and Other Analytics in Business Resilience, Part B</w:t>
      </w:r>
      <w:r w:rsidRPr="00647DC0">
        <w:rPr>
          <w:rFonts w:cs="Arial"/>
          <w:sz w:val="22"/>
        </w:rPr>
        <w:t>. Bingley: Emerald Publishing Limited, pp.199-220.</w:t>
      </w:r>
    </w:p>
    <w:p w14:paraId="0CAD85C9"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Business Insider (2024) </w:t>
      </w:r>
      <w:r w:rsidRPr="00647DC0">
        <w:rPr>
          <w:rFonts w:cs="Arial"/>
          <w:i/>
          <w:iCs/>
          <w:sz w:val="22"/>
        </w:rPr>
        <w:t>Ford tapped the brakes on EVs and bet on hybrids. It is paying off</w:t>
      </w:r>
      <w:r w:rsidRPr="00647DC0">
        <w:rPr>
          <w:rFonts w:cs="Arial"/>
          <w:sz w:val="22"/>
        </w:rPr>
        <w:t xml:space="preserve">. Available at: </w:t>
      </w:r>
      <w:hyperlink r:id="rId17" w:history="1">
        <w:r w:rsidRPr="00647DC0">
          <w:rPr>
            <w:rStyle w:val="Hyperlink"/>
            <w:rFonts w:cs="Arial"/>
            <w:sz w:val="22"/>
          </w:rPr>
          <w:t>https://www.businessinsider.com/ford-pulled-back-on-evs-focused-on-hybrids-paid-off-2024-4</w:t>
        </w:r>
      </w:hyperlink>
      <w:r w:rsidRPr="00647DC0">
        <w:rPr>
          <w:rFonts w:cs="Arial"/>
          <w:sz w:val="22"/>
        </w:rPr>
        <w:t xml:space="preserve"> (Accessed: 11 June 2026).</w:t>
      </w:r>
    </w:p>
    <w:p w14:paraId="77F22E82"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BYD (2025) </w:t>
      </w:r>
      <w:r w:rsidRPr="00647DC0">
        <w:rPr>
          <w:rFonts w:cs="Arial"/>
          <w:i/>
          <w:iCs/>
          <w:sz w:val="22"/>
        </w:rPr>
        <w:t>BYD reports its financial results in 2024: revenue hits 777.1 billion yuan, up 23% year-on-year</w:t>
      </w:r>
      <w:r w:rsidRPr="00647DC0">
        <w:rPr>
          <w:rFonts w:cs="Arial"/>
          <w:sz w:val="22"/>
        </w:rPr>
        <w:t xml:space="preserve">. Available at: </w:t>
      </w:r>
      <w:hyperlink r:id="rId18" w:history="1">
        <w:r w:rsidRPr="00647DC0">
          <w:rPr>
            <w:rStyle w:val="Hyperlink"/>
            <w:rFonts w:cs="Arial"/>
            <w:sz w:val="22"/>
          </w:rPr>
          <w:t>https://www.bydukmedia.com/en/news-articles/byd-reports-</w:t>
        </w:r>
        <w:r w:rsidRPr="00647DC0">
          <w:rPr>
            <w:rStyle w:val="Hyperlink"/>
            <w:rFonts w:cs="Arial"/>
            <w:sz w:val="22"/>
          </w:rPr>
          <w:lastRenderedPageBreak/>
          <w:t>its-financial-results-in-2024-revenue-hits-777.1-billion-yuan%2C-up-23-year-on-year.html</w:t>
        </w:r>
      </w:hyperlink>
      <w:r w:rsidRPr="00647DC0">
        <w:rPr>
          <w:rFonts w:cs="Arial"/>
          <w:sz w:val="22"/>
        </w:rPr>
        <w:t xml:space="preserve"> (Accessed: 11 June 2026).</w:t>
      </w:r>
    </w:p>
    <w:p w14:paraId="20EF1DCD"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Cazzola, P. (2025) </w:t>
      </w:r>
      <w:r w:rsidRPr="00647DC0">
        <w:rPr>
          <w:rFonts w:cs="Arial"/>
          <w:i/>
          <w:iCs/>
          <w:sz w:val="22"/>
        </w:rPr>
        <w:t>What the global electric vehicle market signals for US automakers and policymakers</w:t>
      </w:r>
      <w:r w:rsidRPr="00647DC0">
        <w:rPr>
          <w:rFonts w:cs="Arial"/>
          <w:sz w:val="22"/>
        </w:rPr>
        <w:t xml:space="preserve">. Columbia University Center on Global Energy Policy. Available at: </w:t>
      </w:r>
      <w:hyperlink r:id="rId19" w:history="1">
        <w:r w:rsidRPr="00647DC0">
          <w:rPr>
            <w:rStyle w:val="Hyperlink"/>
            <w:rFonts w:cs="Arial"/>
            <w:sz w:val="22"/>
          </w:rPr>
          <w:t>https://www.energypolicy.columbia.edu/publications/what-the-global-electric-vehicle-market-signals-for-us-automakers-and-policymakers/</w:t>
        </w:r>
      </w:hyperlink>
      <w:r w:rsidRPr="00647DC0">
        <w:rPr>
          <w:rFonts w:cs="Arial"/>
          <w:sz w:val="22"/>
        </w:rPr>
        <w:t xml:space="preserve"> (Accessed: 11 June 2026).</w:t>
      </w:r>
    </w:p>
    <w:p w14:paraId="1056FC98" w14:textId="6D1351CB" w:rsidR="003E453D" w:rsidRPr="00647DC0" w:rsidRDefault="003E453D" w:rsidP="004C0959">
      <w:pPr>
        <w:spacing w:line="360" w:lineRule="auto"/>
        <w:ind w:left="720" w:hanging="720"/>
        <w:jc w:val="left"/>
        <w:rPr>
          <w:rFonts w:cs="Arial"/>
          <w:sz w:val="22"/>
        </w:rPr>
      </w:pPr>
      <w:r w:rsidRPr="00647DC0">
        <w:rPr>
          <w:rFonts w:cs="Arial"/>
          <w:sz w:val="22"/>
        </w:rPr>
        <w:t xml:space="preserve">Chen, B., Zhang, K., Moore, A., Jia, B. and Cao, M. (2025) Electric vehicle public charging equity considerations: a systematic review, </w:t>
      </w:r>
      <w:proofErr w:type="spellStart"/>
      <w:r w:rsidRPr="00647DC0">
        <w:rPr>
          <w:rFonts w:cs="Arial"/>
          <w:i/>
          <w:iCs/>
          <w:sz w:val="22"/>
        </w:rPr>
        <w:t>arXiv</w:t>
      </w:r>
      <w:proofErr w:type="spellEnd"/>
      <w:r w:rsidRPr="00647DC0">
        <w:rPr>
          <w:rFonts w:cs="Arial"/>
          <w:sz w:val="22"/>
        </w:rPr>
        <w:t xml:space="preserve">. </w:t>
      </w:r>
      <w:hyperlink r:id="rId20" w:history="1">
        <w:r w:rsidRPr="00647DC0">
          <w:rPr>
            <w:rStyle w:val="Hyperlink"/>
            <w:rFonts w:cs="Arial"/>
            <w:sz w:val="22"/>
          </w:rPr>
          <w:t>https://doi.org/10.48550/arXiv.2507.09726</w:t>
        </w:r>
      </w:hyperlink>
    </w:p>
    <w:p w14:paraId="742512C1"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Cox Automotive (2023) </w:t>
      </w:r>
      <w:r w:rsidRPr="00647DC0">
        <w:rPr>
          <w:rFonts w:cs="Arial"/>
          <w:i/>
          <w:iCs/>
          <w:sz w:val="22"/>
        </w:rPr>
        <w:t>New Cox Automotive study: EV consideration at record high, but dealers feel unprepared</w:t>
      </w:r>
      <w:r w:rsidRPr="00647DC0">
        <w:rPr>
          <w:rFonts w:cs="Arial"/>
          <w:sz w:val="22"/>
        </w:rPr>
        <w:t xml:space="preserve">. Available at: </w:t>
      </w:r>
      <w:hyperlink r:id="rId21" w:history="1">
        <w:r w:rsidRPr="00647DC0">
          <w:rPr>
            <w:rStyle w:val="Hyperlink"/>
            <w:rFonts w:cs="Arial"/>
            <w:sz w:val="22"/>
          </w:rPr>
          <w:t>https://www.coxautoinc.com/insights-hub/new-cox-automotive-study-ev-consideration-at-record-high-but-dealers-feel-unprepared/</w:t>
        </w:r>
      </w:hyperlink>
      <w:r w:rsidRPr="00647DC0">
        <w:rPr>
          <w:rFonts w:cs="Arial"/>
          <w:sz w:val="22"/>
        </w:rPr>
        <w:t xml:space="preserve"> (Accessed: 11 June 2026).</w:t>
      </w:r>
    </w:p>
    <w:p w14:paraId="4D4D7784"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Department of Energy (2025) </w:t>
      </w:r>
      <w:r w:rsidRPr="00647DC0">
        <w:rPr>
          <w:rFonts w:cs="Arial"/>
          <w:i/>
          <w:iCs/>
          <w:sz w:val="22"/>
        </w:rPr>
        <w:t>30D New Clean Vehicle Credit</w:t>
      </w:r>
      <w:r w:rsidRPr="00647DC0">
        <w:rPr>
          <w:rFonts w:cs="Arial"/>
          <w:sz w:val="22"/>
        </w:rPr>
        <w:t xml:space="preserve">. Available at: </w:t>
      </w:r>
      <w:hyperlink r:id="rId22" w:history="1">
        <w:r w:rsidRPr="00647DC0">
          <w:rPr>
            <w:rStyle w:val="Hyperlink"/>
            <w:rFonts w:cs="Arial"/>
            <w:sz w:val="22"/>
          </w:rPr>
          <w:t>https://www.energy.gov/cmei/manufacturing/30d-new-clean-vehicle-credit</w:t>
        </w:r>
      </w:hyperlink>
      <w:r w:rsidRPr="00647DC0">
        <w:rPr>
          <w:rFonts w:cs="Arial"/>
          <w:sz w:val="22"/>
        </w:rPr>
        <w:t xml:space="preserve"> (Accessed: 11 June 2026).</w:t>
      </w:r>
    </w:p>
    <w:p w14:paraId="2FEED11B" w14:textId="663EC529" w:rsidR="003E453D" w:rsidRPr="00647DC0" w:rsidRDefault="003E453D" w:rsidP="004C0959">
      <w:pPr>
        <w:spacing w:line="360" w:lineRule="auto"/>
        <w:ind w:left="720" w:hanging="720"/>
        <w:jc w:val="left"/>
        <w:rPr>
          <w:rFonts w:cs="Arial"/>
          <w:sz w:val="22"/>
        </w:rPr>
      </w:pPr>
      <w:r w:rsidRPr="00647DC0">
        <w:rPr>
          <w:rFonts w:cs="Arial"/>
          <w:sz w:val="22"/>
        </w:rPr>
        <w:t>Elgeddawy, M., andAbouraia, M. (2024, July). Pragmatism as a research paradigm. In </w:t>
      </w:r>
      <w:r w:rsidRPr="00647DC0">
        <w:rPr>
          <w:rFonts w:cs="Arial"/>
          <w:i/>
          <w:iCs/>
          <w:sz w:val="22"/>
        </w:rPr>
        <w:t>European Conference on Research Methodology for Business and Management Studies</w:t>
      </w:r>
      <w:r w:rsidRPr="00647DC0">
        <w:rPr>
          <w:rFonts w:cs="Arial"/>
          <w:sz w:val="22"/>
        </w:rPr>
        <w:t> (pp. 71-74). Academic Conferences International Limited.</w:t>
      </w:r>
    </w:p>
    <w:p w14:paraId="77D8BD97"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Environmental Protection Agency (2024) </w:t>
      </w:r>
      <w:r w:rsidRPr="00647DC0">
        <w:rPr>
          <w:rFonts w:cs="Arial"/>
          <w:i/>
          <w:iCs/>
          <w:sz w:val="22"/>
        </w:rPr>
        <w:t>Final rule: multi-pollutant emissions standards for model years 2027 and later light-duty and medium-duty vehicles</w:t>
      </w:r>
      <w:r w:rsidRPr="00647DC0">
        <w:rPr>
          <w:rFonts w:cs="Arial"/>
          <w:sz w:val="22"/>
        </w:rPr>
        <w:t xml:space="preserve">. Available at: </w:t>
      </w:r>
      <w:hyperlink r:id="rId23" w:history="1">
        <w:r w:rsidRPr="00647DC0">
          <w:rPr>
            <w:rStyle w:val="Hyperlink"/>
            <w:rFonts w:cs="Arial"/>
            <w:sz w:val="22"/>
          </w:rPr>
          <w:t>https://www.epa.gov/regulations-emissions-vehicles-and-engines/final-rule-multi-pollutant-emissions-standards-model</w:t>
        </w:r>
      </w:hyperlink>
      <w:r w:rsidRPr="00647DC0">
        <w:rPr>
          <w:rFonts w:cs="Arial"/>
          <w:sz w:val="22"/>
        </w:rPr>
        <w:t xml:space="preserve"> (Accessed: 11 June 2026).</w:t>
      </w:r>
    </w:p>
    <w:p w14:paraId="50EE4051" w14:textId="40B420C1" w:rsidR="003E453D" w:rsidRPr="00647DC0" w:rsidRDefault="003E453D" w:rsidP="004C0959">
      <w:pPr>
        <w:spacing w:line="360" w:lineRule="auto"/>
        <w:ind w:left="720" w:hanging="720"/>
        <w:jc w:val="left"/>
        <w:rPr>
          <w:rFonts w:cs="Arial"/>
          <w:sz w:val="22"/>
        </w:rPr>
      </w:pPr>
      <w:r w:rsidRPr="00647DC0">
        <w:rPr>
          <w:rFonts w:cs="Arial"/>
          <w:sz w:val="22"/>
        </w:rPr>
        <w:t xml:space="preserve">Federal Register (2024) Clean vehicle credits under sections 25E and 30D; transfer of credits; critical minerals and battery components, </w:t>
      </w:r>
      <w:r w:rsidRPr="00647DC0">
        <w:rPr>
          <w:rFonts w:cs="Arial"/>
          <w:i/>
          <w:iCs/>
          <w:sz w:val="22"/>
        </w:rPr>
        <w:t>Federal Register</w:t>
      </w:r>
      <w:r w:rsidRPr="00647DC0">
        <w:rPr>
          <w:rFonts w:cs="Arial"/>
          <w:sz w:val="22"/>
        </w:rPr>
        <w:t xml:space="preserve">, 6 May. Available at: </w:t>
      </w:r>
      <w:hyperlink r:id="rId24" w:history="1">
        <w:r w:rsidRPr="00647DC0">
          <w:rPr>
            <w:rStyle w:val="Hyperlink"/>
            <w:rFonts w:cs="Arial"/>
            <w:sz w:val="22"/>
          </w:rPr>
          <w:t>https://www.federalregister.gov/documents/2024/05/06/2024-09094/clean-vehicle-credits-under-sections-25e-and-30d-transfer-of-credits-critical-minerals-and-battery</w:t>
        </w:r>
      </w:hyperlink>
      <w:r w:rsidRPr="00647DC0">
        <w:rPr>
          <w:rFonts w:cs="Arial"/>
          <w:sz w:val="22"/>
        </w:rPr>
        <w:t xml:space="preserve"> (Accessed: 11 June 2026).</w:t>
      </w:r>
    </w:p>
    <w:p w14:paraId="5F264402"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Ford Motor Company (2025a) </w:t>
      </w:r>
      <w:r w:rsidRPr="00647DC0">
        <w:rPr>
          <w:rFonts w:cs="Arial"/>
          <w:i/>
          <w:iCs/>
          <w:sz w:val="22"/>
        </w:rPr>
        <w:t>Ford Motor Company 2024 Form 10-K Report</w:t>
      </w:r>
      <w:r w:rsidRPr="00647DC0">
        <w:rPr>
          <w:rFonts w:cs="Arial"/>
          <w:sz w:val="22"/>
        </w:rPr>
        <w:t xml:space="preserve">. Available at: </w:t>
      </w:r>
      <w:hyperlink r:id="rId25" w:history="1">
        <w:r w:rsidRPr="00647DC0">
          <w:rPr>
            <w:rStyle w:val="Hyperlink"/>
            <w:rFonts w:cs="Arial"/>
            <w:sz w:val="22"/>
          </w:rPr>
          <w:t>https://s205.q4cdn.com/882619693/files/doc_financials/2024/q4/Ford-Motor-Company-2024-10-K-Report.pdf</w:t>
        </w:r>
      </w:hyperlink>
      <w:r w:rsidRPr="00647DC0">
        <w:rPr>
          <w:rFonts w:cs="Arial"/>
          <w:sz w:val="22"/>
        </w:rPr>
        <w:t xml:space="preserve"> (Accessed: 11 June 2026).</w:t>
      </w:r>
    </w:p>
    <w:p w14:paraId="5A0BDFBC"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Ford Motor Company (2025b) </w:t>
      </w:r>
      <w:r w:rsidRPr="00647DC0">
        <w:rPr>
          <w:rFonts w:cs="Arial"/>
          <w:i/>
          <w:iCs/>
          <w:sz w:val="22"/>
        </w:rPr>
        <w:t>2025 Integrated Sustainability and Financial Report</w:t>
      </w:r>
      <w:r w:rsidRPr="00647DC0">
        <w:rPr>
          <w:rFonts w:cs="Arial"/>
          <w:sz w:val="22"/>
        </w:rPr>
        <w:t xml:space="preserve">. Available at: </w:t>
      </w:r>
      <w:hyperlink r:id="rId26" w:history="1">
        <w:r w:rsidRPr="00647DC0">
          <w:rPr>
            <w:rStyle w:val="Hyperlink"/>
            <w:rFonts w:cs="Arial"/>
            <w:sz w:val="22"/>
          </w:rPr>
          <w:t>https://corporate.ford.com/content/dam/corporate/us/en-us/documents/reports/2025-integrated-sustainability-and-financial-report.pdf</w:t>
        </w:r>
      </w:hyperlink>
      <w:r w:rsidRPr="00647DC0">
        <w:rPr>
          <w:rFonts w:cs="Arial"/>
          <w:sz w:val="22"/>
        </w:rPr>
        <w:t xml:space="preserve"> (Accessed: 11 June 2026).</w:t>
      </w:r>
    </w:p>
    <w:p w14:paraId="1493156D" w14:textId="77777777" w:rsidR="003E453D" w:rsidRPr="00647DC0" w:rsidRDefault="003E453D" w:rsidP="004C0959">
      <w:pPr>
        <w:spacing w:line="360" w:lineRule="auto"/>
        <w:ind w:left="720" w:hanging="720"/>
        <w:jc w:val="left"/>
        <w:rPr>
          <w:rFonts w:cs="Arial"/>
          <w:sz w:val="22"/>
        </w:rPr>
      </w:pPr>
      <w:r w:rsidRPr="00647DC0">
        <w:rPr>
          <w:rFonts w:cs="Arial"/>
          <w:sz w:val="22"/>
        </w:rPr>
        <w:lastRenderedPageBreak/>
        <w:t xml:space="preserve">Ford Motor Company (2025c) </w:t>
      </w:r>
      <w:r w:rsidRPr="00647DC0">
        <w:rPr>
          <w:rFonts w:cs="Arial"/>
          <w:i/>
          <w:iCs/>
          <w:sz w:val="22"/>
        </w:rPr>
        <w:t>Ford U.S. retail sales grow at double the industry pace in 2024</w:t>
      </w:r>
      <w:r w:rsidRPr="00647DC0">
        <w:rPr>
          <w:rFonts w:cs="Arial"/>
          <w:sz w:val="22"/>
        </w:rPr>
        <w:t xml:space="preserve">. Available at: </w:t>
      </w:r>
      <w:hyperlink r:id="rId27" w:history="1">
        <w:r w:rsidRPr="00647DC0">
          <w:rPr>
            <w:rStyle w:val="Hyperlink"/>
            <w:rFonts w:cs="Arial"/>
            <w:sz w:val="22"/>
          </w:rPr>
          <w:t>https://media.lincoln.com/content/fordmedia/fna/us/en/news/2025/01/03/fourth-quarter-full-year-sales.html</w:t>
        </w:r>
      </w:hyperlink>
      <w:r w:rsidRPr="00647DC0">
        <w:rPr>
          <w:rFonts w:cs="Arial"/>
          <w:sz w:val="22"/>
        </w:rPr>
        <w:t xml:space="preserve"> (Accessed: 11 June 2026).</w:t>
      </w:r>
    </w:p>
    <w:p w14:paraId="69A9C02D" w14:textId="537E4C46" w:rsidR="003E453D" w:rsidRPr="00647DC0" w:rsidRDefault="003E453D" w:rsidP="004C0959">
      <w:pPr>
        <w:pStyle w:val="ListParagraph"/>
        <w:spacing w:line="360" w:lineRule="auto"/>
        <w:ind w:hanging="720"/>
        <w:jc w:val="left"/>
        <w:rPr>
          <w:rFonts w:cs="Arial"/>
          <w:sz w:val="22"/>
        </w:rPr>
      </w:pPr>
      <w:r w:rsidRPr="00647DC0">
        <w:rPr>
          <w:rFonts w:cs="Arial"/>
          <w:sz w:val="22"/>
        </w:rPr>
        <w:t>Hamoumi, M., Sergi, B.S. and Hamdan, A. (2023) The race to electrify: a comparative assessment of GM’s Ultium strategy and Ford’s Blue Oval initiative, Journal of Business Research, 158, pp. 113–127.</w:t>
      </w:r>
    </w:p>
    <w:p w14:paraId="303E666D" w14:textId="6826623B" w:rsidR="003E453D" w:rsidRPr="00647DC0" w:rsidRDefault="003E453D" w:rsidP="004C0959">
      <w:pPr>
        <w:pStyle w:val="ListParagraph"/>
        <w:spacing w:line="360" w:lineRule="auto"/>
        <w:ind w:hanging="720"/>
        <w:jc w:val="left"/>
        <w:rPr>
          <w:rFonts w:cs="Arial"/>
          <w:sz w:val="22"/>
        </w:rPr>
      </w:pPr>
      <w:r w:rsidRPr="00647DC0">
        <w:rPr>
          <w:rFonts w:cs="Arial"/>
          <w:sz w:val="22"/>
        </w:rPr>
        <w:t>Haque, M.N., Rahman, M.S. and Islam, M.A. (2024) Global electric vehicle market dynamics: competitive strategies of Tesla, BYD and legacy automakers, International Journal of Automotive Technology and Management, 24(1), pp. 77–96.</w:t>
      </w:r>
    </w:p>
    <w:p w14:paraId="64EC2289"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Haque, S., Sufian, M.A., Al-Samad, K., Faruq, O., Hossain, M.A., Talukder, T. and Shayed, A.U., 2024. Business management in an unstable economy: Adaptive strategies and leadership. </w:t>
      </w:r>
      <w:r w:rsidRPr="00647DC0">
        <w:rPr>
          <w:rFonts w:cs="Arial"/>
          <w:i/>
          <w:iCs/>
          <w:sz w:val="22"/>
        </w:rPr>
        <w:t>AIJMR-Advanced International Journal of Multidisciplinary Research</w:t>
      </w:r>
      <w:r w:rsidRPr="00647DC0">
        <w:rPr>
          <w:rFonts w:cs="Arial"/>
          <w:sz w:val="22"/>
        </w:rPr>
        <w:t>, 2(5).</w:t>
      </w:r>
    </w:p>
    <w:p w14:paraId="51F5D1C9" w14:textId="546915DE" w:rsidR="003E453D" w:rsidRPr="00647DC0" w:rsidRDefault="003E453D" w:rsidP="004C0959">
      <w:pPr>
        <w:pStyle w:val="ListParagraph"/>
        <w:spacing w:line="360" w:lineRule="auto"/>
        <w:ind w:hanging="720"/>
        <w:jc w:val="left"/>
        <w:rPr>
          <w:rFonts w:cs="Arial"/>
          <w:sz w:val="22"/>
        </w:rPr>
      </w:pPr>
      <w:r w:rsidRPr="00647DC0">
        <w:rPr>
          <w:rFonts w:cs="Arial"/>
          <w:sz w:val="22"/>
        </w:rPr>
        <w:t>He, H., Wang, D. and Liu, Z. (2021) Policy effectiveness and long-term market implications of EV mandates in the European Union, Energy Policy, 158, p. 112579.</w:t>
      </w:r>
    </w:p>
    <w:p w14:paraId="5E7DFB10"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Internal Revenue Service (2025) </w:t>
      </w:r>
      <w:r w:rsidRPr="00647DC0">
        <w:rPr>
          <w:rFonts w:cs="Arial"/>
          <w:i/>
          <w:iCs/>
          <w:sz w:val="22"/>
        </w:rPr>
        <w:t>Credits for new clean vehicles purchased in 2023 or after</w:t>
      </w:r>
      <w:r w:rsidRPr="00647DC0">
        <w:rPr>
          <w:rFonts w:cs="Arial"/>
          <w:sz w:val="22"/>
        </w:rPr>
        <w:t xml:space="preserve">. Available at: </w:t>
      </w:r>
      <w:hyperlink r:id="rId28" w:history="1">
        <w:r w:rsidRPr="00647DC0">
          <w:rPr>
            <w:rStyle w:val="Hyperlink"/>
            <w:rFonts w:cs="Arial"/>
            <w:sz w:val="22"/>
          </w:rPr>
          <w:t>https://www.irs.gov/credits-deductions/credits-for-new-clean-vehicles-purchased-in-2023-or-after</w:t>
        </w:r>
      </w:hyperlink>
      <w:r w:rsidRPr="00647DC0">
        <w:rPr>
          <w:rFonts w:cs="Arial"/>
          <w:sz w:val="22"/>
        </w:rPr>
        <w:t xml:space="preserve"> (Accessed: 11 June 2026).</w:t>
      </w:r>
    </w:p>
    <w:p w14:paraId="221575FF"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International Council on Clean Transportation (2024) </w:t>
      </w:r>
      <w:r w:rsidRPr="00647DC0">
        <w:rPr>
          <w:rFonts w:cs="Arial"/>
          <w:i/>
          <w:iCs/>
          <w:sz w:val="22"/>
        </w:rPr>
        <w:t>EPA final multi-pollutant rule for light- and medium-duty vehicles sends a resounding message about the accelerating transition to EVs in the US</w:t>
      </w:r>
      <w:r w:rsidRPr="00647DC0">
        <w:rPr>
          <w:rFonts w:cs="Arial"/>
          <w:sz w:val="22"/>
        </w:rPr>
        <w:t xml:space="preserve">. Available at: </w:t>
      </w:r>
      <w:hyperlink r:id="rId29" w:history="1">
        <w:r w:rsidRPr="00647DC0">
          <w:rPr>
            <w:rStyle w:val="Hyperlink"/>
            <w:rFonts w:cs="Arial"/>
            <w:sz w:val="22"/>
          </w:rPr>
          <w:t>https://theicct.org/pr-epa-final-multi-pollutant-rule-for-light-and-medium-duty-vehicles-sends-a-resounding-message-about-the-accelerating-transition-to-ev-in-the-us-mar24/</w:t>
        </w:r>
      </w:hyperlink>
      <w:r w:rsidRPr="00647DC0">
        <w:rPr>
          <w:rFonts w:cs="Arial"/>
          <w:sz w:val="22"/>
        </w:rPr>
        <w:t xml:space="preserve"> (Accessed: 11 June 2026).</w:t>
      </w:r>
    </w:p>
    <w:p w14:paraId="2C5C81AB"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International Energy Agency (2025) </w:t>
      </w:r>
      <w:r w:rsidRPr="00647DC0">
        <w:rPr>
          <w:rFonts w:cs="Arial"/>
          <w:i/>
          <w:iCs/>
          <w:sz w:val="22"/>
        </w:rPr>
        <w:t>Global EV Outlook 2025</w:t>
      </w:r>
      <w:r w:rsidRPr="00647DC0">
        <w:rPr>
          <w:rFonts w:cs="Arial"/>
          <w:sz w:val="22"/>
        </w:rPr>
        <w:t xml:space="preserve">. Available at: </w:t>
      </w:r>
      <w:hyperlink r:id="rId30" w:history="1">
        <w:r w:rsidRPr="00647DC0">
          <w:rPr>
            <w:rStyle w:val="Hyperlink"/>
            <w:rFonts w:cs="Arial"/>
            <w:sz w:val="22"/>
          </w:rPr>
          <w:t>https://www.iea.org/reports/global-ev-outlook-2025</w:t>
        </w:r>
      </w:hyperlink>
      <w:r w:rsidRPr="00647DC0">
        <w:rPr>
          <w:rFonts w:cs="Arial"/>
          <w:sz w:val="22"/>
        </w:rPr>
        <w:t xml:space="preserve"> (Accessed: 11 June 2026).</w:t>
      </w:r>
    </w:p>
    <w:p w14:paraId="73E74247"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J.D. Power (2024) </w:t>
      </w:r>
      <w:r w:rsidRPr="00647DC0">
        <w:rPr>
          <w:rFonts w:cs="Arial"/>
          <w:i/>
          <w:iCs/>
          <w:sz w:val="22"/>
        </w:rPr>
        <w:t>2024 U.S. Electric Vehicle Consideration Study</w:t>
      </w:r>
      <w:r w:rsidRPr="00647DC0">
        <w:rPr>
          <w:rFonts w:cs="Arial"/>
          <w:sz w:val="22"/>
        </w:rPr>
        <w:t xml:space="preserve">. Available at: </w:t>
      </w:r>
      <w:hyperlink r:id="rId31" w:history="1">
        <w:r w:rsidRPr="00647DC0">
          <w:rPr>
            <w:rStyle w:val="Hyperlink"/>
            <w:rFonts w:cs="Arial"/>
            <w:sz w:val="22"/>
          </w:rPr>
          <w:t>https://www.jdpower.com/business/press-releases/2024-us-electric-vehicle-consideration-evc-study</w:t>
        </w:r>
      </w:hyperlink>
      <w:r w:rsidRPr="00647DC0">
        <w:rPr>
          <w:rFonts w:cs="Arial"/>
          <w:sz w:val="22"/>
        </w:rPr>
        <w:t xml:space="preserve"> (Accessed: 11 June 2026).</w:t>
      </w:r>
    </w:p>
    <w:p w14:paraId="6D4B4859" w14:textId="593D113F" w:rsidR="003E453D" w:rsidRPr="00647DC0" w:rsidRDefault="003E453D" w:rsidP="004C0959">
      <w:pPr>
        <w:pStyle w:val="ListParagraph"/>
        <w:spacing w:line="360" w:lineRule="auto"/>
        <w:ind w:hanging="720"/>
        <w:jc w:val="left"/>
        <w:rPr>
          <w:rFonts w:cs="Arial"/>
          <w:sz w:val="22"/>
        </w:rPr>
      </w:pPr>
      <w:r w:rsidRPr="00647DC0">
        <w:rPr>
          <w:rFonts w:cs="Arial"/>
          <w:sz w:val="22"/>
        </w:rPr>
        <w:t>Jacobides, M.G., Knudsen, T. and Augier, M. (2022) Benefiting from innovation: value creation, value appropriation and the role of industry architectures, Research Policy, 51(8), p. 104565.</w:t>
      </w:r>
    </w:p>
    <w:p w14:paraId="7C23662E" w14:textId="77777777" w:rsidR="003E453D" w:rsidRPr="00647DC0" w:rsidRDefault="003E453D" w:rsidP="004C0959">
      <w:pPr>
        <w:spacing w:line="360" w:lineRule="auto"/>
        <w:ind w:left="720" w:hanging="720"/>
        <w:jc w:val="left"/>
        <w:rPr>
          <w:rFonts w:cs="Arial"/>
          <w:sz w:val="22"/>
        </w:rPr>
      </w:pPr>
      <w:r w:rsidRPr="00647DC0">
        <w:rPr>
          <w:rFonts w:cs="Arial"/>
          <w:sz w:val="22"/>
        </w:rPr>
        <w:lastRenderedPageBreak/>
        <w:t>Jiang, M., Zhou, F., Peng, L. and Wan, D. (2025). A Study of the Social Identity of Electric Vehicle Consumers from a Social Constructivism Perspective. </w:t>
      </w:r>
      <w:r w:rsidRPr="00647DC0">
        <w:rPr>
          <w:rFonts w:cs="Arial"/>
          <w:i/>
          <w:iCs/>
          <w:sz w:val="22"/>
        </w:rPr>
        <w:t>World Electric Vehicle Journal</w:t>
      </w:r>
      <w:r w:rsidRPr="00647DC0">
        <w:rPr>
          <w:rFonts w:cs="Arial"/>
          <w:sz w:val="22"/>
        </w:rPr>
        <w:t>, [online] 16(7), p.403. doi:10.3390/wevj16070403.</w:t>
      </w:r>
    </w:p>
    <w:p w14:paraId="7513E99F" w14:textId="6D2DE63D" w:rsidR="003E453D" w:rsidRPr="00647DC0" w:rsidRDefault="003E453D" w:rsidP="004C0959">
      <w:pPr>
        <w:pStyle w:val="ListParagraph"/>
        <w:spacing w:line="360" w:lineRule="auto"/>
        <w:ind w:hanging="720"/>
        <w:jc w:val="left"/>
        <w:rPr>
          <w:rFonts w:cs="Arial"/>
          <w:sz w:val="22"/>
        </w:rPr>
      </w:pPr>
      <w:r w:rsidRPr="00647DC0">
        <w:rPr>
          <w:rFonts w:cs="Arial"/>
          <w:sz w:val="22"/>
        </w:rPr>
        <w:t>Kester, J., Noel, L., Zarazua de Rubens, G. and Sovacool, B.K. (2020) Policy mechanisms to accelerate electric vehicle adoption: a qualitative review from the Nordic region, Renewable and Sustainable Energy Reviews, 129, p. 109900.</w:t>
      </w:r>
    </w:p>
    <w:p w14:paraId="17F65CCB" w14:textId="6EA0AAC6" w:rsidR="003E453D" w:rsidRPr="00647DC0" w:rsidRDefault="003E453D" w:rsidP="004C0959">
      <w:pPr>
        <w:pStyle w:val="ListParagraph"/>
        <w:spacing w:line="360" w:lineRule="auto"/>
        <w:ind w:hanging="720"/>
        <w:jc w:val="left"/>
        <w:rPr>
          <w:rFonts w:cs="Arial"/>
          <w:sz w:val="22"/>
        </w:rPr>
      </w:pPr>
      <w:r w:rsidRPr="00647DC0">
        <w:rPr>
          <w:rFonts w:cs="Arial"/>
          <w:sz w:val="22"/>
        </w:rPr>
        <w:t>Khan, M.A. and Pervin, M.T. (2024) The Inflation Reduction Act and its strategic implications for North American EV manufacturers, Energy Research and Social Science, 109, p. 103398.</w:t>
      </w:r>
    </w:p>
    <w:p w14:paraId="61529E1A"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Khan, M.R. and Pervin, M.T., 2024. Technology disruption and its application in organisational management theories: A case study on Toyota Motor Corporation. </w:t>
      </w:r>
      <w:r w:rsidRPr="00647DC0">
        <w:rPr>
          <w:rFonts w:cs="Arial"/>
          <w:i/>
          <w:iCs/>
          <w:sz w:val="22"/>
        </w:rPr>
        <w:t>International Journal of Services and Operations Management</w:t>
      </w:r>
      <w:r w:rsidRPr="00647DC0">
        <w:rPr>
          <w:rFonts w:cs="Arial"/>
          <w:sz w:val="22"/>
        </w:rPr>
        <w:t>, 49(2), pp.198-220.</w:t>
      </w:r>
    </w:p>
    <w:p w14:paraId="39883ACA" w14:textId="1A63B27C" w:rsidR="003E453D" w:rsidRPr="00647DC0" w:rsidRDefault="003E453D" w:rsidP="004C0959">
      <w:pPr>
        <w:pStyle w:val="ListParagraph"/>
        <w:spacing w:line="360" w:lineRule="auto"/>
        <w:ind w:hanging="720"/>
        <w:jc w:val="left"/>
        <w:rPr>
          <w:rFonts w:cs="Arial"/>
          <w:sz w:val="22"/>
        </w:rPr>
      </w:pPr>
      <w:r w:rsidRPr="00647DC0">
        <w:rPr>
          <w:rFonts w:cs="Arial"/>
          <w:sz w:val="22"/>
        </w:rPr>
        <w:t>Levinson, R. (2024) Battery gigafactories and the vertical integration imperative: lessons from Ford’s BlueOval City, Journal of Manufacturing Technology Management, 35(3), pp. 411–430.</w:t>
      </w:r>
    </w:p>
    <w:p w14:paraId="3A442E13" w14:textId="3BAAE72C" w:rsidR="003E453D" w:rsidRPr="00647DC0" w:rsidRDefault="003E453D" w:rsidP="004C0959">
      <w:pPr>
        <w:spacing w:line="360" w:lineRule="auto"/>
        <w:ind w:left="720" w:hanging="720"/>
        <w:jc w:val="left"/>
        <w:rPr>
          <w:rFonts w:cs="Arial"/>
          <w:sz w:val="22"/>
        </w:rPr>
      </w:pPr>
      <w:r w:rsidRPr="00647DC0">
        <w:rPr>
          <w:rFonts w:cs="Arial"/>
          <w:sz w:val="22"/>
        </w:rPr>
        <w:t xml:space="preserve">‌Li, L., Wang, Z., Gong, Y. and Liu, S. (2022) Self-image motives for electric vehicle adoption: evidence from China, </w:t>
      </w:r>
      <w:r w:rsidRPr="00647DC0">
        <w:rPr>
          <w:rFonts w:cs="Arial"/>
          <w:i/>
          <w:iCs/>
          <w:sz w:val="22"/>
        </w:rPr>
        <w:t>Transportation Research Part D: Transport and Environment</w:t>
      </w:r>
      <w:r w:rsidRPr="00647DC0">
        <w:rPr>
          <w:rFonts w:cs="Arial"/>
          <w:sz w:val="22"/>
        </w:rPr>
        <w:t xml:space="preserve">, 109, Article 103383. </w:t>
      </w:r>
      <w:hyperlink r:id="rId32" w:history="1">
        <w:r w:rsidRPr="00647DC0">
          <w:rPr>
            <w:rStyle w:val="Hyperlink"/>
            <w:rFonts w:cs="Arial"/>
            <w:sz w:val="22"/>
          </w:rPr>
          <w:t>https://doi.org/10.1016/j.trd.2022.103383</w:t>
        </w:r>
      </w:hyperlink>
    </w:p>
    <w:p w14:paraId="64A86ECF" w14:textId="2F13C67C" w:rsidR="003E453D" w:rsidRPr="00647DC0" w:rsidRDefault="003E453D" w:rsidP="004C0959">
      <w:pPr>
        <w:pStyle w:val="ListParagraph"/>
        <w:spacing w:line="360" w:lineRule="auto"/>
        <w:ind w:hanging="720"/>
        <w:jc w:val="left"/>
        <w:rPr>
          <w:rFonts w:cs="Arial"/>
          <w:sz w:val="22"/>
        </w:rPr>
      </w:pPr>
      <w:r w:rsidRPr="00647DC0">
        <w:rPr>
          <w:rFonts w:cs="Arial"/>
          <w:sz w:val="22"/>
        </w:rPr>
        <w:t>Li, X., Cong, H. and Wang, J. (2022) Consumer willingness to pay for electric vehicles: evidence from North American markets, 2019–2022, Transportation Research Part D: Transport and Environment, 106, p. 103250.</w:t>
      </w:r>
    </w:p>
    <w:p w14:paraId="2CAFE839" w14:textId="69ADC19E" w:rsidR="003E453D" w:rsidRPr="00647DC0" w:rsidRDefault="003E453D" w:rsidP="004C0959">
      <w:pPr>
        <w:spacing w:line="360" w:lineRule="auto"/>
        <w:ind w:left="720" w:hanging="720"/>
        <w:jc w:val="left"/>
        <w:rPr>
          <w:rFonts w:cs="Arial"/>
          <w:sz w:val="22"/>
        </w:rPr>
      </w:pPr>
      <w:r w:rsidRPr="00647DC0">
        <w:rPr>
          <w:rFonts w:cs="Arial"/>
          <w:sz w:val="22"/>
        </w:rPr>
        <w:t xml:space="preserve">Limon, M.H., Debnath, B. and Bari, A.B.M.M. (2023) Exploration of the drivers influencing the growth of hybrid electric vehicle adoption in the emerging economies: implications towards sustainability and low-carbon economy, </w:t>
      </w:r>
      <w:r w:rsidRPr="00647DC0">
        <w:rPr>
          <w:rFonts w:cs="Arial"/>
          <w:i/>
          <w:iCs/>
          <w:sz w:val="22"/>
        </w:rPr>
        <w:t>Sustainable Operations and Computers</w:t>
      </w:r>
      <w:r w:rsidRPr="00647DC0">
        <w:rPr>
          <w:rFonts w:cs="Arial"/>
          <w:sz w:val="22"/>
        </w:rPr>
        <w:t xml:space="preserve">, 4, pp. 76–87. </w:t>
      </w:r>
      <w:hyperlink r:id="rId33" w:history="1">
        <w:r w:rsidRPr="00647DC0">
          <w:rPr>
            <w:rStyle w:val="Hyperlink"/>
            <w:rFonts w:cs="Arial"/>
            <w:sz w:val="22"/>
          </w:rPr>
          <w:t>https://doi.org/10.1016/j.susoc.2023.04.002</w:t>
        </w:r>
      </w:hyperlink>
    </w:p>
    <w:p w14:paraId="736C9132" w14:textId="2684A4D9" w:rsidR="003E453D" w:rsidRPr="00647DC0" w:rsidRDefault="003E453D" w:rsidP="004C0959">
      <w:pPr>
        <w:pStyle w:val="ListParagraph"/>
        <w:spacing w:line="360" w:lineRule="auto"/>
        <w:ind w:hanging="720"/>
        <w:jc w:val="left"/>
        <w:rPr>
          <w:rFonts w:cs="Arial"/>
          <w:sz w:val="22"/>
        </w:rPr>
      </w:pPr>
      <w:r w:rsidRPr="00647DC0">
        <w:rPr>
          <w:rFonts w:cs="Arial"/>
          <w:sz w:val="22"/>
        </w:rPr>
        <w:t>Maor, T., Schmidt, J. and Hersh, E. (2024) From mandate to market: the gap between EV regulatory ambition and consumer behavioural change, Journal of Consumer Policy, 47(1), pp. 29–51.</w:t>
      </w:r>
    </w:p>
    <w:p w14:paraId="270B17BD" w14:textId="3995B2C9" w:rsidR="003E453D" w:rsidRPr="00647DC0" w:rsidRDefault="003E453D" w:rsidP="004C0959">
      <w:pPr>
        <w:pStyle w:val="ListParagraph"/>
        <w:spacing w:line="360" w:lineRule="auto"/>
        <w:ind w:hanging="720"/>
        <w:jc w:val="left"/>
        <w:rPr>
          <w:rFonts w:cs="Arial"/>
          <w:sz w:val="22"/>
        </w:rPr>
      </w:pPr>
      <w:r w:rsidRPr="00647DC0">
        <w:rPr>
          <w:rFonts w:cs="Arial"/>
          <w:sz w:val="22"/>
        </w:rPr>
        <w:t>Martins, J., Costa, C., Oliveira, T., Gonçalves, R. and Branco, F. (2021) How smartphone advertising influences consumers’ purchase intention, Journal of Business Research, 122, pp. 269–286.</w:t>
      </w:r>
    </w:p>
    <w:p w14:paraId="6F9A68C7" w14:textId="77777777" w:rsidR="003E453D" w:rsidRPr="00647DC0" w:rsidRDefault="003E453D" w:rsidP="004C0959">
      <w:pPr>
        <w:spacing w:line="360" w:lineRule="auto"/>
        <w:ind w:left="720" w:hanging="720"/>
        <w:jc w:val="left"/>
        <w:rPr>
          <w:rFonts w:cs="Arial"/>
          <w:sz w:val="22"/>
        </w:rPr>
      </w:pPr>
      <w:r w:rsidRPr="00647DC0">
        <w:rPr>
          <w:rFonts w:cs="Arial"/>
          <w:sz w:val="22"/>
        </w:rPr>
        <w:lastRenderedPageBreak/>
        <w:t xml:space="preserve">McKinsey &amp; Company (2025) </w:t>
      </w:r>
      <w:r w:rsidRPr="00647DC0">
        <w:rPr>
          <w:rFonts w:cs="Arial"/>
          <w:i/>
          <w:iCs/>
          <w:sz w:val="22"/>
        </w:rPr>
        <w:t>New twists in the electric-vehicle transition: a consumer perspective</w:t>
      </w:r>
      <w:r w:rsidRPr="00647DC0">
        <w:rPr>
          <w:rFonts w:cs="Arial"/>
          <w:sz w:val="22"/>
        </w:rPr>
        <w:t xml:space="preserve">. Available at: </w:t>
      </w:r>
      <w:hyperlink r:id="rId34" w:history="1">
        <w:r w:rsidRPr="00647DC0">
          <w:rPr>
            <w:rStyle w:val="Hyperlink"/>
            <w:rFonts w:cs="Arial"/>
            <w:sz w:val="22"/>
          </w:rPr>
          <w:t>https://www.mckinsey.com/features/mckinsey-center-for-future-mobility/our-insights/new-twists-in-the-electric-vehicle-transition-a-consumer-perspective</w:t>
        </w:r>
      </w:hyperlink>
      <w:r w:rsidRPr="00647DC0">
        <w:rPr>
          <w:rFonts w:cs="Arial"/>
          <w:sz w:val="22"/>
        </w:rPr>
        <w:t xml:space="preserve"> (Accessed: 11 June 2026).</w:t>
      </w:r>
    </w:p>
    <w:p w14:paraId="11B28033" w14:textId="7E2D2F6F" w:rsidR="003E453D" w:rsidRPr="00647DC0" w:rsidRDefault="003E453D" w:rsidP="004C0959">
      <w:pPr>
        <w:pStyle w:val="ListParagraph"/>
        <w:spacing w:line="360" w:lineRule="auto"/>
        <w:ind w:hanging="720"/>
        <w:jc w:val="left"/>
        <w:rPr>
          <w:rFonts w:cs="Arial"/>
          <w:sz w:val="22"/>
        </w:rPr>
      </w:pPr>
      <w:r w:rsidRPr="00647DC0">
        <w:rPr>
          <w:rFonts w:cs="Arial"/>
          <w:sz w:val="22"/>
        </w:rPr>
        <w:t>Min, H. (2023) Navigating regulatory volatility: strategic planning challenges for multinational EV manufacturers, Journal of International Business Studies, 54(5), pp. 841–861.</w:t>
      </w:r>
    </w:p>
    <w:p w14:paraId="07ECD935" w14:textId="0E62B978" w:rsidR="003E453D" w:rsidRPr="00647DC0" w:rsidRDefault="003E453D" w:rsidP="004C0959">
      <w:pPr>
        <w:spacing w:line="360" w:lineRule="auto"/>
        <w:ind w:left="720" w:hanging="720"/>
        <w:jc w:val="left"/>
        <w:rPr>
          <w:rFonts w:cs="Arial"/>
          <w:sz w:val="22"/>
        </w:rPr>
      </w:pPr>
      <w:r w:rsidRPr="00647DC0">
        <w:rPr>
          <w:rFonts w:cs="Arial"/>
          <w:sz w:val="22"/>
        </w:rPr>
        <w:t>Muzari, T., Shava, G. N., and</w:t>
      </w:r>
      <w:r w:rsidR="00A00ACA" w:rsidRPr="00647DC0">
        <w:rPr>
          <w:rFonts w:cs="Arial"/>
          <w:sz w:val="22"/>
        </w:rPr>
        <w:t xml:space="preserve"> </w:t>
      </w:r>
      <w:r w:rsidRPr="00647DC0">
        <w:rPr>
          <w:rFonts w:cs="Arial"/>
          <w:sz w:val="22"/>
        </w:rPr>
        <w:t>Shonhiwa, S. (2022). Qualitative research paradigm, a key research design for educational researchers, processes and procedures: A theoretical overview. </w:t>
      </w:r>
      <w:r w:rsidRPr="00647DC0">
        <w:rPr>
          <w:rFonts w:cs="Arial"/>
          <w:i/>
          <w:iCs/>
          <w:sz w:val="22"/>
        </w:rPr>
        <w:t>Indiana Journal of Humanities and Social Sciences</w:t>
      </w:r>
      <w:r w:rsidRPr="00647DC0">
        <w:rPr>
          <w:rFonts w:cs="Arial"/>
          <w:sz w:val="22"/>
        </w:rPr>
        <w:t>, </w:t>
      </w:r>
      <w:r w:rsidRPr="00647DC0">
        <w:rPr>
          <w:rFonts w:cs="Arial"/>
          <w:i/>
          <w:iCs/>
          <w:sz w:val="22"/>
        </w:rPr>
        <w:t>3</w:t>
      </w:r>
      <w:r w:rsidRPr="00647DC0">
        <w:rPr>
          <w:rFonts w:cs="Arial"/>
          <w:sz w:val="22"/>
        </w:rPr>
        <w:t>(1), 14-20.</w:t>
      </w:r>
    </w:p>
    <w:p w14:paraId="24556DF8" w14:textId="59DB8541" w:rsidR="003E453D" w:rsidRPr="00647DC0" w:rsidRDefault="003E453D" w:rsidP="004C0959">
      <w:pPr>
        <w:pStyle w:val="ListParagraph"/>
        <w:spacing w:line="360" w:lineRule="auto"/>
        <w:ind w:hanging="720"/>
        <w:jc w:val="left"/>
        <w:rPr>
          <w:rFonts w:cs="Arial"/>
          <w:sz w:val="22"/>
        </w:rPr>
      </w:pPr>
      <w:r w:rsidRPr="00647DC0">
        <w:rPr>
          <w:rFonts w:cs="Arial"/>
          <w:sz w:val="22"/>
        </w:rPr>
        <w:t>Nie, Y., Zhao, X. and Xu, D. (2021) Government subsidies and the adoption of new energy vehicles: evidence from China, Journal of Cleaner Production, 278, p. 123720.</w:t>
      </w:r>
    </w:p>
    <w:p w14:paraId="7C6880E8" w14:textId="26BF5683" w:rsidR="003E453D" w:rsidRPr="00647DC0" w:rsidRDefault="003E453D" w:rsidP="004C0959">
      <w:pPr>
        <w:pStyle w:val="ListParagraph"/>
        <w:spacing w:line="360" w:lineRule="auto"/>
        <w:ind w:hanging="720"/>
        <w:jc w:val="left"/>
        <w:rPr>
          <w:rFonts w:cs="Arial"/>
          <w:sz w:val="22"/>
        </w:rPr>
      </w:pPr>
      <w:r w:rsidRPr="00647DC0">
        <w:rPr>
          <w:rFonts w:cs="Arial"/>
          <w:sz w:val="22"/>
        </w:rPr>
        <w:t>Noel, L., de Rubens, G.Z. and Kester, J. (2022) Range anxiety and charging infrastructure as barriers to EV adoption: a European multi-country analysis, Transport Policy, 123, pp. 101–113.</w:t>
      </w:r>
    </w:p>
    <w:p w14:paraId="50263EDD" w14:textId="77777777" w:rsidR="003E453D" w:rsidRPr="00647DC0" w:rsidRDefault="003E453D" w:rsidP="004C0959">
      <w:pPr>
        <w:spacing w:line="360" w:lineRule="auto"/>
        <w:ind w:left="720" w:hanging="720"/>
        <w:jc w:val="left"/>
        <w:rPr>
          <w:rFonts w:cs="Arial"/>
          <w:sz w:val="22"/>
        </w:rPr>
      </w:pPr>
      <w:r w:rsidRPr="00647DC0">
        <w:rPr>
          <w:rFonts w:cs="Arial"/>
          <w:sz w:val="22"/>
        </w:rPr>
        <w:t>Omodan, B. I. (2024). </w:t>
      </w:r>
      <w:r w:rsidRPr="00647DC0">
        <w:rPr>
          <w:rFonts w:cs="Arial"/>
          <w:i/>
          <w:iCs/>
          <w:sz w:val="22"/>
        </w:rPr>
        <w:t>Research paradigms and their methodological alignment in social sciences: A practical guide for researchers</w:t>
      </w:r>
      <w:r w:rsidRPr="00647DC0">
        <w:rPr>
          <w:rFonts w:cs="Arial"/>
          <w:sz w:val="22"/>
        </w:rPr>
        <w:t>. Routledge.</w:t>
      </w:r>
    </w:p>
    <w:p w14:paraId="6646846B" w14:textId="394FCC50" w:rsidR="003E453D" w:rsidRPr="00647DC0" w:rsidRDefault="003E453D" w:rsidP="004C0959">
      <w:pPr>
        <w:spacing w:line="360" w:lineRule="auto"/>
        <w:ind w:left="720" w:hanging="720"/>
        <w:jc w:val="left"/>
        <w:rPr>
          <w:rFonts w:cs="Arial"/>
          <w:sz w:val="22"/>
        </w:rPr>
      </w:pPr>
      <w:r w:rsidRPr="00647DC0">
        <w:rPr>
          <w:rFonts w:cs="Arial"/>
          <w:sz w:val="22"/>
        </w:rPr>
        <w:t>Pandey, C. S., Mishra, P., Pandey, S. R., Singh, R. D., and</w:t>
      </w:r>
      <w:r w:rsidR="00A00ACA" w:rsidRPr="00647DC0">
        <w:rPr>
          <w:rFonts w:cs="Arial"/>
          <w:sz w:val="22"/>
        </w:rPr>
        <w:t xml:space="preserve"> </w:t>
      </w:r>
      <w:r w:rsidRPr="00647DC0">
        <w:rPr>
          <w:rFonts w:cs="Arial"/>
          <w:sz w:val="22"/>
        </w:rPr>
        <w:t>Pandey, S. (2026). Research paradigms: a systematic literature review of methodological shifts and interdisciplinary approaches in research. </w:t>
      </w:r>
      <w:r w:rsidRPr="00647DC0">
        <w:rPr>
          <w:rFonts w:cs="Arial"/>
          <w:i/>
          <w:iCs/>
          <w:sz w:val="22"/>
        </w:rPr>
        <w:t>Quality and</w:t>
      </w:r>
      <w:r w:rsidR="00A00ACA" w:rsidRPr="00647DC0">
        <w:rPr>
          <w:rFonts w:cs="Arial"/>
          <w:i/>
          <w:iCs/>
          <w:sz w:val="22"/>
        </w:rPr>
        <w:t xml:space="preserve"> </w:t>
      </w:r>
      <w:r w:rsidRPr="00647DC0">
        <w:rPr>
          <w:rFonts w:cs="Arial"/>
          <w:i/>
          <w:iCs/>
          <w:sz w:val="22"/>
        </w:rPr>
        <w:t>Quantity</w:t>
      </w:r>
      <w:r w:rsidRPr="00647DC0">
        <w:rPr>
          <w:rFonts w:cs="Arial"/>
          <w:sz w:val="22"/>
        </w:rPr>
        <w:t>, </w:t>
      </w:r>
      <w:r w:rsidRPr="00647DC0">
        <w:rPr>
          <w:rFonts w:cs="Arial"/>
          <w:i/>
          <w:iCs/>
          <w:sz w:val="22"/>
        </w:rPr>
        <w:t>60</w:t>
      </w:r>
      <w:r w:rsidRPr="00647DC0">
        <w:rPr>
          <w:rFonts w:cs="Arial"/>
          <w:sz w:val="22"/>
        </w:rPr>
        <w:t>(1), 2297-2325.</w:t>
      </w:r>
    </w:p>
    <w:p w14:paraId="3A52D86F" w14:textId="05ACF920" w:rsidR="003E453D" w:rsidRPr="00647DC0" w:rsidRDefault="003E453D" w:rsidP="004C0959">
      <w:pPr>
        <w:spacing w:line="360" w:lineRule="auto"/>
        <w:ind w:left="720" w:hanging="720"/>
        <w:jc w:val="left"/>
        <w:rPr>
          <w:rFonts w:cs="Arial"/>
          <w:sz w:val="22"/>
        </w:rPr>
      </w:pPr>
      <w:r w:rsidRPr="00647DC0">
        <w:rPr>
          <w:rFonts w:cs="Arial"/>
          <w:sz w:val="22"/>
        </w:rPr>
        <w:t xml:space="preserve">Pervin, N., </w:t>
      </w:r>
      <w:r w:rsidR="00A00ACA" w:rsidRPr="00647DC0">
        <w:rPr>
          <w:rFonts w:cs="Arial"/>
          <w:sz w:val="22"/>
        </w:rPr>
        <w:t>and Mokhtar</w:t>
      </w:r>
      <w:r w:rsidRPr="00647DC0">
        <w:rPr>
          <w:rFonts w:cs="Arial"/>
          <w:sz w:val="22"/>
        </w:rPr>
        <w:t>, M. (2022). The interpretivist research paradigm: A subjective notion of a social context. </w:t>
      </w:r>
      <w:r w:rsidRPr="00647DC0">
        <w:rPr>
          <w:rFonts w:cs="Arial"/>
          <w:i/>
          <w:iCs/>
          <w:sz w:val="22"/>
        </w:rPr>
        <w:t>International Journal of Academic Research in Progressive Education and Development</w:t>
      </w:r>
      <w:r w:rsidRPr="00647DC0">
        <w:rPr>
          <w:rFonts w:cs="Arial"/>
          <w:sz w:val="22"/>
        </w:rPr>
        <w:t>, </w:t>
      </w:r>
      <w:r w:rsidRPr="00647DC0">
        <w:rPr>
          <w:rFonts w:cs="Arial"/>
          <w:i/>
          <w:iCs/>
          <w:sz w:val="22"/>
        </w:rPr>
        <w:t>11</w:t>
      </w:r>
      <w:r w:rsidRPr="00647DC0">
        <w:rPr>
          <w:rFonts w:cs="Arial"/>
          <w:sz w:val="22"/>
        </w:rPr>
        <w:t>(2), 419-428.</w:t>
      </w:r>
    </w:p>
    <w:p w14:paraId="1745F2D1" w14:textId="1E803E2E" w:rsidR="003E453D" w:rsidRPr="00647DC0" w:rsidRDefault="003E453D" w:rsidP="004C0959">
      <w:pPr>
        <w:spacing w:line="360" w:lineRule="auto"/>
        <w:ind w:left="720" w:hanging="720"/>
        <w:jc w:val="left"/>
        <w:rPr>
          <w:rFonts w:cs="Arial"/>
          <w:sz w:val="22"/>
        </w:rPr>
      </w:pPr>
      <w:r w:rsidRPr="00647DC0">
        <w:rPr>
          <w:rFonts w:cs="Arial"/>
          <w:sz w:val="22"/>
        </w:rPr>
        <w:t xml:space="preserve">Plananska, J. and Gamma, K. (2022) Product bundling for accelerating electric vehicle adoption: a mixed-method empirical analysis of Swiss customers, </w:t>
      </w:r>
      <w:r w:rsidRPr="00647DC0">
        <w:rPr>
          <w:rFonts w:cs="Arial"/>
          <w:i/>
          <w:iCs/>
          <w:sz w:val="22"/>
        </w:rPr>
        <w:t>Renewable and Sustainable Energy Reviews</w:t>
      </w:r>
      <w:r w:rsidRPr="00647DC0">
        <w:rPr>
          <w:rFonts w:cs="Arial"/>
          <w:sz w:val="22"/>
        </w:rPr>
        <w:t xml:space="preserve">, 154, Article 111760. </w:t>
      </w:r>
      <w:hyperlink r:id="rId35" w:history="1">
        <w:r w:rsidRPr="00647DC0">
          <w:rPr>
            <w:rStyle w:val="Hyperlink"/>
            <w:rFonts w:cs="Arial"/>
            <w:sz w:val="22"/>
          </w:rPr>
          <w:t>https://doi.org/10.1016/j.rser.2021.111760</w:t>
        </w:r>
      </w:hyperlink>
    </w:p>
    <w:p w14:paraId="71810341" w14:textId="77777777" w:rsidR="003E453D" w:rsidRPr="00647DC0" w:rsidRDefault="003E453D" w:rsidP="004C0959">
      <w:pPr>
        <w:spacing w:line="360" w:lineRule="auto"/>
        <w:ind w:left="720" w:hanging="720"/>
        <w:jc w:val="left"/>
        <w:rPr>
          <w:rFonts w:cs="Arial"/>
          <w:sz w:val="22"/>
        </w:rPr>
      </w:pPr>
      <w:r w:rsidRPr="00647DC0">
        <w:rPr>
          <w:rFonts w:cs="Arial"/>
          <w:sz w:val="22"/>
        </w:rPr>
        <w:t>Pretorius, L. (2024). Demystifying research paradigms: Navigating ontology, epistemology, and axiology in research. </w:t>
      </w:r>
      <w:r w:rsidRPr="00647DC0">
        <w:rPr>
          <w:rFonts w:cs="Arial"/>
          <w:i/>
          <w:iCs/>
          <w:sz w:val="22"/>
        </w:rPr>
        <w:t>The Qualitative Report</w:t>
      </w:r>
      <w:r w:rsidRPr="00647DC0">
        <w:rPr>
          <w:rFonts w:cs="Arial"/>
          <w:sz w:val="22"/>
        </w:rPr>
        <w:t>, </w:t>
      </w:r>
      <w:r w:rsidRPr="00647DC0">
        <w:rPr>
          <w:rFonts w:cs="Arial"/>
          <w:i/>
          <w:iCs/>
          <w:sz w:val="22"/>
        </w:rPr>
        <w:t>29</w:t>
      </w:r>
      <w:r w:rsidRPr="00647DC0">
        <w:rPr>
          <w:rFonts w:cs="Arial"/>
          <w:sz w:val="22"/>
        </w:rPr>
        <w:t>(10), 2698-2715.</w:t>
      </w:r>
    </w:p>
    <w:p w14:paraId="7D66D1D1" w14:textId="77777777" w:rsidR="003E453D" w:rsidRPr="00647DC0" w:rsidRDefault="003E453D" w:rsidP="004C0959">
      <w:pPr>
        <w:spacing w:line="360" w:lineRule="auto"/>
        <w:ind w:left="720" w:hanging="720"/>
        <w:jc w:val="left"/>
        <w:rPr>
          <w:rFonts w:cs="Arial"/>
          <w:sz w:val="22"/>
        </w:rPr>
      </w:pPr>
      <w:r w:rsidRPr="00647DC0">
        <w:rPr>
          <w:rFonts w:cs="Arial"/>
          <w:sz w:val="22"/>
        </w:rPr>
        <w:t>Rahman, M. M. (2023). Navigating the landscape of research paradigms: An overview and critique. </w:t>
      </w:r>
      <w:r w:rsidRPr="00647DC0">
        <w:rPr>
          <w:rFonts w:cs="Arial"/>
          <w:i/>
          <w:iCs/>
          <w:sz w:val="22"/>
        </w:rPr>
        <w:t>International Journal of Educational Studies</w:t>
      </w:r>
      <w:r w:rsidRPr="00647DC0">
        <w:rPr>
          <w:rFonts w:cs="Arial"/>
          <w:sz w:val="22"/>
        </w:rPr>
        <w:t>, </w:t>
      </w:r>
      <w:r w:rsidRPr="00647DC0">
        <w:rPr>
          <w:rFonts w:cs="Arial"/>
          <w:i/>
          <w:iCs/>
          <w:sz w:val="22"/>
        </w:rPr>
        <w:t>6</w:t>
      </w:r>
      <w:r w:rsidRPr="00647DC0">
        <w:rPr>
          <w:rFonts w:cs="Arial"/>
          <w:sz w:val="22"/>
        </w:rPr>
        <w:t>(1), 1-18.</w:t>
      </w:r>
    </w:p>
    <w:p w14:paraId="6C8C2CD8"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Reuters (2025a) </w:t>
      </w:r>
      <w:r w:rsidRPr="00647DC0">
        <w:rPr>
          <w:rFonts w:cs="Arial"/>
          <w:i/>
          <w:iCs/>
          <w:sz w:val="22"/>
        </w:rPr>
        <w:t>Ford projects mounting EV losses for 2025, Q4 profit up</w:t>
      </w:r>
      <w:r w:rsidRPr="00647DC0">
        <w:rPr>
          <w:rFonts w:cs="Arial"/>
          <w:sz w:val="22"/>
        </w:rPr>
        <w:t xml:space="preserve">. Available at: </w:t>
      </w:r>
      <w:hyperlink r:id="rId36" w:history="1">
        <w:r w:rsidRPr="00647DC0">
          <w:rPr>
            <w:rStyle w:val="Hyperlink"/>
            <w:rFonts w:cs="Arial"/>
            <w:sz w:val="22"/>
          </w:rPr>
          <w:t>https://www.reuters.com/business/autos-transportation/ford-projects-mounting-ev-losses-2025-q4-profit-up-2025-02-05/</w:t>
        </w:r>
      </w:hyperlink>
      <w:r w:rsidRPr="00647DC0">
        <w:rPr>
          <w:rFonts w:cs="Arial"/>
          <w:sz w:val="22"/>
        </w:rPr>
        <w:t xml:space="preserve"> (Accessed: 11 June 2026).</w:t>
      </w:r>
    </w:p>
    <w:p w14:paraId="58A1464A" w14:textId="77777777" w:rsidR="003E453D" w:rsidRPr="00647DC0" w:rsidRDefault="003E453D" w:rsidP="004C0959">
      <w:pPr>
        <w:spacing w:line="360" w:lineRule="auto"/>
        <w:ind w:left="720" w:hanging="720"/>
        <w:jc w:val="left"/>
        <w:rPr>
          <w:rFonts w:cs="Arial"/>
          <w:sz w:val="22"/>
        </w:rPr>
      </w:pPr>
      <w:r w:rsidRPr="00647DC0">
        <w:rPr>
          <w:rFonts w:cs="Arial"/>
          <w:sz w:val="22"/>
        </w:rPr>
        <w:lastRenderedPageBreak/>
        <w:t xml:space="preserve">Reuters (2025b) </w:t>
      </w:r>
      <w:r w:rsidRPr="00647DC0">
        <w:rPr>
          <w:rFonts w:cs="Arial"/>
          <w:i/>
          <w:iCs/>
          <w:sz w:val="22"/>
        </w:rPr>
        <w:t>GM’s electric gains face critical test as Trump targets EV subsidies</w:t>
      </w:r>
      <w:r w:rsidRPr="00647DC0">
        <w:rPr>
          <w:rFonts w:cs="Arial"/>
          <w:sz w:val="22"/>
        </w:rPr>
        <w:t xml:space="preserve">. Available at: </w:t>
      </w:r>
      <w:hyperlink r:id="rId37" w:history="1">
        <w:r w:rsidRPr="00647DC0">
          <w:rPr>
            <w:rStyle w:val="Hyperlink"/>
            <w:rFonts w:cs="Arial"/>
            <w:sz w:val="22"/>
          </w:rPr>
          <w:t>https://www.reuters.com/business/autos-transportation/gms-electric-gains-face-critical-test-trump-targets-ev-subsidies-2025-02-28/</w:t>
        </w:r>
      </w:hyperlink>
      <w:r w:rsidRPr="00647DC0">
        <w:rPr>
          <w:rFonts w:cs="Arial"/>
          <w:sz w:val="22"/>
        </w:rPr>
        <w:t xml:space="preserve"> (Accessed: 11 June 2026).</w:t>
      </w:r>
    </w:p>
    <w:p w14:paraId="3E126D69"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Reuters (2025c) </w:t>
      </w:r>
      <w:r w:rsidRPr="00647DC0">
        <w:rPr>
          <w:rFonts w:cs="Arial"/>
          <w:i/>
          <w:iCs/>
          <w:sz w:val="22"/>
        </w:rPr>
        <w:t>Less than 400 EV charging ports built under $7.5 billion U.S. infrastructure program</w:t>
      </w:r>
      <w:r w:rsidRPr="00647DC0">
        <w:rPr>
          <w:rFonts w:cs="Arial"/>
          <w:sz w:val="22"/>
        </w:rPr>
        <w:t xml:space="preserve">. Available at: </w:t>
      </w:r>
      <w:hyperlink r:id="rId38" w:history="1">
        <w:r w:rsidRPr="00647DC0">
          <w:rPr>
            <w:rStyle w:val="Hyperlink"/>
            <w:rFonts w:cs="Arial"/>
            <w:sz w:val="22"/>
          </w:rPr>
          <w:t>https://www.reuters.com/sustainability/climate-energy/less-than-400-ev-charging-ports-built-under-75-billion-us-infrastructure-program-2025-07-22/</w:t>
        </w:r>
      </w:hyperlink>
      <w:r w:rsidRPr="00647DC0">
        <w:rPr>
          <w:rFonts w:cs="Arial"/>
          <w:sz w:val="22"/>
        </w:rPr>
        <w:t xml:space="preserve"> (Accessed: 11 June 2026).</w:t>
      </w:r>
    </w:p>
    <w:p w14:paraId="63FC1787" w14:textId="1EC17936" w:rsidR="003E453D" w:rsidRPr="00647DC0" w:rsidRDefault="003E453D" w:rsidP="004C0959">
      <w:pPr>
        <w:pStyle w:val="ListParagraph"/>
        <w:spacing w:line="360" w:lineRule="auto"/>
        <w:ind w:hanging="720"/>
        <w:jc w:val="left"/>
        <w:rPr>
          <w:rFonts w:cs="Arial"/>
          <w:sz w:val="22"/>
        </w:rPr>
      </w:pPr>
      <w:r w:rsidRPr="00647DC0">
        <w:rPr>
          <w:rFonts w:cs="Arial"/>
          <w:sz w:val="22"/>
        </w:rPr>
        <w:t>Rezvani, Z., Jansson, J. and Bengtsson, M. (2021) Symbolic adoption barriers in the pick-up truck segment: implications for EV marketing, Journal of Cleaner Production, 293, p. 126081.</w:t>
      </w:r>
    </w:p>
    <w:p w14:paraId="591F93B2" w14:textId="4FAEB455" w:rsidR="003E453D" w:rsidRPr="00647DC0" w:rsidRDefault="003E453D" w:rsidP="004C0959">
      <w:pPr>
        <w:spacing w:line="360" w:lineRule="auto"/>
        <w:ind w:left="720" w:hanging="720"/>
        <w:jc w:val="left"/>
        <w:rPr>
          <w:rFonts w:cs="Arial"/>
          <w:sz w:val="22"/>
        </w:rPr>
      </w:pPr>
      <w:r w:rsidRPr="00647DC0">
        <w:rPr>
          <w:rFonts w:cs="Arial"/>
          <w:sz w:val="22"/>
        </w:rPr>
        <w:t xml:space="preserve">Shanmugavel, N. and Balakrishnan, J. (2023) Influence of pro-environmental behaviour towards behavioural intention of electric vehicles, </w:t>
      </w:r>
      <w:r w:rsidRPr="00647DC0">
        <w:rPr>
          <w:rFonts w:cs="Arial"/>
          <w:i/>
          <w:iCs/>
          <w:sz w:val="22"/>
        </w:rPr>
        <w:t>Technological Forecasting and Social Change</w:t>
      </w:r>
      <w:r w:rsidRPr="00647DC0">
        <w:rPr>
          <w:rFonts w:cs="Arial"/>
          <w:sz w:val="22"/>
        </w:rPr>
        <w:t xml:space="preserve">, 187, Article 122206. </w:t>
      </w:r>
      <w:hyperlink r:id="rId39" w:history="1">
        <w:r w:rsidRPr="00647DC0">
          <w:rPr>
            <w:rStyle w:val="Hyperlink"/>
            <w:rFonts w:cs="Arial"/>
            <w:sz w:val="22"/>
          </w:rPr>
          <w:t>https://doi.org/10.1016/j.techfore.2022.122206</w:t>
        </w:r>
      </w:hyperlink>
    </w:p>
    <w:p w14:paraId="2B7204F5" w14:textId="1745B0D4" w:rsidR="003E453D" w:rsidRPr="00647DC0" w:rsidRDefault="003E453D" w:rsidP="004C0959">
      <w:pPr>
        <w:pStyle w:val="ListParagraph"/>
        <w:spacing w:line="360" w:lineRule="auto"/>
        <w:ind w:hanging="720"/>
        <w:jc w:val="left"/>
        <w:rPr>
          <w:rFonts w:cs="Arial"/>
          <w:sz w:val="22"/>
        </w:rPr>
      </w:pPr>
      <w:r w:rsidRPr="00647DC0">
        <w:rPr>
          <w:rFonts w:cs="Arial"/>
          <w:sz w:val="22"/>
        </w:rPr>
        <w:t xml:space="preserve">Sovacool, B.K., Noel, L. and </w:t>
      </w:r>
      <w:proofErr w:type="spellStart"/>
      <w:r w:rsidRPr="00647DC0">
        <w:rPr>
          <w:rFonts w:cs="Arial"/>
          <w:sz w:val="22"/>
        </w:rPr>
        <w:t>Axsen</w:t>
      </w:r>
      <w:proofErr w:type="spellEnd"/>
      <w:r w:rsidRPr="00647DC0">
        <w:rPr>
          <w:rFonts w:cs="Arial"/>
          <w:sz w:val="22"/>
        </w:rPr>
        <w:t>, J. (2021) Socio-cultural barriers to EV adoption in North America: identity, masculinity and the internal combustion engine, Global Environmental Change, 67, p. 102221.</w:t>
      </w:r>
    </w:p>
    <w:p w14:paraId="5034F70E" w14:textId="1E4569DC" w:rsidR="003E453D" w:rsidRPr="00647DC0" w:rsidRDefault="003E453D" w:rsidP="004C0959">
      <w:pPr>
        <w:pStyle w:val="ListParagraph"/>
        <w:spacing w:line="360" w:lineRule="auto"/>
        <w:ind w:hanging="720"/>
        <w:jc w:val="left"/>
        <w:rPr>
          <w:rFonts w:cs="Arial"/>
          <w:sz w:val="22"/>
        </w:rPr>
      </w:pPr>
      <w:r w:rsidRPr="00647DC0">
        <w:rPr>
          <w:rFonts w:cs="Arial"/>
          <w:sz w:val="22"/>
        </w:rPr>
        <w:t>Teece, D.J. (2025) Dynamic capabilities and the threat of Chinese EV manufacturers to Western original equipment manufacturers, California Management Review, 67(2), pp. 5–29.</w:t>
      </w:r>
    </w:p>
    <w:p w14:paraId="1AF6BBF0"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Tesla, Inc. (2025) </w:t>
      </w:r>
      <w:r w:rsidRPr="00647DC0">
        <w:rPr>
          <w:rFonts w:cs="Arial"/>
          <w:i/>
          <w:iCs/>
          <w:sz w:val="22"/>
        </w:rPr>
        <w:t>Annual Report on Form 10-K for the year ended December 31, 2024</w:t>
      </w:r>
      <w:r w:rsidRPr="00647DC0">
        <w:rPr>
          <w:rFonts w:cs="Arial"/>
          <w:sz w:val="22"/>
        </w:rPr>
        <w:t xml:space="preserve">. Available at: </w:t>
      </w:r>
      <w:hyperlink r:id="rId40" w:history="1">
        <w:r w:rsidRPr="00647DC0">
          <w:rPr>
            <w:rStyle w:val="Hyperlink"/>
            <w:rFonts w:cs="Arial"/>
            <w:sz w:val="22"/>
          </w:rPr>
          <w:t>https://ir.tesla.com/_flysystem/s3/sec/000162828025003063/tsla-20241231-gen.pdf</w:t>
        </w:r>
      </w:hyperlink>
      <w:r w:rsidRPr="00647DC0">
        <w:rPr>
          <w:rFonts w:cs="Arial"/>
          <w:sz w:val="22"/>
        </w:rPr>
        <w:t xml:space="preserve"> (Accessed: 11 June 2026).</w:t>
      </w:r>
    </w:p>
    <w:p w14:paraId="0694B697"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The Verge (2025) </w:t>
      </w:r>
      <w:r w:rsidRPr="00647DC0">
        <w:rPr>
          <w:rFonts w:cs="Arial"/>
          <w:i/>
          <w:iCs/>
          <w:sz w:val="22"/>
        </w:rPr>
        <w:t>Ford is extending its free at-home EV charging promotion</w:t>
      </w:r>
      <w:r w:rsidRPr="00647DC0">
        <w:rPr>
          <w:rFonts w:cs="Arial"/>
          <w:sz w:val="22"/>
        </w:rPr>
        <w:t xml:space="preserve">. Available at: </w:t>
      </w:r>
      <w:hyperlink r:id="rId41" w:history="1">
        <w:r w:rsidRPr="00647DC0">
          <w:rPr>
            <w:rStyle w:val="Hyperlink"/>
            <w:rFonts w:cs="Arial"/>
            <w:sz w:val="22"/>
          </w:rPr>
          <w:t>https://www.theverge.com/2025/1/3/24335123/ford-power-promise-2025-free-ev-charger-extension</w:t>
        </w:r>
      </w:hyperlink>
      <w:r w:rsidRPr="00647DC0">
        <w:rPr>
          <w:rFonts w:cs="Arial"/>
          <w:sz w:val="22"/>
        </w:rPr>
        <w:t xml:space="preserve"> (Accessed: 11 June 2026).</w:t>
      </w:r>
    </w:p>
    <w:p w14:paraId="122D6E83" w14:textId="1E4751A4" w:rsidR="003E453D" w:rsidRPr="00647DC0" w:rsidRDefault="003E453D" w:rsidP="004C0959">
      <w:pPr>
        <w:pStyle w:val="ListParagraph"/>
        <w:spacing w:line="360" w:lineRule="auto"/>
        <w:ind w:hanging="720"/>
        <w:jc w:val="left"/>
        <w:rPr>
          <w:rFonts w:cs="Arial"/>
          <w:sz w:val="22"/>
        </w:rPr>
      </w:pPr>
      <w:r w:rsidRPr="00647DC0">
        <w:rPr>
          <w:rFonts w:cs="Arial"/>
          <w:sz w:val="22"/>
        </w:rPr>
        <w:t>Ugoani, J.N.N. (2023) ESG performance and brand equity in the automotive sector: implications for legacy manufacturers transitioning to electric vehicles, Business Strategy and the Environment, 32(7), pp. 4811–4825.</w:t>
      </w:r>
    </w:p>
    <w:p w14:paraId="73F55F25" w14:textId="5CC9C4ED" w:rsidR="003E453D" w:rsidRPr="00647DC0" w:rsidRDefault="003E453D" w:rsidP="004C0959">
      <w:pPr>
        <w:pStyle w:val="ListParagraph"/>
        <w:spacing w:line="360" w:lineRule="auto"/>
        <w:ind w:hanging="720"/>
        <w:jc w:val="left"/>
        <w:rPr>
          <w:rFonts w:cs="Arial"/>
          <w:sz w:val="22"/>
        </w:rPr>
      </w:pPr>
      <w:r w:rsidRPr="00647DC0">
        <w:rPr>
          <w:rFonts w:cs="Arial"/>
          <w:sz w:val="22"/>
        </w:rPr>
        <w:t>Venkatesh, V., Thong, J.Y.L. and Xu, X. (2022) Technology acceptance: new perspectives and new challenges, MIS Quarterly, 46(2), pp. 1–16.</w:t>
      </w:r>
    </w:p>
    <w:p w14:paraId="274FFA31" w14:textId="3A6C7F49" w:rsidR="003E453D" w:rsidRPr="00647DC0" w:rsidRDefault="003E453D" w:rsidP="004C0959">
      <w:pPr>
        <w:pStyle w:val="ListParagraph"/>
        <w:spacing w:line="360" w:lineRule="auto"/>
        <w:ind w:hanging="720"/>
        <w:jc w:val="left"/>
        <w:rPr>
          <w:rFonts w:cs="Arial"/>
          <w:sz w:val="22"/>
        </w:rPr>
      </w:pPr>
      <w:r w:rsidRPr="00647DC0">
        <w:rPr>
          <w:rFonts w:cs="Arial"/>
          <w:sz w:val="22"/>
        </w:rPr>
        <w:lastRenderedPageBreak/>
        <w:t>Warrick, D.D. and Mulally, A. (2024) Capital commitment and technology risk in EV gigafactory investments: a strategic management perspective, Strategic Management Journal, 45(4), pp. 889–910.</w:t>
      </w:r>
    </w:p>
    <w:p w14:paraId="423DE512" w14:textId="77777777" w:rsidR="003E453D" w:rsidRPr="00647DC0" w:rsidRDefault="003E453D" w:rsidP="004C0959">
      <w:pPr>
        <w:spacing w:line="360" w:lineRule="auto"/>
        <w:ind w:left="720" w:hanging="720"/>
        <w:jc w:val="left"/>
        <w:rPr>
          <w:rFonts w:cs="Arial"/>
          <w:sz w:val="22"/>
        </w:rPr>
      </w:pPr>
      <w:r w:rsidRPr="00647DC0">
        <w:rPr>
          <w:rFonts w:cs="Arial"/>
          <w:sz w:val="22"/>
        </w:rPr>
        <w:t xml:space="preserve">Warrick, D.D. and Mulally, A., 2024. The leadership principles Alan Mulally followed in transforming Ford Motor Company into a successful company with a strong people-oriented culture. In: </w:t>
      </w:r>
      <w:r w:rsidRPr="00647DC0">
        <w:rPr>
          <w:rFonts w:cs="Arial"/>
          <w:i/>
          <w:iCs/>
          <w:sz w:val="22"/>
        </w:rPr>
        <w:t>Cases on Critical Leadership Skills</w:t>
      </w:r>
      <w:r w:rsidRPr="00647DC0">
        <w:rPr>
          <w:rFonts w:cs="Arial"/>
          <w:sz w:val="22"/>
        </w:rPr>
        <w:t>. Cheltenham: Edward Elgar Publishing, pp.120-133.</w:t>
      </w:r>
    </w:p>
    <w:p w14:paraId="5B89B103" w14:textId="77777777" w:rsidR="003E453D" w:rsidRPr="00647DC0" w:rsidRDefault="003E453D" w:rsidP="004C0959">
      <w:pPr>
        <w:spacing w:line="360" w:lineRule="auto"/>
        <w:ind w:left="720" w:hanging="720"/>
        <w:jc w:val="left"/>
        <w:rPr>
          <w:rFonts w:cs="Arial"/>
          <w:sz w:val="22"/>
        </w:rPr>
      </w:pPr>
      <w:r w:rsidRPr="00647DC0">
        <w:rPr>
          <w:rFonts w:cs="Arial"/>
          <w:sz w:val="22"/>
        </w:rPr>
        <w:t>William, F. K. A. (2024). Interpretivism or constructivism: Navigating research paradigms in social science research. </w:t>
      </w:r>
      <w:r w:rsidRPr="00647DC0">
        <w:rPr>
          <w:rFonts w:cs="Arial"/>
          <w:i/>
          <w:iCs/>
          <w:sz w:val="22"/>
        </w:rPr>
        <w:t>International Journal of Research Publications</w:t>
      </w:r>
      <w:r w:rsidRPr="00647DC0">
        <w:rPr>
          <w:rFonts w:cs="Arial"/>
          <w:sz w:val="22"/>
        </w:rPr>
        <w:t>, </w:t>
      </w:r>
      <w:r w:rsidRPr="00647DC0">
        <w:rPr>
          <w:rFonts w:cs="Arial"/>
          <w:i/>
          <w:iCs/>
          <w:sz w:val="22"/>
        </w:rPr>
        <w:t>143</w:t>
      </w:r>
      <w:r w:rsidRPr="00647DC0">
        <w:rPr>
          <w:rFonts w:cs="Arial"/>
          <w:sz w:val="22"/>
        </w:rPr>
        <w:t>(1), 134-138.</w:t>
      </w:r>
    </w:p>
    <w:p w14:paraId="4C58B940" w14:textId="24D92B9C" w:rsidR="0013624C" w:rsidRPr="00647DC0" w:rsidRDefault="003E453D" w:rsidP="004C0959">
      <w:pPr>
        <w:pStyle w:val="ListParagraph"/>
        <w:spacing w:line="360" w:lineRule="auto"/>
        <w:ind w:hanging="720"/>
        <w:jc w:val="left"/>
        <w:rPr>
          <w:rFonts w:cs="Arial"/>
          <w:sz w:val="22"/>
        </w:rPr>
      </w:pPr>
      <w:r w:rsidRPr="00647DC0">
        <w:rPr>
          <w:rFonts w:cs="Arial"/>
          <w:sz w:val="22"/>
        </w:rPr>
        <w:t>Zhao, Y. and Ke, Y. (2023) Reframing identity: how cultural marketing strategies can overcome symbolic barriers to EV adoption among truck owners, Journal of Marketing Research, 60(5), pp. 912–931.</w:t>
      </w:r>
    </w:p>
    <w:p w14:paraId="7B646335" w14:textId="77777777" w:rsidR="0013624C" w:rsidRPr="00647DC0" w:rsidRDefault="0013624C" w:rsidP="004C0959">
      <w:pPr>
        <w:spacing w:before="0" w:after="160" w:line="360" w:lineRule="auto"/>
        <w:ind w:firstLine="0"/>
        <w:contextualSpacing w:val="0"/>
        <w:jc w:val="left"/>
        <w:rPr>
          <w:rFonts w:cs="Arial"/>
          <w:sz w:val="22"/>
        </w:rPr>
      </w:pPr>
      <w:r w:rsidRPr="00647DC0">
        <w:rPr>
          <w:rFonts w:cs="Arial"/>
          <w:sz w:val="22"/>
        </w:rPr>
        <w:br w:type="page"/>
      </w:r>
    </w:p>
    <w:p w14:paraId="56F5D0E7" w14:textId="77777777" w:rsidR="0013624C" w:rsidRPr="00647DC0" w:rsidRDefault="0013624C" w:rsidP="004C0959">
      <w:pPr>
        <w:pStyle w:val="Heading1"/>
        <w:spacing w:line="360" w:lineRule="auto"/>
        <w:rPr>
          <w:rFonts w:cs="Arial"/>
          <w:sz w:val="22"/>
        </w:rPr>
      </w:pPr>
      <w:bookmarkStart w:id="47" w:name="_Toc235296712"/>
      <w:r w:rsidRPr="00647DC0">
        <w:rPr>
          <w:rFonts w:cs="Arial"/>
          <w:sz w:val="22"/>
        </w:rPr>
        <w:lastRenderedPageBreak/>
        <w:t>APPENDICES</w:t>
      </w:r>
      <w:bookmarkEnd w:id="47"/>
    </w:p>
    <w:p w14:paraId="3FE5E3A4" w14:textId="545FC03E" w:rsidR="0013624C" w:rsidRDefault="0013624C" w:rsidP="004C0959">
      <w:pPr>
        <w:pStyle w:val="Heading2"/>
        <w:spacing w:line="360" w:lineRule="auto"/>
        <w:rPr>
          <w:rFonts w:cs="Arial"/>
          <w:sz w:val="22"/>
        </w:rPr>
      </w:pPr>
      <w:bookmarkStart w:id="48" w:name="_Toc235296713"/>
      <w:r w:rsidRPr="00647DC0">
        <w:rPr>
          <w:rFonts w:cs="Arial"/>
          <w:sz w:val="22"/>
        </w:rPr>
        <w:t xml:space="preserve">Appendix </w:t>
      </w:r>
      <w:r w:rsidR="004B2603">
        <w:rPr>
          <w:rFonts w:cs="Arial"/>
          <w:sz w:val="22"/>
        </w:rPr>
        <w:t>A</w:t>
      </w:r>
      <w:r w:rsidRPr="00647DC0">
        <w:rPr>
          <w:rFonts w:cs="Arial"/>
          <w:sz w:val="22"/>
        </w:rPr>
        <w:t>: Thematic Analysis Matrix</w:t>
      </w:r>
      <w:bookmarkEnd w:id="48"/>
    </w:p>
    <w:tbl>
      <w:tblPr>
        <w:tblStyle w:val="TableGrid"/>
        <w:tblW w:w="0" w:type="auto"/>
        <w:tblLook w:val="04A0" w:firstRow="1" w:lastRow="0" w:firstColumn="1" w:lastColumn="0" w:noHBand="0" w:noVBand="1"/>
      </w:tblPr>
      <w:tblGrid>
        <w:gridCol w:w="1858"/>
        <w:gridCol w:w="2723"/>
        <w:gridCol w:w="3253"/>
        <w:gridCol w:w="1516"/>
      </w:tblGrid>
      <w:tr w:rsidR="00AC7B5A" w:rsidRPr="00AC7B5A" w14:paraId="553C720C" w14:textId="77777777" w:rsidTr="00AC7B5A">
        <w:tc>
          <w:tcPr>
            <w:tcW w:w="0" w:type="auto"/>
            <w:hideMark/>
          </w:tcPr>
          <w:p w14:paraId="72701195" w14:textId="77777777" w:rsidR="00AC7B5A" w:rsidRPr="00AC7B5A" w:rsidRDefault="00AC7B5A" w:rsidP="004C0959">
            <w:pPr>
              <w:ind w:firstLine="0"/>
              <w:jc w:val="left"/>
              <w:rPr>
                <w:b/>
                <w:bCs/>
              </w:rPr>
            </w:pPr>
            <w:r w:rsidRPr="00AC7B5A">
              <w:rPr>
                <w:b/>
                <w:bCs/>
              </w:rPr>
              <w:t>Theme</w:t>
            </w:r>
          </w:p>
        </w:tc>
        <w:tc>
          <w:tcPr>
            <w:tcW w:w="0" w:type="auto"/>
            <w:hideMark/>
          </w:tcPr>
          <w:p w14:paraId="505F68E7" w14:textId="77777777" w:rsidR="00AC7B5A" w:rsidRPr="00AC7B5A" w:rsidRDefault="00AC7B5A" w:rsidP="004C0959">
            <w:pPr>
              <w:ind w:firstLine="0"/>
              <w:jc w:val="left"/>
              <w:rPr>
                <w:b/>
                <w:bCs/>
              </w:rPr>
            </w:pPr>
            <w:r w:rsidRPr="00AC7B5A">
              <w:rPr>
                <w:b/>
                <w:bCs/>
              </w:rPr>
              <w:t>Evidence Reviewed (Sources)</w:t>
            </w:r>
          </w:p>
        </w:tc>
        <w:tc>
          <w:tcPr>
            <w:tcW w:w="0" w:type="auto"/>
            <w:hideMark/>
          </w:tcPr>
          <w:p w14:paraId="774855C8" w14:textId="77777777" w:rsidR="00AC7B5A" w:rsidRPr="00AC7B5A" w:rsidRDefault="00AC7B5A" w:rsidP="004C0959">
            <w:pPr>
              <w:ind w:firstLine="0"/>
              <w:jc w:val="left"/>
              <w:rPr>
                <w:b/>
                <w:bCs/>
              </w:rPr>
            </w:pPr>
            <w:r w:rsidRPr="00AC7B5A">
              <w:rPr>
                <w:b/>
                <w:bCs/>
              </w:rPr>
              <w:t>Key Finding</w:t>
            </w:r>
          </w:p>
        </w:tc>
        <w:tc>
          <w:tcPr>
            <w:tcW w:w="0" w:type="auto"/>
            <w:hideMark/>
          </w:tcPr>
          <w:p w14:paraId="2D0FE121" w14:textId="77777777" w:rsidR="00AC7B5A" w:rsidRPr="00AC7B5A" w:rsidRDefault="00AC7B5A" w:rsidP="004C0959">
            <w:pPr>
              <w:ind w:firstLine="0"/>
              <w:jc w:val="left"/>
              <w:rPr>
                <w:b/>
                <w:bCs/>
              </w:rPr>
            </w:pPr>
            <w:r w:rsidRPr="00AC7B5A">
              <w:rPr>
                <w:b/>
                <w:bCs/>
              </w:rPr>
              <w:t>Link to Research Objective</w:t>
            </w:r>
          </w:p>
        </w:tc>
      </w:tr>
      <w:tr w:rsidR="00AC7B5A" w:rsidRPr="00AC7B5A" w14:paraId="158ADDB7" w14:textId="77777777" w:rsidTr="00AC7B5A">
        <w:tc>
          <w:tcPr>
            <w:tcW w:w="0" w:type="auto"/>
            <w:hideMark/>
          </w:tcPr>
          <w:p w14:paraId="0AF02602" w14:textId="77777777" w:rsidR="00AC7B5A" w:rsidRPr="00AC7B5A" w:rsidRDefault="00AC7B5A" w:rsidP="004C0959">
            <w:pPr>
              <w:ind w:firstLine="0"/>
              <w:jc w:val="left"/>
            </w:pPr>
            <w:r w:rsidRPr="00AC7B5A">
              <w:t>Consumer attitudes towards Ford EVs</w:t>
            </w:r>
          </w:p>
        </w:tc>
        <w:tc>
          <w:tcPr>
            <w:tcW w:w="0" w:type="auto"/>
            <w:hideMark/>
          </w:tcPr>
          <w:p w14:paraId="39EEC091" w14:textId="77777777" w:rsidR="00AC7B5A" w:rsidRPr="00AC7B5A" w:rsidRDefault="00AC7B5A" w:rsidP="004C0959">
            <w:pPr>
              <w:ind w:firstLine="0"/>
              <w:jc w:val="left"/>
            </w:pPr>
            <w:r w:rsidRPr="00AC7B5A">
              <w:t>Ford Motor Company (2025c); J.D. Power (2025); Cox Automotive (2023); Bansal et al. (2021)</w:t>
            </w:r>
          </w:p>
        </w:tc>
        <w:tc>
          <w:tcPr>
            <w:tcW w:w="0" w:type="auto"/>
            <w:hideMark/>
          </w:tcPr>
          <w:p w14:paraId="175E4A1A" w14:textId="77777777" w:rsidR="00AC7B5A" w:rsidRPr="00AC7B5A" w:rsidRDefault="00AC7B5A" w:rsidP="004C0959">
            <w:pPr>
              <w:ind w:firstLine="0"/>
              <w:jc w:val="left"/>
            </w:pPr>
            <w:r w:rsidRPr="00AC7B5A">
              <w:t>Ford benefits from brand trust, but consumers remain cautious due to affordability, charging access, range anxiety and uncertainty about EV ownership.</w:t>
            </w:r>
          </w:p>
        </w:tc>
        <w:tc>
          <w:tcPr>
            <w:tcW w:w="0" w:type="auto"/>
            <w:hideMark/>
          </w:tcPr>
          <w:p w14:paraId="174D8F9B" w14:textId="77777777" w:rsidR="00AC7B5A" w:rsidRPr="00AC7B5A" w:rsidRDefault="00AC7B5A" w:rsidP="004C0959">
            <w:pPr>
              <w:ind w:firstLine="0"/>
              <w:jc w:val="left"/>
            </w:pPr>
            <w:r w:rsidRPr="00AC7B5A">
              <w:t>Objective 1</w:t>
            </w:r>
          </w:p>
        </w:tc>
      </w:tr>
      <w:tr w:rsidR="00AC7B5A" w:rsidRPr="00AC7B5A" w14:paraId="053EF414" w14:textId="77777777" w:rsidTr="00AC7B5A">
        <w:tc>
          <w:tcPr>
            <w:tcW w:w="0" w:type="auto"/>
            <w:hideMark/>
          </w:tcPr>
          <w:p w14:paraId="0B6875FF" w14:textId="77777777" w:rsidR="00AC7B5A" w:rsidRPr="00AC7B5A" w:rsidRDefault="00AC7B5A" w:rsidP="004C0959">
            <w:pPr>
              <w:ind w:firstLine="0"/>
              <w:jc w:val="left"/>
            </w:pPr>
            <w:r w:rsidRPr="00AC7B5A">
              <w:t>Affordability and willingness to pay</w:t>
            </w:r>
          </w:p>
        </w:tc>
        <w:tc>
          <w:tcPr>
            <w:tcW w:w="0" w:type="auto"/>
            <w:hideMark/>
          </w:tcPr>
          <w:p w14:paraId="41837A2C" w14:textId="77777777" w:rsidR="00AC7B5A" w:rsidRPr="00AC7B5A" w:rsidRDefault="00AC7B5A" w:rsidP="004C0959">
            <w:pPr>
              <w:ind w:firstLine="0"/>
              <w:jc w:val="left"/>
            </w:pPr>
            <w:r w:rsidRPr="00AC7B5A">
              <w:t>Bansal et al. (2021); Li et al. (2022); J.D. Power (2024)</w:t>
            </w:r>
          </w:p>
        </w:tc>
        <w:tc>
          <w:tcPr>
            <w:tcW w:w="0" w:type="auto"/>
            <w:hideMark/>
          </w:tcPr>
          <w:p w14:paraId="6BF2CF36" w14:textId="77777777" w:rsidR="00AC7B5A" w:rsidRPr="00AC7B5A" w:rsidRDefault="00AC7B5A" w:rsidP="004C0959">
            <w:pPr>
              <w:ind w:firstLine="0"/>
              <w:jc w:val="left"/>
            </w:pPr>
            <w:r w:rsidRPr="00AC7B5A">
              <w:t>High upfront cost remains a major barrier, particularly for mainstream Ford customers and truck buyers.</w:t>
            </w:r>
          </w:p>
        </w:tc>
        <w:tc>
          <w:tcPr>
            <w:tcW w:w="0" w:type="auto"/>
            <w:hideMark/>
          </w:tcPr>
          <w:p w14:paraId="5D0433AA" w14:textId="77777777" w:rsidR="00AC7B5A" w:rsidRPr="00AC7B5A" w:rsidRDefault="00AC7B5A" w:rsidP="004C0959">
            <w:pPr>
              <w:ind w:firstLine="0"/>
              <w:jc w:val="left"/>
            </w:pPr>
            <w:r w:rsidRPr="00AC7B5A">
              <w:t>Objective 1</w:t>
            </w:r>
          </w:p>
        </w:tc>
      </w:tr>
      <w:tr w:rsidR="00AC7B5A" w:rsidRPr="00AC7B5A" w14:paraId="75E38CD6" w14:textId="77777777" w:rsidTr="00AC7B5A">
        <w:tc>
          <w:tcPr>
            <w:tcW w:w="0" w:type="auto"/>
            <w:hideMark/>
          </w:tcPr>
          <w:p w14:paraId="5B264548" w14:textId="77777777" w:rsidR="00AC7B5A" w:rsidRPr="00AC7B5A" w:rsidRDefault="00AC7B5A" w:rsidP="004C0959">
            <w:pPr>
              <w:ind w:firstLine="0"/>
              <w:jc w:val="left"/>
            </w:pPr>
            <w:r w:rsidRPr="00AC7B5A">
              <w:t>Charging anxiety and infrastructure</w:t>
            </w:r>
          </w:p>
        </w:tc>
        <w:tc>
          <w:tcPr>
            <w:tcW w:w="0" w:type="auto"/>
            <w:hideMark/>
          </w:tcPr>
          <w:p w14:paraId="663CC6D4" w14:textId="77777777" w:rsidR="00AC7B5A" w:rsidRPr="00AC7B5A" w:rsidRDefault="00AC7B5A" w:rsidP="004C0959">
            <w:pPr>
              <w:ind w:firstLine="0"/>
              <w:jc w:val="left"/>
            </w:pPr>
            <w:r w:rsidRPr="00AC7B5A">
              <w:t>Ford Motor Company (2025b); IEA (2025); AFDC (2025); Reuters (2025c); Chen et al. (2025)</w:t>
            </w:r>
          </w:p>
        </w:tc>
        <w:tc>
          <w:tcPr>
            <w:tcW w:w="0" w:type="auto"/>
            <w:hideMark/>
          </w:tcPr>
          <w:p w14:paraId="44A48D87" w14:textId="77777777" w:rsidR="00AC7B5A" w:rsidRPr="00AC7B5A" w:rsidRDefault="00AC7B5A" w:rsidP="004C0959">
            <w:pPr>
              <w:ind w:firstLine="0"/>
              <w:jc w:val="left"/>
            </w:pPr>
            <w:r w:rsidRPr="00AC7B5A">
              <w:t>Charging confidence is central to EV adoption, and Ford must treat charging support as part of the overall customer value proposition.</w:t>
            </w:r>
          </w:p>
        </w:tc>
        <w:tc>
          <w:tcPr>
            <w:tcW w:w="0" w:type="auto"/>
            <w:hideMark/>
          </w:tcPr>
          <w:p w14:paraId="77D65E10" w14:textId="77777777" w:rsidR="00AC7B5A" w:rsidRPr="00AC7B5A" w:rsidRDefault="00AC7B5A" w:rsidP="004C0959">
            <w:pPr>
              <w:ind w:firstLine="0"/>
              <w:jc w:val="left"/>
            </w:pPr>
            <w:r w:rsidRPr="00AC7B5A">
              <w:t>Objectives 1 and 3</w:t>
            </w:r>
          </w:p>
        </w:tc>
      </w:tr>
      <w:tr w:rsidR="00AC7B5A" w:rsidRPr="00AC7B5A" w14:paraId="7782639E" w14:textId="77777777" w:rsidTr="00AC7B5A">
        <w:tc>
          <w:tcPr>
            <w:tcW w:w="0" w:type="auto"/>
            <w:hideMark/>
          </w:tcPr>
          <w:p w14:paraId="359EE5DA" w14:textId="77777777" w:rsidR="00AC7B5A" w:rsidRPr="00AC7B5A" w:rsidRDefault="00AC7B5A" w:rsidP="004C0959">
            <w:pPr>
              <w:ind w:firstLine="0"/>
              <w:jc w:val="left"/>
            </w:pPr>
            <w:r w:rsidRPr="00AC7B5A">
              <w:lastRenderedPageBreak/>
              <w:t>Brand identity and EV acceptance</w:t>
            </w:r>
          </w:p>
        </w:tc>
        <w:tc>
          <w:tcPr>
            <w:tcW w:w="0" w:type="auto"/>
            <w:hideMark/>
          </w:tcPr>
          <w:p w14:paraId="2BE4BCA1" w14:textId="77777777" w:rsidR="00AC7B5A" w:rsidRPr="007D67EA" w:rsidRDefault="00AC7B5A" w:rsidP="004C0959">
            <w:pPr>
              <w:ind w:firstLine="0"/>
              <w:jc w:val="left"/>
              <w:rPr>
                <w:lang w:val="nl-NL"/>
              </w:rPr>
            </w:pPr>
            <w:r w:rsidRPr="007D67EA">
              <w:rPr>
                <w:lang w:val="nl-NL"/>
              </w:rPr>
              <w:t>Li et al. (2022); Jiang et al. (2025); Plananska and Gamma (2022)</w:t>
            </w:r>
          </w:p>
        </w:tc>
        <w:tc>
          <w:tcPr>
            <w:tcW w:w="0" w:type="auto"/>
            <w:hideMark/>
          </w:tcPr>
          <w:p w14:paraId="01253D91" w14:textId="77777777" w:rsidR="00AC7B5A" w:rsidRPr="00AC7B5A" w:rsidRDefault="00AC7B5A" w:rsidP="004C0959">
            <w:pPr>
              <w:ind w:firstLine="0"/>
              <w:jc w:val="left"/>
            </w:pPr>
            <w:r w:rsidRPr="00AC7B5A">
              <w:t>Ford faces a significant challenge in convincing traditional truck buyers that EVs can maintain the values of strength, durability and practicality.</w:t>
            </w:r>
          </w:p>
        </w:tc>
        <w:tc>
          <w:tcPr>
            <w:tcW w:w="0" w:type="auto"/>
            <w:hideMark/>
          </w:tcPr>
          <w:p w14:paraId="0CB78552" w14:textId="77777777" w:rsidR="00AC7B5A" w:rsidRPr="00AC7B5A" w:rsidRDefault="00AC7B5A" w:rsidP="004C0959">
            <w:pPr>
              <w:ind w:firstLine="0"/>
              <w:jc w:val="left"/>
            </w:pPr>
            <w:r w:rsidRPr="00AC7B5A">
              <w:t>Objective 1</w:t>
            </w:r>
          </w:p>
        </w:tc>
      </w:tr>
      <w:tr w:rsidR="00AC7B5A" w:rsidRPr="00AC7B5A" w14:paraId="00EC71D1" w14:textId="77777777" w:rsidTr="00AC7B5A">
        <w:tc>
          <w:tcPr>
            <w:tcW w:w="0" w:type="auto"/>
            <w:hideMark/>
          </w:tcPr>
          <w:p w14:paraId="60349F04" w14:textId="77777777" w:rsidR="00AC7B5A" w:rsidRPr="00AC7B5A" w:rsidRDefault="00AC7B5A" w:rsidP="004C0959">
            <w:pPr>
              <w:ind w:firstLine="0"/>
              <w:jc w:val="left"/>
            </w:pPr>
            <w:r w:rsidRPr="00AC7B5A">
              <w:t>Tesla's competitive model</w:t>
            </w:r>
          </w:p>
        </w:tc>
        <w:tc>
          <w:tcPr>
            <w:tcW w:w="0" w:type="auto"/>
            <w:hideMark/>
          </w:tcPr>
          <w:p w14:paraId="5DC5535D" w14:textId="77777777" w:rsidR="00AC7B5A" w:rsidRPr="00AC7B5A" w:rsidRDefault="00AC7B5A" w:rsidP="004C0959">
            <w:pPr>
              <w:ind w:firstLine="0"/>
              <w:jc w:val="left"/>
            </w:pPr>
            <w:r w:rsidRPr="007D67EA">
              <w:rPr>
                <w:lang w:val="fr-FR"/>
              </w:rPr>
              <w:t xml:space="preserve">Tesla (2025); Awirotananon et al. (2023); Jacobides et al. </w:t>
            </w:r>
            <w:r w:rsidRPr="00AC7B5A">
              <w:t>(2022)</w:t>
            </w:r>
          </w:p>
        </w:tc>
        <w:tc>
          <w:tcPr>
            <w:tcW w:w="0" w:type="auto"/>
            <w:hideMark/>
          </w:tcPr>
          <w:p w14:paraId="761BFABD" w14:textId="77777777" w:rsidR="00AC7B5A" w:rsidRPr="00AC7B5A" w:rsidRDefault="00AC7B5A" w:rsidP="004C0959">
            <w:pPr>
              <w:ind w:firstLine="0"/>
              <w:jc w:val="left"/>
            </w:pPr>
            <w:r w:rsidRPr="00AC7B5A">
              <w:t>Tesla's competitive advantage is driven by ecosystem control, software capability, charging infrastructure and strong EV brand identity.</w:t>
            </w:r>
          </w:p>
        </w:tc>
        <w:tc>
          <w:tcPr>
            <w:tcW w:w="0" w:type="auto"/>
            <w:hideMark/>
          </w:tcPr>
          <w:p w14:paraId="2A6F0A57" w14:textId="77777777" w:rsidR="00AC7B5A" w:rsidRPr="00AC7B5A" w:rsidRDefault="00AC7B5A" w:rsidP="004C0959">
            <w:pPr>
              <w:ind w:firstLine="0"/>
              <w:jc w:val="left"/>
            </w:pPr>
            <w:r w:rsidRPr="00AC7B5A">
              <w:t>Objective 2</w:t>
            </w:r>
          </w:p>
        </w:tc>
      </w:tr>
      <w:tr w:rsidR="00AC7B5A" w:rsidRPr="00AC7B5A" w14:paraId="165F3C47" w14:textId="77777777" w:rsidTr="00AC7B5A">
        <w:tc>
          <w:tcPr>
            <w:tcW w:w="0" w:type="auto"/>
            <w:hideMark/>
          </w:tcPr>
          <w:p w14:paraId="09D719F9" w14:textId="77777777" w:rsidR="00AC7B5A" w:rsidRPr="00AC7B5A" w:rsidRDefault="00AC7B5A" w:rsidP="004C0959">
            <w:pPr>
              <w:ind w:firstLine="0"/>
              <w:jc w:val="left"/>
            </w:pPr>
            <w:r w:rsidRPr="00AC7B5A">
              <w:t>GM's EV strategy</w:t>
            </w:r>
          </w:p>
        </w:tc>
        <w:tc>
          <w:tcPr>
            <w:tcW w:w="0" w:type="auto"/>
            <w:hideMark/>
          </w:tcPr>
          <w:p w14:paraId="1C0C1E08" w14:textId="77777777" w:rsidR="00AC7B5A" w:rsidRPr="00AC7B5A" w:rsidRDefault="00AC7B5A" w:rsidP="004C0959">
            <w:pPr>
              <w:ind w:firstLine="0"/>
              <w:jc w:val="left"/>
            </w:pPr>
            <w:r w:rsidRPr="007D67EA">
              <w:rPr>
                <w:lang w:val="fr-FR"/>
              </w:rPr>
              <w:t xml:space="preserve">Reuters (2025b); Hamoumi et al. </w:t>
            </w:r>
            <w:r w:rsidRPr="00AC7B5A">
              <w:t>(2023); Ford Motor Company (2025b)</w:t>
            </w:r>
          </w:p>
        </w:tc>
        <w:tc>
          <w:tcPr>
            <w:tcW w:w="0" w:type="auto"/>
            <w:hideMark/>
          </w:tcPr>
          <w:p w14:paraId="17E8DD35" w14:textId="77777777" w:rsidR="00AC7B5A" w:rsidRPr="00AC7B5A" w:rsidRDefault="00AC7B5A" w:rsidP="004C0959">
            <w:pPr>
              <w:ind w:firstLine="0"/>
              <w:jc w:val="left"/>
            </w:pPr>
            <w:r w:rsidRPr="00AC7B5A">
              <w:t>GM demonstrates the importance of portfolio diversification while highlighting the need to balance EV growth with profitability.</w:t>
            </w:r>
          </w:p>
        </w:tc>
        <w:tc>
          <w:tcPr>
            <w:tcW w:w="0" w:type="auto"/>
            <w:hideMark/>
          </w:tcPr>
          <w:p w14:paraId="5B7AF03D" w14:textId="77777777" w:rsidR="00AC7B5A" w:rsidRPr="00AC7B5A" w:rsidRDefault="00AC7B5A" w:rsidP="004C0959">
            <w:pPr>
              <w:ind w:firstLine="0"/>
              <w:jc w:val="left"/>
            </w:pPr>
            <w:r w:rsidRPr="00AC7B5A">
              <w:t>Objective 2</w:t>
            </w:r>
          </w:p>
        </w:tc>
      </w:tr>
      <w:tr w:rsidR="00AC7B5A" w:rsidRPr="00AC7B5A" w14:paraId="1A09E900" w14:textId="77777777" w:rsidTr="00AC7B5A">
        <w:tc>
          <w:tcPr>
            <w:tcW w:w="0" w:type="auto"/>
            <w:hideMark/>
          </w:tcPr>
          <w:p w14:paraId="5E981EFF" w14:textId="77777777" w:rsidR="00AC7B5A" w:rsidRPr="00AC7B5A" w:rsidRDefault="00AC7B5A" w:rsidP="004C0959">
            <w:pPr>
              <w:ind w:firstLine="0"/>
              <w:jc w:val="left"/>
            </w:pPr>
            <w:r w:rsidRPr="00AC7B5A">
              <w:t>BYD and cost competition</w:t>
            </w:r>
          </w:p>
        </w:tc>
        <w:tc>
          <w:tcPr>
            <w:tcW w:w="0" w:type="auto"/>
            <w:hideMark/>
          </w:tcPr>
          <w:p w14:paraId="0CEA071D" w14:textId="77777777" w:rsidR="00AC7B5A" w:rsidRPr="007D67EA" w:rsidRDefault="00AC7B5A" w:rsidP="004C0959">
            <w:pPr>
              <w:ind w:firstLine="0"/>
              <w:jc w:val="left"/>
              <w:rPr>
                <w:lang w:val="fr-FR"/>
              </w:rPr>
            </w:pPr>
            <w:r w:rsidRPr="007D67EA">
              <w:rPr>
                <w:lang w:val="fr-FR"/>
              </w:rPr>
              <w:t>BYD (2025); Haque et al. (2024); Teece (2025)</w:t>
            </w:r>
          </w:p>
        </w:tc>
        <w:tc>
          <w:tcPr>
            <w:tcW w:w="0" w:type="auto"/>
            <w:hideMark/>
          </w:tcPr>
          <w:p w14:paraId="091F9B49" w14:textId="77777777" w:rsidR="00AC7B5A" w:rsidRPr="00AC7B5A" w:rsidRDefault="00AC7B5A" w:rsidP="004C0959">
            <w:pPr>
              <w:ind w:firstLine="0"/>
              <w:jc w:val="left"/>
            </w:pPr>
            <w:r w:rsidRPr="00AC7B5A">
              <w:t>BYD illustrates the competitive value of battery integration, manufacturing scale and cost-efficient EV production.</w:t>
            </w:r>
          </w:p>
        </w:tc>
        <w:tc>
          <w:tcPr>
            <w:tcW w:w="0" w:type="auto"/>
            <w:hideMark/>
          </w:tcPr>
          <w:p w14:paraId="1C94F865" w14:textId="77777777" w:rsidR="00AC7B5A" w:rsidRPr="00AC7B5A" w:rsidRDefault="00AC7B5A" w:rsidP="004C0959">
            <w:pPr>
              <w:ind w:firstLine="0"/>
              <w:jc w:val="left"/>
            </w:pPr>
            <w:r w:rsidRPr="00AC7B5A">
              <w:t>Objective 2</w:t>
            </w:r>
          </w:p>
        </w:tc>
      </w:tr>
      <w:tr w:rsidR="00AC7B5A" w:rsidRPr="00AC7B5A" w14:paraId="0C21DE25" w14:textId="77777777" w:rsidTr="00AC7B5A">
        <w:tc>
          <w:tcPr>
            <w:tcW w:w="0" w:type="auto"/>
            <w:hideMark/>
          </w:tcPr>
          <w:p w14:paraId="093C6238" w14:textId="77777777" w:rsidR="00AC7B5A" w:rsidRPr="00AC7B5A" w:rsidRDefault="00AC7B5A" w:rsidP="004C0959">
            <w:pPr>
              <w:ind w:firstLine="0"/>
              <w:jc w:val="left"/>
            </w:pPr>
            <w:r w:rsidRPr="00AC7B5A">
              <w:lastRenderedPageBreak/>
              <w:t>Toyota and hybrid strategy</w:t>
            </w:r>
          </w:p>
        </w:tc>
        <w:tc>
          <w:tcPr>
            <w:tcW w:w="0" w:type="auto"/>
            <w:hideMark/>
          </w:tcPr>
          <w:p w14:paraId="6C90C12D" w14:textId="77777777" w:rsidR="00AC7B5A" w:rsidRPr="00AC7B5A" w:rsidRDefault="00AC7B5A" w:rsidP="004C0959">
            <w:pPr>
              <w:ind w:firstLine="0"/>
              <w:jc w:val="left"/>
            </w:pPr>
            <w:r w:rsidRPr="00AC7B5A">
              <w:t>Business Insider (2024); Bari, Debnath and Limon (2023); Ford Motor Company (2025c)</w:t>
            </w:r>
          </w:p>
        </w:tc>
        <w:tc>
          <w:tcPr>
            <w:tcW w:w="0" w:type="auto"/>
            <w:hideMark/>
          </w:tcPr>
          <w:p w14:paraId="084FDC74" w14:textId="77777777" w:rsidR="00AC7B5A" w:rsidRPr="00AC7B5A" w:rsidRDefault="00AC7B5A" w:rsidP="004C0959">
            <w:pPr>
              <w:ind w:firstLine="0"/>
              <w:jc w:val="left"/>
            </w:pPr>
            <w:r w:rsidRPr="00AC7B5A">
              <w:t>Hybrid vehicles remain strategically important because many consumers prefer gradual electrification before adopting fully electric vehicles.</w:t>
            </w:r>
          </w:p>
        </w:tc>
        <w:tc>
          <w:tcPr>
            <w:tcW w:w="0" w:type="auto"/>
            <w:hideMark/>
          </w:tcPr>
          <w:p w14:paraId="7AC9006A" w14:textId="77777777" w:rsidR="00AC7B5A" w:rsidRPr="00AC7B5A" w:rsidRDefault="00AC7B5A" w:rsidP="004C0959">
            <w:pPr>
              <w:ind w:firstLine="0"/>
              <w:jc w:val="left"/>
            </w:pPr>
            <w:r w:rsidRPr="00AC7B5A">
              <w:t>Objective 2</w:t>
            </w:r>
          </w:p>
        </w:tc>
      </w:tr>
      <w:tr w:rsidR="00AC7B5A" w:rsidRPr="00AC7B5A" w14:paraId="15D03CF2" w14:textId="77777777" w:rsidTr="00AC7B5A">
        <w:tc>
          <w:tcPr>
            <w:tcW w:w="0" w:type="auto"/>
            <w:hideMark/>
          </w:tcPr>
          <w:p w14:paraId="0A53D9D5" w14:textId="77777777" w:rsidR="00AC7B5A" w:rsidRPr="00AC7B5A" w:rsidRDefault="00AC7B5A" w:rsidP="004C0959">
            <w:pPr>
              <w:ind w:firstLine="0"/>
              <w:jc w:val="left"/>
            </w:pPr>
            <w:r w:rsidRPr="00AC7B5A">
              <w:t>Government incentives</w:t>
            </w:r>
          </w:p>
        </w:tc>
        <w:tc>
          <w:tcPr>
            <w:tcW w:w="0" w:type="auto"/>
            <w:hideMark/>
          </w:tcPr>
          <w:p w14:paraId="4DD8702F" w14:textId="77777777" w:rsidR="00AC7B5A" w:rsidRPr="00AC7B5A" w:rsidRDefault="00AC7B5A" w:rsidP="004C0959">
            <w:pPr>
              <w:ind w:firstLine="0"/>
              <w:jc w:val="left"/>
            </w:pPr>
            <w:r w:rsidRPr="00AC7B5A">
              <w:t>IRS (2025); Department of Energy (2025); Khan and Pervin (2024)</w:t>
            </w:r>
          </w:p>
        </w:tc>
        <w:tc>
          <w:tcPr>
            <w:tcW w:w="0" w:type="auto"/>
            <w:hideMark/>
          </w:tcPr>
          <w:p w14:paraId="03549092" w14:textId="77777777" w:rsidR="00AC7B5A" w:rsidRPr="00AC7B5A" w:rsidRDefault="00AC7B5A" w:rsidP="004C0959">
            <w:pPr>
              <w:ind w:firstLine="0"/>
              <w:jc w:val="left"/>
            </w:pPr>
            <w:r w:rsidRPr="00AC7B5A">
              <w:t>Government incentives encourage EV adoption but also introduce compliance requirements relating to battery sourcing and vehicle assembly.</w:t>
            </w:r>
          </w:p>
        </w:tc>
        <w:tc>
          <w:tcPr>
            <w:tcW w:w="0" w:type="auto"/>
            <w:hideMark/>
          </w:tcPr>
          <w:p w14:paraId="5E3AEE2E" w14:textId="77777777" w:rsidR="00AC7B5A" w:rsidRPr="00AC7B5A" w:rsidRDefault="00AC7B5A" w:rsidP="004C0959">
            <w:pPr>
              <w:ind w:firstLine="0"/>
              <w:jc w:val="left"/>
            </w:pPr>
            <w:r w:rsidRPr="00AC7B5A">
              <w:t>Objective 3</w:t>
            </w:r>
          </w:p>
        </w:tc>
      </w:tr>
      <w:tr w:rsidR="00AC7B5A" w:rsidRPr="00AC7B5A" w14:paraId="1A29B358" w14:textId="77777777" w:rsidTr="00AC7B5A">
        <w:tc>
          <w:tcPr>
            <w:tcW w:w="0" w:type="auto"/>
            <w:hideMark/>
          </w:tcPr>
          <w:p w14:paraId="70BEDF69" w14:textId="77777777" w:rsidR="00AC7B5A" w:rsidRPr="00AC7B5A" w:rsidRDefault="00AC7B5A" w:rsidP="004C0959">
            <w:pPr>
              <w:ind w:firstLine="0"/>
              <w:jc w:val="left"/>
            </w:pPr>
            <w:r w:rsidRPr="00AC7B5A">
              <w:t>Emissions regulation</w:t>
            </w:r>
          </w:p>
        </w:tc>
        <w:tc>
          <w:tcPr>
            <w:tcW w:w="0" w:type="auto"/>
            <w:hideMark/>
          </w:tcPr>
          <w:p w14:paraId="658DB4A1" w14:textId="77777777" w:rsidR="00AC7B5A" w:rsidRPr="00AC7B5A" w:rsidRDefault="00AC7B5A" w:rsidP="004C0959">
            <w:pPr>
              <w:ind w:firstLine="0"/>
              <w:jc w:val="left"/>
            </w:pPr>
            <w:r w:rsidRPr="00AC7B5A">
              <w:t>EPA (2024); ICCT (2024); Cazzola (2025)</w:t>
            </w:r>
          </w:p>
        </w:tc>
        <w:tc>
          <w:tcPr>
            <w:tcW w:w="0" w:type="auto"/>
            <w:hideMark/>
          </w:tcPr>
          <w:p w14:paraId="08577D80" w14:textId="77777777" w:rsidR="00AC7B5A" w:rsidRPr="00AC7B5A" w:rsidRDefault="00AC7B5A" w:rsidP="004C0959">
            <w:pPr>
              <w:ind w:firstLine="0"/>
              <w:jc w:val="left"/>
            </w:pPr>
            <w:r w:rsidRPr="00AC7B5A">
              <w:t>Emissions regulations encourage lower-emission vehicles while allowing manufacturers to adopt a mixed strategy involving EVs, hybrids and efficiency improvements.</w:t>
            </w:r>
          </w:p>
        </w:tc>
        <w:tc>
          <w:tcPr>
            <w:tcW w:w="0" w:type="auto"/>
            <w:hideMark/>
          </w:tcPr>
          <w:p w14:paraId="1F765864" w14:textId="77777777" w:rsidR="00AC7B5A" w:rsidRPr="00AC7B5A" w:rsidRDefault="00AC7B5A" w:rsidP="004C0959">
            <w:pPr>
              <w:ind w:firstLine="0"/>
              <w:jc w:val="left"/>
            </w:pPr>
            <w:r w:rsidRPr="00AC7B5A">
              <w:t>Objective 3</w:t>
            </w:r>
          </w:p>
        </w:tc>
      </w:tr>
      <w:tr w:rsidR="00AC7B5A" w:rsidRPr="00AC7B5A" w14:paraId="16AFD64F" w14:textId="77777777" w:rsidTr="00AC7B5A">
        <w:tc>
          <w:tcPr>
            <w:tcW w:w="0" w:type="auto"/>
            <w:hideMark/>
          </w:tcPr>
          <w:p w14:paraId="4CD20797" w14:textId="77777777" w:rsidR="00AC7B5A" w:rsidRPr="00AC7B5A" w:rsidRDefault="00AC7B5A" w:rsidP="004C0959">
            <w:pPr>
              <w:ind w:firstLine="0"/>
              <w:jc w:val="left"/>
            </w:pPr>
            <w:r w:rsidRPr="00AC7B5A">
              <w:t>Battery supply-chain resilience</w:t>
            </w:r>
          </w:p>
        </w:tc>
        <w:tc>
          <w:tcPr>
            <w:tcW w:w="0" w:type="auto"/>
            <w:hideMark/>
          </w:tcPr>
          <w:p w14:paraId="307A16C8" w14:textId="77777777" w:rsidR="00AC7B5A" w:rsidRPr="00AC7B5A" w:rsidRDefault="00AC7B5A" w:rsidP="004C0959">
            <w:pPr>
              <w:ind w:firstLine="0"/>
              <w:jc w:val="left"/>
            </w:pPr>
            <w:r w:rsidRPr="00AC7B5A">
              <w:t>Federal Register (2024); Levinson (2024); Warrick and Mulally (2024)</w:t>
            </w:r>
          </w:p>
        </w:tc>
        <w:tc>
          <w:tcPr>
            <w:tcW w:w="0" w:type="auto"/>
            <w:hideMark/>
          </w:tcPr>
          <w:p w14:paraId="56C8B1D9" w14:textId="77777777" w:rsidR="00AC7B5A" w:rsidRPr="00AC7B5A" w:rsidRDefault="00AC7B5A" w:rsidP="004C0959">
            <w:pPr>
              <w:ind w:firstLine="0"/>
              <w:jc w:val="left"/>
            </w:pPr>
            <w:r w:rsidRPr="00AC7B5A">
              <w:t xml:space="preserve">Ford must strengthen battery localisation and supply-chain resilience to reduce costs, meet policy </w:t>
            </w:r>
            <w:r w:rsidRPr="00AC7B5A">
              <w:lastRenderedPageBreak/>
              <w:t>requirements and remain competitive.</w:t>
            </w:r>
          </w:p>
        </w:tc>
        <w:tc>
          <w:tcPr>
            <w:tcW w:w="0" w:type="auto"/>
            <w:hideMark/>
          </w:tcPr>
          <w:p w14:paraId="6C5BBEB3" w14:textId="77777777" w:rsidR="00AC7B5A" w:rsidRPr="00AC7B5A" w:rsidRDefault="00AC7B5A" w:rsidP="004C0959">
            <w:pPr>
              <w:ind w:firstLine="0"/>
              <w:jc w:val="left"/>
            </w:pPr>
            <w:r w:rsidRPr="00AC7B5A">
              <w:lastRenderedPageBreak/>
              <w:t>Objectives 2 and 3</w:t>
            </w:r>
          </w:p>
        </w:tc>
      </w:tr>
      <w:tr w:rsidR="00AC7B5A" w:rsidRPr="00AC7B5A" w14:paraId="77C20734" w14:textId="77777777" w:rsidTr="00AC7B5A">
        <w:tc>
          <w:tcPr>
            <w:tcW w:w="0" w:type="auto"/>
            <w:hideMark/>
          </w:tcPr>
          <w:p w14:paraId="72BD6325" w14:textId="77777777" w:rsidR="00AC7B5A" w:rsidRPr="00AC7B5A" w:rsidRDefault="00AC7B5A" w:rsidP="004C0959">
            <w:pPr>
              <w:ind w:firstLine="0"/>
              <w:jc w:val="left"/>
            </w:pPr>
            <w:r w:rsidRPr="00AC7B5A">
              <w:t>Strategic management implications</w:t>
            </w:r>
          </w:p>
        </w:tc>
        <w:tc>
          <w:tcPr>
            <w:tcW w:w="0" w:type="auto"/>
            <w:hideMark/>
          </w:tcPr>
          <w:p w14:paraId="66918976" w14:textId="77777777" w:rsidR="00AC7B5A" w:rsidRPr="00AC7B5A" w:rsidRDefault="00AC7B5A" w:rsidP="004C0959">
            <w:pPr>
              <w:ind w:firstLine="0"/>
              <w:jc w:val="left"/>
            </w:pPr>
            <w:r w:rsidRPr="00AC7B5A">
              <w:t>Ford Motor Company (2025a); Ford Motor Company (2025b); Limon et al. (2023); Shanmugavel and Balakrishnan (2023)</w:t>
            </w:r>
          </w:p>
        </w:tc>
        <w:tc>
          <w:tcPr>
            <w:tcW w:w="0" w:type="auto"/>
            <w:hideMark/>
          </w:tcPr>
          <w:p w14:paraId="785359FE" w14:textId="77777777" w:rsidR="00AC7B5A" w:rsidRPr="00AC7B5A" w:rsidRDefault="00AC7B5A" w:rsidP="004C0959">
            <w:pPr>
              <w:ind w:firstLine="0"/>
              <w:jc w:val="left"/>
            </w:pPr>
            <w:r w:rsidRPr="00AC7B5A">
              <w:t>Ford requires a phased electrification strategy centred on affordable EVs, hybrid expansion, Ford Pro, charging support and battery localisation.</w:t>
            </w:r>
          </w:p>
        </w:tc>
        <w:tc>
          <w:tcPr>
            <w:tcW w:w="0" w:type="auto"/>
            <w:hideMark/>
          </w:tcPr>
          <w:p w14:paraId="30B05538" w14:textId="77777777" w:rsidR="00AC7B5A" w:rsidRPr="00AC7B5A" w:rsidRDefault="00AC7B5A" w:rsidP="004C0959">
            <w:pPr>
              <w:ind w:firstLine="0"/>
              <w:jc w:val="left"/>
            </w:pPr>
            <w:r w:rsidRPr="00AC7B5A">
              <w:t>All objectives</w:t>
            </w:r>
          </w:p>
        </w:tc>
      </w:tr>
    </w:tbl>
    <w:p w14:paraId="79E9A029" w14:textId="6D9C1C3C" w:rsidR="0013624C" w:rsidRDefault="0013624C" w:rsidP="004C0959">
      <w:pPr>
        <w:pStyle w:val="Heading2"/>
        <w:spacing w:line="360" w:lineRule="auto"/>
        <w:rPr>
          <w:rFonts w:cs="Arial"/>
          <w:sz w:val="22"/>
        </w:rPr>
      </w:pPr>
      <w:bookmarkStart w:id="49" w:name="_Toc235296714"/>
      <w:r w:rsidRPr="00647DC0">
        <w:rPr>
          <w:rFonts w:cs="Arial"/>
          <w:sz w:val="22"/>
        </w:rPr>
        <w:t xml:space="preserve">Appendix </w:t>
      </w:r>
      <w:r w:rsidR="004B2603">
        <w:rPr>
          <w:rFonts w:cs="Arial"/>
          <w:sz w:val="22"/>
        </w:rPr>
        <w:t>B</w:t>
      </w:r>
      <w:r w:rsidRPr="00647DC0">
        <w:rPr>
          <w:rFonts w:cs="Arial"/>
          <w:sz w:val="22"/>
        </w:rPr>
        <w:t>: Summary of Key Sources Used in Chapter 4 and Chapter 5</w:t>
      </w:r>
      <w:bookmarkEnd w:id="49"/>
    </w:p>
    <w:tbl>
      <w:tblPr>
        <w:tblStyle w:val="TableGrid"/>
        <w:tblW w:w="0" w:type="auto"/>
        <w:tblLook w:val="04A0" w:firstRow="1" w:lastRow="0" w:firstColumn="1" w:lastColumn="0" w:noHBand="0" w:noVBand="1"/>
      </w:tblPr>
      <w:tblGrid>
        <w:gridCol w:w="2968"/>
        <w:gridCol w:w="1821"/>
        <w:gridCol w:w="2562"/>
        <w:gridCol w:w="1999"/>
      </w:tblGrid>
      <w:tr w:rsidR="00786DA1" w:rsidRPr="00786DA1" w14:paraId="7DA0EC5E" w14:textId="77777777" w:rsidTr="00786DA1">
        <w:tc>
          <w:tcPr>
            <w:tcW w:w="0" w:type="auto"/>
            <w:hideMark/>
          </w:tcPr>
          <w:p w14:paraId="6221AA85" w14:textId="77777777" w:rsidR="00786DA1" w:rsidRPr="00786DA1" w:rsidRDefault="00786DA1" w:rsidP="004C0959">
            <w:pPr>
              <w:ind w:firstLine="0"/>
              <w:jc w:val="left"/>
              <w:rPr>
                <w:b/>
                <w:bCs/>
              </w:rPr>
            </w:pPr>
            <w:r w:rsidRPr="00786DA1">
              <w:rPr>
                <w:b/>
                <w:bCs/>
              </w:rPr>
              <w:t>Source (In-text Citation)</w:t>
            </w:r>
          </w:p>
        </w:tc>
        <w:tc>
          <w:tcPr>
            <w:tcW w:w="0" w:type="auto"/>
            <w:hideMark/>
          </w:tcPr>
          <w:p w14:paraId="40979DA3" w14:textId="77777777" w:rsidR="00786DA1" w:rsidRPr="00786DA1" w:rsidRDefault="00786DA1" w:rsidP="004C0959">
            <w:pPr>
              <w:ind w:firstLine="0"/>
              <w:jc w:val="left"/>
              <w:rPr>
                <w:b/>
                <w:bCs/>
              </w:rPr>
            </w:pPr>
            <w:r w:rsidRPr="00786DA1">
              <w:rPr>
                <w:b/>
                <w:bCs/>
              </w:rPr>
              <w:t>Type of Source</w:t>
            </w:r>
          </w:p>
        </w:tc>
        <w:tc>
          <w:tcPr>
            <w:tcW w:w="0" w:type="auto"/>
            <w:hideMark/>
          </w:tcPr>
          <w:p w14:paraId="13875C0C" w14:textId="77777777" w:rsidR="00786DA1" w:rsidRPr="00786DA1" w:rsidRDefault="00786DA1" w:rsidP="004C0959">
            <w:pPr>
              <w:ind w:firstLine="0"/>
              <w:jc w:val="left"/>
              <w:rPr>
                <w:b/>
                <w:bCs/>
              </w:rPr>
            </w:pPr>
            <w:r w:rsidRPr="00786DA1">
              <w:rPr>
                <w:b/>
                <w:bCs/>
              </w:rPr>
              <w:t>Purpose in Dissertation</w:t>
            </w:r>
          </w:p>
        </w:tc>
        <w:tc>
          <w:tcPr>
            <w:tcW w:w="0" w:type="auto"/>
            <w:hideMark/>
          </w:tcPr>
          <w:p w14:paraId="4AE2E611" w14:textId="77777777" w:rsidR="00786DA1" w:rsidRPr="00786DA1" w:rsidRDefault="00786DA1" w:rsidP="004C0959">
            <w:pPr>
              <w:ind w:firstLine="0"/>
              <w:jc w:val="left"/>
              <w:rPr>
                <w:b/>
                <w:bCs/>
              </w:rPr>
            </w:pPr>
            <w:r w:rsidRPr="00786DA1">
              <w:rPr>
                <w:b/>
                <w:bCs/>
              </w:rPr>
              <w:t>Related Theme</w:t>
            </w:r>
          </w:p>
        </w:tc>
      </w:tr>
      <w:tr w:rsidR="00786DA1" w:rsidRPr="00786DA1" w14:paraId="648A32A0" w14:textId="77777777" w:rsidTr="00786DA1">
        <w:tc>
          <w:tcPr>
            <w:tcW w:w="0" w:type="auto"/>
            <w:hideMark/>
          </w:tcPr>
          <w:p w14:paraId="2198DC52" w14:textId="77777777" w:rsidR="00786DA1" w:rsidRPr="00786DA1" w:rsidRDefault="00786DA1" w:rsidP="004C0959">
            <w:pPr>
              <w:ind w:firstLine="0"/>
              <w:jc w:val="left"/>
            </w:pPr>
            <w:r w:rsidRPr="00786DA1">
              <w:rPr>
                <w:b/>
                <w:bCs/>
              </w:rPr>
              <w:t>Ford Motor Company (2025a)</w:t>
            </w:r>
            <w:r w:rsidRPr="00786DA1">
              <w:t xml:space="preserve"> – </w:t>
            </w:r>
            <w:r w:rsidRPr="00786DA1">
              <w:rPr>
                <w:i/>
                <w:iCs/>
              </w:rPr>
              <w:t>2024 Annual Report (Form 10-K)</w:t>
            </w:r>
          </w:p>
        </w:tc>
        <w:tc>
          <w:tcPr>
            <w:tcW w:w="0" w:type="auto"/>
            <w:hideMark/>
          </w:tcPr>
          <w:p w14:paraId="0048E72C" w14:textId="77777777" w:rsidR="00786DA1" w:rsidRPr="00786DA1" w:rsidRDefault="00786DA1" w:rsidP="004C0959">
            <w:pPr>
              <w:ind w:firstLine="0"/>
              <w:jc w:val="left"/>
            </w:pPr>
            <w:r w:rsidRPr="00786DA1">
              <w:t>Corporate annual report</w:t>
            </w:r>
          </w:p>
        </w:tc>
        <w:tc>
          <w:tcPr>
            <w:tcW w:w="0" w:type="auto"/>
            <w:hideMark/>
          </w:tcPr>
          <w:p w14:paraId="07D92B00" w14:textId="77777777" w:rsidR="00786DA1" w:rsidRPr="00786DA1" w:rsidRDefault="00786DA1" w:rsidP="004C0959">
            <w:pPr>
              <w:ind w:firstLine="0"/>
              <w:jc w:val="left"/>
            </w:pPr>
            <w:r w:rsidRPr="00786DA1">
              <w:t>Used to examine Ford's organisational structure, business performance and strategic direction during the EV transition.</w:t>
            </w:r>
          </w:p>
        </w:tc>
        <w:tc>
          <w:tcPr>
            <w:tcW w:w="0" w:type="auto"/>
            <w:hideMark/>
          </w:tcPr>
          <w:p w14:paraId="31535254" w14:textId="77777777" w:rsidR="00786DA1" w:rsidRPr="00786DA1" w:rsidRDefault="00786DA1" w:rsidP="004C0959">
            <w:pPr>
              <w:ind w:firstLine="0"/>
              <w:jc w:val="left"/>
            </w:pPr>
            <w:r w:rsidRPr="00786DA1">
              <w:t>Ford strategy and organisational transformation</w:t>
            </w:r>
          </w:p>
        </w:tc>
      </w:tr>
      <w:tr w:rsidR="00786DA1" w:rsidRPr="00786DA1" w14:paraId="0E050E59" w14:textId="77777777" w:rsidTr="00786DA1">
        <w:tc>
          <w:tcPr>
            <w:tcW w:w="0" w:type="auto"/>
            <w:hideMark/>
          </w:tcPr>
          <w:p w14:paraId="24C51814" w14:textId="77777777" w:rsidR="00786DA1" w:rsidRPr="00786DA1" w:rsidRDefault="00786DA1" w:rsidP="004C0959">
            <w:pPr>
              <w:ind w:firstLine="0"/>
              <w:jc w:val="left"/>
            </w:pPr>
            <w:r w:rsidRPr="00786DA1">
              <w:rPr>
                <w:b/>
                <w:bCs/>
              </w:rPr>
              <w:t>Ford Motor Company (2025b)</w:t>
            </w:r>
            <w:r w:rsidRPr="00786DA1">
              <w:t xml:space="preserve"> – </w:t>
            </w:r>
            <w:r w:rsidRPr="00786DA1">
              <w:rPr>
                <w:i/>
                <w:iCs/>
              </w:rPr>
              <w:t>2025 Integrated Sustainability and Financial Report</w:t>
            </w:r>
          </w:p>
        </w:tc>
        <w:tc>
          <w:tcPr>
            <w:tcW w:w="0" w:type="auto"/>
            <w:hideMark/>
          </w:tcPr>
          <w:p w14:paraId="3839814C" w14:textId="77777777" w:rsidR="00786DA1" w:rsidRPr="00786DA1" w:rsidRDefault="00786DA1" w:rsidP="004C0959">
            <w:pPr>
              <w:ind w:firstLine="0"/>
              <w:jc w:val="left"/>
            </w:pPr>
            <w:r w:rsidRPr="00786DA1">
              <w:t>Corporate sustainability and financial report</w:t>
            </w:r>
          </w:p>
        </w:tc>
        <w:tc>
          <w:tcPr>
            <w:tcW w:w="0" w:type="auto"/>
            <w:hideMark/>
          </w:tcPr>
          <w:p w14:paraId="112205C5" w14:textId="77777777" w:rsidR="00786DA1" w:rsidRPr="00786DA1" w:rsidRDefault="00786DA1" w:rsidP="004C0959">
            <w:pPr>
              <w:ind w:firstLine="0"/>
              <w:jc w:val="left"/>
            </w:pPr>
            <w:r w:rsidRPr="00786DA1">
              <w:t>Used to evaluate Ford's sustainability strategy, Model e performance and EV-</w:t>
            </w:r>
            <w:r w:rsidRPr="00786DA1">
              <w:lastRenderedPageBreak/>
              <w:t>related financial losses.</w:t>
            </w:r>
          </w:p>
        </w:tc>
        <w:tc>
          <w:tcPr>
            <w:tcW w:w="0" w:type="auto"/>
            <w:hideMark/>
          </w:tcPr>
          <w:p w14:paraId="61442324" w14:textId="77777777" w:rsidR="00786DA1" w:rsidRPr="00786DA1" w:rsidRDefault="00786DA1" w:rsidP="004C0959">
            <w:pPr>
              <w:ind w:firstLine="0"/>
              <w:jc w:val="left"/>
            </w:pPr>
            <w:r w:rsidRPr="00786DA1">
              <w:lastRenderedPageBreak/>
              <w:t>EV performance and sustainability</w:t>
            </w:r>
          </w:p>
        </w:tc>
      </w:tr>
      <w:tr w:rsidR="00786DA1" w:rsidRPr="00786DA1" w14:paraId="6DC5DF56" w14:textId="77777777" w:rsidTr="00786DA1">
        <w:tc>
          <w:tcPr>
            <w:tcW w:w="0" w:type="auto"/>
            <w:hideMark/>
          </w:tcPr>
          <w:p w14:paraId="73041FE1" w14:textId="77777777" w:rsidR="00786DA1" w:rsidRPr="00786DA1" w:rsidRDefault="00786DA1" w:rsidP="004C0959">
            <w:pPr>
              <w:ind w:firstLine="0"/>
              <w:jc w:val="left"/>
            </w:pPr>
            <w:r w:rsidRPr="00786DA1">
              <w:rPr>
                <w:b/>
                <w:bCs/>
              </w:rPr>
              <w:t>J.D. Power (2025)</w:t>
            </w:r>
            <w:r w:rsidRPr="00786DA1">
              <w:t xml:space="preserve"> – </w:t>
            </w:r>
            <w:r w:rsidRPr="00786DA1">
              <w:rPr>
                <w:i/>
                <w:iCs/>
              </w:rPr>
              <w:t>U.S. Electric Vehicle Consideration Study</w:t>
            </w:r>
          </w:p>
        </w:tc>
        <w:tc>
          <w:tcPr>
            <w:tcW w:w="0" w:type="auto"/>
            <w:hideMark/>
          </w:tcPr>
          <w:p w14:paraId="0047F9BF" w14:textId="77777777" w:rsidR="00786DA1" w:rsidRPr="00786DA1" w:rsidRDefault="00786DA1" w:rsidP="004C0959">
            <w:pPr>
              <w:ind w:firstLine="0"/>
              <w:jc w:val="left"/>
            </w:pPr>
            <w:r w:rsidRPr="00786DA1">
              <w:t>Market research report</w:t>
            </w:r>
          </w:p>
        </w:tc>
        <w:tc>
          <w:tcPr>
            <w:tcW w:w="0" w:type="auto"/>
            <w:hideMark/>
          </w:tcPr>
          <w:p w14:paraId="6444C35D" w14:textId="77777777" w:rsidR="00786DA1" w:rsidRPr="00786DA1" w:rsidRDefault="00786DA1" w:rsidP="004C0959">
            <w:pPr>
              <w:ind w:firstLine="0"/>
              <w:jc w:val="left"/>
            </w:pPr>
            <w:r w:rsidRPr="00786DA1">
              <w:t>Used to analyse consumer willingness to purchase electric vehicles and perceptions of EV adoption.</w:t>
            </w:r>
          </w:p>
        </w:tc>
        <w:tc>
          <w:tcPr>
            <w:tcW w:w="0" w:type="auto"/>
            <w:hideMark/>
          </w:tcPr>
          <w:p w14:paraId="3D07C2B8" w14:textId="77777777" w:rsidR="00786DA1" w:rsidRPr="00786DA1" w:rsidRDefault="00786DA1" w:rsidP="004C0959">
            <w:pPr>
              <w:ind w:firstLine="0"/>
              <w:jc w:val="left"/>
            </w:pPr>
            <w:r w:rsidRPr="00786DA1">
              <w:t>Consumer attitudes</w:t>
            </w:r>
          </w:p>
        </w:tc>
      </w:tr>
      <w:tr w:rsidR="00786DA1" w:rsidRPr="00786DA1" w14:paraId="55CD2BED" w14:textId="77777777" w:rsidTr="00786DA1">
        <w:tc>
          <w:tcPr>
            <w:tcW w:w="0" w:type="auto"/>
            <w:hideMark/>
          </w:tcPr>
          <w:p w14:paraId="5B15E5EB" w14:textId="77777777" w:rsidR="00786DA1" w:rsidRPr="00786DA1" w:rsidRDefault="00786DA1" w:rsidP="004C0959">
            <w:pPr>
              <w:ind w:firstLine="0"/>
              <w:jc w:val="left"/>
            </w:pPr>
            <w:r w:rsidRPr="00786DA1">
              <w:rPr>
                <w:b/>
                <w:bCs/>
              </w:rPr>
              <w:t>Cox Automotive (2023)</w:t>
            </w:r>
            <w:r w:rsidRPr="00786DA1">
              <w:t xml:space="preserve"> – </w:t>
            </w:r>
            <w:r w:rsidRPr="00786DA1">
              <w:rPr>
                <w:i/>
                <w:iCs/>
              </w:rPr>
              <w:t>Electric Vehicle Consumer Research</w:t>
            </w:r>
          </w:p>
        </w:tc>
        <w:tc>
          <w:tcPr>
            <w:tcW w:w="0" w:type="auto"/>
            <w:hideMark/>
          </w:tcPr>
          <w:p w14:paraId="722255FD" w14:textId="77777777" w:rsidR="00786DA1" w:rsidRPr="00786DA1" w:rsidRDefault="00786DA1" w:rsidP="004C0959">
            <w:pPr>
              <w:ind w:firstLine="0"/>
              <w:jc w:val="left"/>
            </w:pPr>
            <w:r w:rsidRPr="00786DA1">
              <w:t>Industry market report</w:t>
            </w:r>
          </w:p>
        </w:tc>
        <w:tc>
          <w:tcPr>
            <w:tcW w:w="0" w:type="auto"/>
            <w:hideMark/>
          </w:tcPr>
          <w:p w14:paraId="2A49C126" w14:textId="77777777" w:rsidR="00786DA1" w:rsidRPr="00786DA1" w:rsidRDefault="00786DA1" w:rsidP="004C0959">
            <w:pPr>
              <w:ind w:firstLine="0"/>
              <w:jc w:val="left"/>
            </w:pPr>
            <w:r w:rsidRPr="00786DA1">
              <w:t>Used to examine affordability concerns and barriers influencing consumer readiness for EV adoption.</w:t>
            </w:r>
          </w:p>
        </w:tc>
        <w:tc>
          <w:tcPr>
            <w:tcW w:w="0" w:type="auto"/>
            <w:hideMark/>
          </w:tcPr>
          <w:p w14:paraId="6A839A8E" w14:textId="77777777" w:rsidR="00786DA1" w:rsidRPr="00786DA1" w:rsidRDefault="00786DA1" w:rsidP="004C0959">
            <w:pPr>
              <w:ind w:firstLine="0"/>
              <w:jc w:val="left"/>
            </w:pPr>
            <w:r w:rsidRPr="00786DA1">
              <w:t>Consumer adoption</w:t>
            </w:r>
          </w:p>
        </w:tc>
      </w:tr>
      <w:tr w:rsidR="00786DA1" w:rsidRPr="00786DA1" w14:paraId="42307352" w14:textId="77777777" w:rsidTr="00786DA1">
        <w:tc>
          <w:tcPr>
            <w:tcW w:w="0" w:type="auto"/>
            <w:hideMark/>
          </w:tcPr>
          <w:p w14:paraId="3B1B03FB" w14:textId="77777777" w:rsidR="00786DA1" w:rsidRPr="00786DA1" w:rsidRDefault="00786DA1" w:rsidP="004C0959">
            <w:pPr>
              <w:ind w:firstLine="0"/>
              <w:jc w:val="left"/>
            </w:pPr>
            <w:r w:rsidRPr="00786DA1">
              <w:rPr>
                <w:b/>
                <w:bCs/>
              </w:rPr>
              <w:t>International Energy Agency (IEA) (2025)</w:t>
            </w:r>
            <w:r w:rsidRPr="00786DA1">
              <w:t xml:space="preserve"> – </w:t>
            </w:r>
            <w:r w:rsidRPr="00786DA1">
              <w:rPr>
                <w:i/>
                <w:iCs/>
              </w:rPr>
              <w:t>Global EV Outlook 2025</w:t>
            </w:r>
          </w:p>
        </w:tc>
        <w:tc>
          <w:tcPr>
            <w:tcW w:w="0" w:type="auto"/>
            <w:hideMark/>
          </w:tcPr>
          <w:p w14:paraId="167488B5" w14:textId="77777777" w:rsidR="00786DA1" w:rsidRPr="00786DA1" w:rsidRDefault="00786DA1" w:rsidP="004C0959">
            <w:pPr>
              <w:ind w:firstLine="0"/>
              <w:jc w:val="left"/>
            </w:pPr>
            <w:r w:rsidRPr="00786DA1">
              <w:t>International industry report</w:t>
            </w:r>
          </w:p>
        </w:tc>
        <w:tc>
          <w:tcPr>
            <w:tcW w:w="0" w:type="auto"/>
            <w:hideMark/>
          </w:tcPr>
          <w:p w14:paraId="0FAD3709" w14:textId="77777777" w:rsidR="00786DA1" w:rsidRPr="00786DA1" w:rsidRDefault="00786DA1" w:rsidP="004C0959">
            <w:pPr>
              <w:ind w:firstLine="0"/>
              <w:jc w:val="left"/>
            </w:pPr>
            <w:r w:rsidRPr="00786DA1">
              <w:t>Used to evaluate global EV market developments, charging infrastructure and industry trends.</w:t>
            </w:r>
          </w:p>
        </w:tc>
        <w:tc>
          <w:tcPr>
            <w:tcW w:w="0" w:type="auto"/>
            <w:hideMark/>
          </w:tcPr>
          <w:p w14:paraId="03251F5A" w14:textId="77777777" w:rsidR="00786DA1" w:rsidRPr="00786DA1" w:rsidRDefault="00786DA1" w:rsidP="004C0959">
            <w:pPr>
              <w:ind w:firstLine="0"/>
              <w:jc w:val="left"/>
            </w:pPr>
            <w:r w:rsidRPr="00786DA1">
              <w:t>EV market development</w:t>
            </w:r>
          </w:p>
        </w:tc>
      </w:tr>
      <w:tr w:rsidR="00786DA1" w:rsidRPr="00786DA1" w14:paraId="320398CE" w14:textId="77777777" w:rsidTr="00786DA1">
        <w:tc>
          <w:tcPr>
            <w:tcW w:w="0" w:type="auto"/>
            <w:hideMark/>
          </w:tcPr>
          <w:p w14:paraId="57C4F066" w14:textId="77777777" w:rsidR="00786DA1" w:rsidRPr="00786DA1" w:rsidRDefault="00786DA1" w:rsidP="004C0959">
            <w:pPr>
              <w:ind w:firstLine="0"/>
              <w:jc w:val="left"/>
            </w:pPr>
            <w:r w:rsidRPr="00786DA1">
              <w:rPr>
                <w:b/>
                <w:bCs/>
              </w:rPr>
              <w:t>Internal Revenue Service (IRS) (2025)</w:t>
            </w:r>
            <w:r w:rsidRPr="00786DA1">
              <w:t xml:space="preserve"> – </w:t>
            </w:r>
            <w:r w:rsidRPr="00786DA1">
              <w:rPr>
                <w:i/>
                <w:iCs/>
              </w:rPr>
              <w:lastRenderedPageBreak/>
              <w:t>Clean Vehicle Credit Guidance</w:t>
            </w:r>
          </w:p>
        </w:tc>
        <w:tc>
          <w:tcPr>
            <w:tcW w:w="0" w:type="auto"/>
            <w:hideMark/>
          </w:tcPr>
          <w:p w14:paraId="39476135" w14:textId="77777777" w:rsidR="00786DA1" w:rsidRPr="00786DA1" w:rsidRDefault="00786DA1" w:rsidP="004C0959">
            <w:pPr>
              <w:ind w:firstLine="0"/>
              <w:jc w:val="left"/>
            </w:pPr>
            <w:r w:rsidRPr="00786DA1">
              <w:lastRenderedPageBreak/>
              <w:t>Government policy document</w:t>
            </w:r>
          </w:p>
        </w:tc>
        <w:tc>
          <w:tcPr>
            <w:tcW w:w="0" w:type="auto"/>
            <w:hideMark/>
          </w:tcPr>
          <w:p w14:paraId="0268F42B" w14:textId="77777777" w:rsidR="00786DA1" w:rsidRPr="00786DA1" w:rsidRDefault="00786DA1" w:rsidP="004C0959">
            <w:pPr>
              <w:ind w:firstLine="0"/>
              <w:jc w:val="left"/>
            </w:pPr>
            <w:r w:rsidRPr="00786DA1">
              <w:t xml:space="preserve">Used to assess the impact of tax incentives and </w:t>
            </w:r>
            <w:r w:rsidRPr="00786DA1">
              <w:lastRenderedPageBreak/>
              <w:t>eligibility requirements on Ford's EV strategy.</w:t>
            </w:r>
          </w:p>
        </w:tc>
        <w:tc>
          <w:tcPr>
            <w:tcW w:w="0" w:type="auto"/>
            <w:hideMark/>
          </w:tcPr>
          <w:p w14:paraId="0F6BB4CB" w14:textId="77777777" w:rsidR="00786DA1" w:rsidRPr="00786DA1" w:rsidRDefault="00786DA1" w:rsidP="004C0959">
            <w:pPr>
              <w:ind w:firstLine="0"/>
              <w:jc w:val="left"/>
            </w:pPr>
            <w:r w:rsidRPr="00786DA1">
              <w:lastRenderedPageBreak/>
              <w:t>Government policy</w:t>
            </w:r>
          </w:p>
        </w:tc>
      </w:tr>
      <w:tr w:rsidR="00786DA1" w:rsidRPr="00786DA1" w14:paraId="4EA5D81C" w14:textId="77777777" w:rsidTr="00786DA1">
        <w:tc>
          <w:tcPr>
            <w:tcW w:w="0" w:type="auto"/>
            <w:hideMark/>
          </w:tcPr>
          <w:p w14:paraId="4F09E523" w14:textId="77777777" w:rsidR="00786DA1" w:rsidRPr="00786DA1" w:rsidRDefault="00786DA1" w:rsidP="004C0959">
            <w:pPr>
              <w:ind w:firstLine="0"/>
              <w:jc w:val="left"/>
            </w:pPr>
            <w:r w:rsidRPr="00786DA1">
              <w:rPr>
                <w:b/>
                <w:bCs/>
              </w:rPr>
              <w:t>Environmental Protection Agency (EPA) (2024)</w:t>
            </w:r>
            <w:r w:rsidRPr="00786DA1">
              <w:t xml:space="preserve"> – </w:t>
            </w:r>
            <w:r w:rsidRPr="00786DA1">
              <w:rPr>
                <w:i/>
                <w:iCs/>
              </w:rPr>
              <w:t>Multi-Pollutant Emissions Standards for Model Years 2027 and Later Light-Duty and Medium-Duty Vehicles</w:t>
            </w:r>
          </w:p>
        </w:tc>
        <w:tc>
          <w:tcPr>
            <w:tcW w:w="0" w:type="auto"/>
            <w:hideMark/>
          </w:tcPr>
          <w:p w14:paraId="49A8426F" w14:textId="77777777" w:rsidR="00786DA1" w:rsidRPr="00786DA1" w:rsidRDefault="00786DA1" w:rsidP="004C0959">
            <w:pPr>
              <w:ind w:firstLine="0"/>
              <w:jc w:val="left"/>
            </w:pPr>
            <w:r w:rsidRPr="00786DA1">
              <w:t>Government regulatory document</w:t>
            </w:r>
          </w:p>
        </w:tc>
        <w:tc>
          <w:tcPr>
            <w:tcW w:w="0" w:type="auto"/>
            <w:hideMark/>
          </w:tcPr>
          <w:p w14:paraId="57098A8B" w14:textId="77777777" w:rsidR="00786DA1" w:rsidRPr="00786DA1" w:rsidRDefault="00786DA1" w:rsidP="004C0959">
            <w:pPr>
              <w:ind w:firstLine="0"/>
              <w:jc w:val="left"/>
            </w:pPr>
            <w:r w:rsidRPr="00786DA1">
              <w:t>Used to evaluate emissions regulations influencing Ford's strategic decisions.</w:t>
            </w:r>
          </w:p>
        </w:tc>
        <w:tc>
          <w:tcPr>
            <w:tcW w:w="0" w:type="auto"/>
            <w:hideMark/>
          </w:tcPr>
          <w:p w14:paraId="2414D7C1" w14:textId="77777777" w:rsidR="00786DA1" w:rsidRPr="00786DA1" w:rsidRDefault="00786DA1" w:rsidP="004C0959">
            <w:pPr>
              <w:ind w:firstLine="0"/>
              <w:jc w:val="left"/>
            </w:pPr>
            <w:r w:rsidRPr="00786DA1">
              <w:t>Regulation</w:t>
            </w:r>
          </w:p>
        </w:tc>
      </w:tr>
      <w:tr w:rsidR="00786DA1" w:rsidRPr="00786DA1" w14:paraId="78D58FEF" w14:textId="77777777" w:rsidTr="00786DA1">
        <w:tc>
          <w:tcPr>
            <w:tcW w:w="0" w:type="auto"/>
            <w:hideMark/>
          </w:tcPr>
          <w:p w14:paraId="4B609193" w14:textId="77777777" w:rsidR="00786DA1" w:rsidRPr="00786DA1" w:rsidRDefault="00786DA1" w:rsidP="004C0959">
            <w:pPr>
              <w:ind w:firstLine="0"/>
              <w:jc w:val="left"/>
            </w:pPr>
            <w:r w:rsidRPr="00786DA1">
              <w:rPr>
                <w:b/>
                <w:bCs/>
              </w:rPr>
              <w:t>Reuters (2025a)</w:t>
            </w:r>
            <w:r w:rsidRPr="00786DA1">
              <w:t xml:space="preserve"> – </w:t>
            </w:r>
            <w:r w:rsidRPr="00786DA1">
              <w:rPr>
                <w:i/>
                <w:iCs/>
              </w:rPr>
              <w:t>Ford forecasts continued EV losses</w:t>
            </w:r>
          </w:p>
        </w:tc>
        <w:tc>
          <w:tcPr>
            <w:tcW w:w="0" w:type="auto"/>
            <w:hideMark/>
          </w:tcPr>
          <w:p w14:paraId="52BD815A" w14:textId="77777777" w:rsidR="00786DA1" w:rsidRPr="00786DA1" w:rsidRDefault="00786DA1" w:rsidP="004C0959">
            <w:pPr>
              <w:ind w:firstLine="0"/>
              <w:jc w:val="left"/>
            </w:pPr>
            <w:r w:rsidRPr="00786DA1">
              <w:t>Business news source</w:t>
            </w:r>
          </w:p>
        </w:tc>
        <w:tc>
          <w:tcPr>
            <w:tcW w:w="0" w:type="auto"/>
            <w:hideMark/>
          </w:tcPr>
          <w:p w14:paraId="4B184870" w14:textId="77777777" w:rsidR="00786DA1" w:rsidRPr="00786DA1" w:rsidRDefault="00786DA1" w:rsidP="004C0959">
            <w:pPr>
              <w:ind w:firstLine="0"/>
              <w:jc w:val="left"/>
            </w:pPr>
            <w:r w:rsidRPr="00786DA1">
              <w:t>Used to support discussion of Ford's financial challenges during its EV transition.</w:t>
            </w:r>
          </w:p>
        </w:tc>
        <w:tc>
          <w:tcPr>
            <w:tcW w:w="0" w:type="auto"/>
            <w:hideMark/>
          </w:tcPr>
          <w:p w14:paraId="7D9FDC5B" w14:textId="77777777" w:rsidR="00786DA1" w:rsidRPr="00786DA1" w:rsidRDefault="00786DA1" w:rsidP="004C0959">
            <w:pPr>
              <w:ind w:firstLine="0"/>
              <w:jc w:val="left"/>
            </w:pPr>
            <w:r w:rsidRPr="00786DA1">
              <w:t>Financial performance</w:t>
            </w:r>
          </w:p>
        </w:tc>
      </w:tr>
      <w:tr w:rsidR="00786DA1" w:rsidRPr="00786DA1" w14:paraId="01BB3423" w14:textId="77777777" w:rsidTr="00786DA1">
        <w:tc>
          <w:tcPr>
            <w:tcW w:w="0" w:type="auto"/>
            <w:hideMark/>
          </w:tcPr>
          <w:p w14:paraId="33FFADD9" w14:textId="77777777" w:rsidR="00786DA1" w:rsidRPr="00786DA1" w:rsidRDefault="00786DA1" w:rsidP="004C0959">
            <w:pPr>
              <w:ind w:firstLine="0"/>
              <w:jc w:val="left"/>
            </w:pPr>
            <w:r w:rsidRPr="00786DA1">
              <w:rPr>
                <w:b/>
                <w:bCs/>
              </w:rPr>
              <w:t>Tesla (2025)</w:t>
            </w:r>
            <w:r w:rsidRPr="00786DA1">
              <w:t xml:space="preserve"> – </w:t>
            </w:r>
            <w:r w:rsidRPr="00786DA1">
              <w:rPr>
                <w:i/>
                <w:iCs/>
              </w:rPr>
              <w:t>2024 Annual Report</w:t>
            </w:r>
          </w:p>
        </w:tc>
        <w:tc>
          <w:tcPr>
            <w:tcW w:w="0" w:type="auto"/>
            <w:hideMark/>
          </w:tcPr>
          <w:p w14:paraId="72BD3891" w14:textId="77777777" w:rsidR="00786DA1" w:rsidRPr="00786DA1" w:rsidRDefault="00786DA1" w:rsidP="004C0959">
            <w:pPr>
              <w:ind w:firstLine="0"/>
              <w:jc w:val="left"/>
            </w:pPr>
            <w:r w:rsidRPr="00786DA1">
              <w:t>Corporate annual report</w:t>
            </w:r>
          </w:p>
        </w:tc>
        <w:tc>
          <w:tcPr>
            <w:tcW w:w="0" w:type="auto"/>
            <w:hideMark/>
          </w:tcPr>
          <w:p w14:paraId="6030119A" w14:textId="77777777" w:rsidR="00786DA1" w:rsidRPr="00786DA1" w:rsidRDefault="00786DA1" w:rsidP="004C0959">
            <w:pPr>
              <w:ind w:firstLine="0"/>
              <w:jc w:val="left"/>
            </w:pPr>
            <w:r w:rsidRPr="00786DA1">
              <w:t>Used to compare Tesla's EV ecosystem, market leadership and competitive position with Ford.</w:t>
            </w:r>
          </w:p>
        </w:tc>
        <w:tc>
          <w:tcPr>
            <w:tcW w:w="0" w:type="auto"/>
            <w:hideMark/>
          </w:tcPr>
          <w:p w14:paraId="2F2035C3" w14:textId="77777777" w:rsidR="00786DA1" w:rsidRPr="00786DA1" w:rsidRDefault="00786DA1" w:rsidP="004C0959">
            <w:pPr>
              <w:ind w:firstLine="0"/>
              <w:jc w:val="left"/>
            </w:pPr>
            <w:r w:rsidRPr="00786DA1">
              <w:t>Competitor analysis</w:t>
            </w:r>
          </w:p>
        </w:tc>
      </w:tr>
      <w:tr w:rsidR="00786DA1" w:rsidRPr="00786DA1" w14:paraId="3801088B" w14:textId="77777777" w:rsidTr="00786DA1">
        <w:tc>
          <w:tcPr>
            <w:tcW w:w="0" w:type="auto"/>
            <w:hideMark/>
          </w:tcPr>
          <w:p w14:paraId="05CBE255" w14:textId="77777777" w:rsidR="00786DA1" w:rsidRPr="00786DA1" w:rsidRDefault="00786DA1" w:rsidP="004C0959">
            <w:pPr>
              <w:ind w:firstLine="0"/>
              <w:jc w:val="left"/>
            </w:pPr>
            <w:r w:rsidRPr="00786DA1">
              <w:rPr>
                <w:b/>
                <w:bCs/>
              </w:rPr>
              <w:lastRenderedPageBreak/>
              <w:t>BYD (2025)</w:t>
            </w:r>
            <w:r w:rsidRPr="00786DA1">
              <w:t xml:space="preserve"> – </w:t>
            </w:r>
            <w:r w:rsidRPr="00786DA1">
              <w:rPr>
                <w:i/>
                <w:iCs/>
              </w:rPr>
              <w:t>2024 Annual Report / Financial Results</w:t>
            </w:r>
          </w:p>
        </w:tc>
        <w:tc>
          <w:tcPr>
            <w:tcW w:w="0" w:type="auto"/>
            <w:hideMark/>
          </w:tcPr>
          <w:p w14:paraId="79B69285" w14:textId="77777777" w:rsidR="00786DA1" w:rsidRPr="00786DA1" w:rsidRDefault="00786DA1" w:rsidP="004C0959">
            <w:pPr>
              <w:ind w:firstLine="0"/>
              <w:jc w:val="left"/>
            </w:pPr>
            <w:r w:rsidRPr="00786DA1">
              <w:t>Corporate financial report</w:t>
            </w:r>
          </w:p>
        </w:tc>
        <w:tc>
          <w:tcPr>
            <w:tcW w:w="0" w:type="auto"/>
            <w:hideMark/>
          </w:tcPr>
          <w:p w14:paraId="6C1FFFA0" w14:textId="77777777" w:rsidR="00786DA1" w:rsidRPr="00786DA1" w:rsidRDefault="00786DA1" w:rsidP="004C0959">
            <w:pPr>
              <w:ind w:firstLine="0"/>
              <w:jc w:val="left"/>
            </w:pPr>
            <w:r w:rsidRPr="00786DA1">
              <w:t>Used to evaluate BYD's competitive advantage through battery integration, manufacturing scale and cost efficiency.</w:t>
            </w:r>
          </w:p>
        </w:tc>
        <w:tc>
          <w:tcPr>
            <w:tcW w:w="0" w:type="auto"/>
            <w:hideMark/>
          </w:tcPr>
          <w:p w14:paraId="229E8FD8" w14:textId="77777777" w:rsidR="00786DA1" w:rsidRPr="00786DA1" w:rsidRDefault="00786DA1" w:rsidP="004C0959">
            <w:pPr>
              <w:ind w:firstLine="0"/>
              <w:jc w:val="left"/>
            </w:pPr>
            <w:r w:rsidRPr="00786DA1">
              <w:t>Competitor analysis</w:t>
            </w:r>
          </w:p>
        </w:tc>
      </w:tr>
      <w:tr w:rsidR="00786DA1" w:rsidRPr="00786DA1" w14:paraId="5797CC8D" w14:textId="77777777" w:rsidTr="00786DA1">
        <w:tc>
          <w:tcPr>
            <w:tcW w:w="0" w:type="auto"/>
            <w:hideMark/>
          </w:tcPr>
          <w:p w14:paraId="1AB18362" w14:textId="77777777" w:rsidR="00786DA1" w:rsidRPr="00786DA1" w:rsidRDefault="00786DA1" w:rsidP="004C0959">
            <w:pPr>
              <w:ind w:firstLine="0"/>
              <w:jc w:val="left"/>
            </w:pPr>
            <w:r w:rsidRPr="007D67EA">
              <w:rPr>
                <w:b/>
                <w:bCs/>
                <w:lang w:val="fr-FR"/>
              </w:rPr>
              <w:t xml:space="preserve">Bansal et al. (2021); Li et al. (2022); Chen et al. </w:t>
            </w:r>
            <w:r w:rsidRPr="00786DA1">
              <w:rPr>
                <w:b/>
                <w:bCs/>
              </w:rPr>
              <w:t>(2025); Jiang et al. (2025); Plananska and Gamma (2022)</w:t>
            </w:r>
          </w:p>
        </w:tc>
        <w:tc>
          <w:tcPr>
            <w:tcW w:w="0" w:type="auto"/>
            <w:hideMark/>
          </w:tcPr>
          <w:p w14:paraId="2709F3A3" w14:textId="77777777" w:rsidR="00786DA1" w:rsidRPr="00786DA1" w:rsidRDefault="00786DA1" w:rsidP="004C0959">
            <w:pPr>
              <w:ind w:firstLine="0"/>
              <w:jc w:val="left"/>
            </w:pPr>
            <w:r w:rsidRPr="00786DA1">
              <w:t>Peer-reviewed journal articles</w:t>
            </w:r>
          </w:p>
        </w:tc>
        <w:tc>
          <w:tcPr>
            <w:tcW w:w="0" w:type="auto"/>
            <w:hideMark/>
          </w:tcPr>
          <w:p w14:paraId="43D46E0F" w14:textId="77777777" w:rsidR="00786DA1" w:rsidRPr="00786DA1" w:rsidRDefault="00786DA1" w:rsidP="004C0959">
            <w:pPr>
              <w:ind w:firstLine="0"/>
              <w:jc w:val="left"/>
            </w:pPr>
            <w:r w:rsidRPr="00786DA1">
              <w:t>Used to examine EV adoption, willingness to pay, charging behaviour, consumer identity and barriers to adoption.</w:t>
            </w:r>
          </w:p>
        </w:tc>
        <w:tc>
          <w:tcPr>
            <w:tcW w:w="0" w:type="auto"/>
            <w:hideMark/>
          </w:tcPr>
          <w:p w14:paraId="478F17FB" w14:textId="77777777" w:rsidR="00786DA1" w:rsidRPr="00786DA1" w:rsidRDefault="00786DA1" w:rsidP="004C0959">
            <w:pPr>
              <w:ind w:firstLine="0"/>
              <w:jc w:val="left"/>
            </w:pPr>
            <w:r w:rsidRPr="00786DA1">
              <w:t>Consumer adoption</w:t>
            </w:r>
          </w:p>
        </w:tc>
      </w:tr>
      <w:tr w:rsidR="00786DA1" w:rsidRPr="00786DA1" w14:paraId="1410B864" w14:textId="77777777" w:rsidTr="00786DA1">
        <w:tc>
          <w:tcPr>
            <w:tcW w:w="0" w:type="auto"/>
            <w:hideMark/>
          </w:tcPr>
          <w:p w14:paraId="758F2B4A" w14:textId="77777777" w:rsidR="00786DA1" w:rsidRPr="00786DA1" w:rsidRDefault="00786DA1" w:rsidP="004C0959">
            <w:pPr>
              <w:ind w:firstLine="0"/>
              <w:jc w:val="left"/>
            </w:pPr>
            <w:r w:rsidRPr="00786DA1">
              <w:rPr>
                <w:b/>
                <w:bCs/>
              </w:rPr>
              <w:t>Bari, Debnath and Limon (2023); Limon et al. (2023)</w:t>
            </w:r>
          </w:p>
        </w:tc>
        <w:tc>
          <w:tcPr>
            <w:tcW w:w="0" w:type="auto"/>
            <w:hideMark/>
          </w:tcPr>
          <w:p w14:paraId="107CAF92" w14:textId="77777777" w:rsidR="00786DA1" w:rsidRPr="00786DA1" w:rsidRDefault="00786DA1" w:rsidP="004C0959">
            <w:pPr>
              <w:ind w:firstLine="0"/>
              <w:jc w:val="left"/>
            </w:pPr>
            <w:r w:rsidRPr="00786DA1">
              <w:t>Peer-reviewed journal articles</w:t>
            </w:r>
          </w:p>
        </w:tc>
        <w:tc>
          <w:tcPr>
            <w:tcW w:w="0" w:type="auto"/>
            <w:hideMark/>
          </w:tcPr>
          <w:p w14:paraId="1A6826EB" w14:textId="77777777" w:rsidR="00786DA1" w:rsidRPr="00786DA1" w:rsidRDefault="00786DA1" w:rsidP="004C0959">
            <w:pPr>
              <w:ind w:firstLine="0"/>
              <w:jc w:val="left"/>
            </w:pPr>
            <w:r w:rsidRPr="00786DA1">
              <w:t>Used to discuss hybrid vehicles as a transitional strategy towards vehicle electrification.</w:t>
            </w:r>
          </w:p>
        </w:tc>
        <w:tc>
          <w:tcPr>
            <w:tcW w:w="0" w:type="auto"/>
            <w:hideMark/>
          </w:tcPr>
          <w:p w14:paraId="28A9C5A9" w14:textId="77777777" w:rsidR="00786DA1" w:rsidRPr="00786DA1" w:rsidRDefault="00786DA1" w:rsidP="004C0959">
            <w:pPr>
              <w:ind w:firstLine="0"/>
              <w:jc w:val="left"/>
            </w:pPr>
            <w:r w:rsidRPr="00786DA1">
              <w:t>Hybrid strategy</w:t>
            </w:r>
          </w:p>
        </w:tc>
      </w:tr>
    </w:tbl>
    <w:p w14:paraId="1095C9F9" w14:textId="6BEE89D2" w:rsidR="0013624C" w:rsidRPr="00647DC0" w:rsidRDefault="0013624C" w:rsidP="004C0959">
      <w:pPr>
        <w:spacing w:line="360" w:lineRule="auto"/>
        <w:ind w:firstLine="0"/>
        <w:jc w:val="left"/>
        <w:rPr>
          <w:rFonts w:cs="Arial"/>
          <w:sz w:val="22"/>
        </w:rPr>
      </w:pPr>
    </w:p>
    <w:p w14:paraId="5D7207BC" w14:textId="6A3B50E6" w:rsidR="0013624C" w:rsidRPr="00647DC0" w:rsidRDefault="0013624C" w:rsidP="004C0959">
      <w:pPr>
        <w:pStyle w:val="Heading2"/>
        <w:spacing w:line="360" w:lineRule="auto"/>
        <w:rPr>
          <w:rFonts w:cs="Arial"/>
          <w:sz w:val="22"/>
        </w:rPr>
      </w:pPr>
      <w:bookmarkStart w:id="50" w:name="_Toc235296715"/>
      <w:r w:rsidRPr="00647DC0">
        <w:rPr>
          <w:rFonts w:cs="Arial"/>
          <w:sz w:val="22"/>
        </w:rPr>
        <w:t xml:space="preserve">Appendix </w:t>
      </w:r>
      <w:r w:rsidR="004B2603">
        <w:rPr>
          <w:rFonts w:cs="Arial"/>
          <w:sz w:val="22"/>
        </w:rPr>
        <w:t>C</w:t>
      </w:r>
      <w:r w:rsidRPr="00647DC0">
        <w:rPr>
          <w:rFonts w:cs="Arial"/>
          <w:sz w:val="22"/>
        </w:rPr>
        <w:t>: Alignment of Research Questions, Findings and Recommendations</w:t>
      </w:r>
      <w:bookmarkEnd w:id="50"/>
    </w:p>
    <w:tbl>
      <w:tblPr>
        <w:tblStyle w:val="TableGrid"/>
        <w:tblW w:w="0" w:type="auto"/>
        <w:tblLook w:val="04A0" w:firstRow="1" w:lastRow="0" w:firstColumn="1" w:lastColumn="0" w:noHBand="0" w:noVBand="1"/>
      </w:tblPr>
      <w:tblGrid>
        <w:gridCol w:w="2940"/>
        <w:gridCol w:w="3159"/>
        <w:gridCol w:w="3251"/>
      </w:tblGrid>
      <w:tr w:rsidR="0013624C" w:rsidRPr="00647DC0" w14:paraId="5F5B2CC9" w14:textId="77777777" w:rsidTr="0013624C">
        <w:tc>
          <w:tcPr>
            <w:tcW w:w="0" w:type="auto"/>
            <w:hideMark/>
          </w:tcPr>
          <w:p w14:paraId="7A9F8C90" w14:textId="77777777" w:rsidR="0013624C" w:rsidRPr="00647DC0" w:rsidRDefault="0013624C" w:rsidP="004C0959">
            <w:pPr>
              <w:spacing w:line="360" w:lineRule="auto"/>
              <w:ind w:firstLine="0"/>
              <w:jc w:val="left"/>
              <w:rPr>
                <w:rFonts w:cs="Arial"/>
                <w:b/>
                <w:bCs/>
                <w:sz w:val="22"/>
              </w:rPr>
            </w:pPr>
            <w:r w:rsidRPr="00647DC0">
              <w:rPr>
                <w:rFonts w:cs="Arial"/>
                <w:b/>
                <w:bCs/>
                <w:sz w:val="22"/>
              </w:rPr>
              <w:t>Research Question</w:t>
            </w:r>
          </w:p>
        </w:tc>
        <w:tc>
          <w:tcPr>
            <w:tcW w:w="0" w:type="auto"/>
            <w:hideMark/>
          </w:tcPr>
          <w:p w14:paraId="55E06546" w14:textId="77777777" w:rsidR="0013624C" w:rsidRPr="00647DC0" w:rsidRDefault="0013624C" w:rsidP="004C0959">
            <w:pPr>
              <w:spacing w:line="360" w:lineRule="auto"/>
              <w:ind w:firstLine="0"/>
              <w:jc w:val="left"/>
              <w:rPr>
                <w:rFonts w:cs="Arial"/>
                <w:b/>
                <w:bCs/>
                <w:sz w:val="22"/>
              </w:rPr>
            </w:pPr>
            <w:r w:rsidRPr="00647DC0">
              <w:rPr>
                <w:rFonts w:cs="Arial"/>
                <w:b/>
                <w:bCs/>
                <w:sz w:val="22"/>
              </w:rPr>
              <w:t>Key Findings from Chapter 4</w:t>
            </w:r>
          </w:p>
        </w:tc>
        <w:tc>
          <w:tcPr>
            <w:tcW w:w="0" w:type="auto"/>
            <w:hideMark/>
          </w:tcPr>
          <w:p w14:paraId="1C9A1D1A" w14:textId="77777777" w:rsidR="0013624C" w:rsidRPr="00647DC0" w:rsidRDefault="0013624C" w:rsidP="004C0959">
            <w:pPr>
              <w:spacing w:line="360" w:lineRule="auto"/>
              <w:ind w:firstLine="0"/>
              <w:jc w:val="left"/>
              <w:rPr>
                <w:rFonts w:cs="Arial"/>
                <w:b/>
                <w:bCs/>
                <w:sz w:val="22"/>
              </w:rPr>
            </w:pPr>
            <w:r w:rsidRPr="00647DC0">
              <w:rPr>
                <w:rFonts w:cs="Arial"/>
                <w:b/>
                <w:bCs/>
                <w:sz w:val="22"/>
              </w:rPr>
              <w:t>Recommendation from Chapter 5</w:t>
            </w:r>
          </w:p>
        </w:tc>
      </w:tr>
      <w:tr w:rsidR="0013624C" w:rsidRPr="00647DC0" w14:paraId="38FAF0E0" w14:textId="77777777" w:rsidTr="0013624C">
        <w:tc>
          <w:tcPr>
            <w:tcW w:w="0" w:type="auto"/>
            <w:hideMark/>
          </w:tcPr>
          <w:p w14:paraId="47D1F9A7" w14:textId="77777777" w:rsidR="0013624C" w:rsidRPr="00647DC0" w:rsidRDefault="0013624C" w:rsidP="004C0959">
            <w:pPr>
              <w:spacing w:line="360" w:lineRule="auto"/>
              <w:ind w:firstLine="0"/>
              <w:jc w:val="left"/>
              <w:rPr>
                <w:rFonts w:cs="Arial"/>
                <w:sz w:val="22"/>
              </w:rPr>
            </w:pPr>
            <w:r w:rsidRPr="00647DC0">
              <w:rPr>
                <w:rFonts w:cs="Arial"/>
                <w:sz w:val="22"/>
              </w:rPr>
              <w:t xml:space="preserve">What are the key challenges Ford currently faces in its transition towards electric cars, and </w:t>
            </w:r>
            <w:r w:rsidRPr="00647DC0">
              <w:rPr>
                <w:rFonts w:cs="Arial"/>
                <w:sz w:val="22"/>
              </w:rPr>
              <w:lastRenderedPageBreak/>
              <w:t>what are the impacts of these challenges on business performance?</w:t>
            </w:r>
          </w:p>
        </w:tc>
        <w:tc>
          <w:tcPr>
            <w:tcW w:w="0" w:type="auto"/>
            <w:hideMark/>
          </w:tcPr>
          <w:p w14:paraId="5D636551" w14:textId="77777777" w:rsidR="0013624C" w:rsidRPr="00647DC0" w:rsidRDefault="0013624C" w:rsidP="004C0959">
            <w:pPr>
              <w:spacing w:line="360" w:lineRule="auto"/>
              <w:ind w:firstLine="0"/>
              <w:jc w:val="left"/>
              <w:rPr>
                <w:rFonts w:cs="Arial"/>
                <w:sz w:val="22"/>
              </w:rPr>
            </w:pPr>
            <w:r w:rsidRPr="00647DC0">
              <w:rPr>
                <w:rFonts w:cs="Arial"/>
                <w:sz w:val="22"/>
              </w:rPr>
              <w:lastRenderedPageBreak/>
              <w:t xml:space="preserve">Ford faces high EV losses, affordability barriers, charging concerns, battery supply-chain risks and uncertainty </w:t>
            </w:r>
            <w:r w:rsidRPr="00647DC0">
              <w:rPr>
                <w:rFonts w:cs="Arial"/>
                <w:sz w:val="22"/>
              </w:rPr>
              <w:lastRenderedPageBreak/>
              <w:t>around demand. These challenges affect profitability and slow full EV adoption.</w:t>
            </w:r>
          </w:p>
        </w:tc>
        <w:tc>
          <w:tcPr>
            <w:tcW w:w="0" w:type="auto"/>
            <w:hideMark/>
          </w:tcPr>
          <w:p w14:paraId="4932B29C" w14:textId="77777777" w:rsidR="0013624C" w:rsidRPr="00647DC0" w:rsidRDefault="0013624C" w:rsidP="004C0959">
            <w:pPr>
              <w:spacing w:line="360" w:lineRule="auto"/>
              <w:ind w:firstLine="0"/>
              <w:jc w:val="left"/>
              <w:rPr>
                <w:rFonts w:cs="Arial"/>
                <w:sz w:val="22"/>
              </w:rPr>
            </w:pPr>
            <w:r w:rsidRPr="00647DC0">
              <w:rPr>
                <w:rFonts w:cs="Arial"/>
                <w:sz w:val="22"/>
              </w:rPr>
              <w:lastRenderedPageBreak/>
              <w:t xml:space="preserve">Ford should prioritise affordable EV platforms, cost reduction, battery localisation </w:t>
            </w:r>
            <w:r w:rsidRPr="00647DC0">
              <w:rPr>
                <w:rFonts w:cs="Arial"/>
                <w:sz w:val="22"/>
              </w:rPr>
              <w:lastRenderedPageBreak/>
              <w:t>and a phased electrification strategy.</w:t>
            </w:r>
          </w:p>
        </w:tc>
      </w:tr>
      <w:tr w:rsidR="0013624C" w:rsidRPr="00647DC0" w14:paraId="76A4629A" w14:textId="77777777" w:rsidTr="0013624C">
        <w:tc>
          <w:tcPr>
            <w:tcW w:w="0" w:type="auto"/>
            <w:hideMark/>
          </w:tcPr>
          <w:p w14:paraId="0DF791ED" w14:textId="77777777" w:rsidR="0013624C" w:rsidRPr="00647DC0" w:rsidRDefault="0013624C" w:rsidP="004C0959">
            <w:pPr>
              <w:spacing w:line="360" w:lineRule="auto"/>
              <w:ind w:firstLine="0"/>
              <w:jc w:val="left"/>
              <w:rPr>
                <w:rFonts w:cs="Arial"/>
                <w:sz w:val="22"/>
              </w:rPr>
            </w:pPr>
            <w:r w:rsidRPr="00647DC0">
              <w:rPr>
                <w:rFonts w:cs="Arial"/>
                <w:sz w:val="22"/>
              </w:rPr>
              <w:lastRenderedPageBreak/>
              <w:t>How do consumers perceive Ford’s EV initiatives compared with competitors such as Tesla and GM?</w:t>
            </w:r>
          </w:p>
        </w:tc>
        <w:tc>
          <w:tcPr>
            <w:tcW w:w="0" w:type="auto"/>
            <w:hideMark/>
          </w:tcPr>
          <w:p w14:paraId="6DA5EEB0" w14:textId="77777777" w:rsidR="0013624C" w:rsidRPr="00647DC0" w:rsidRDefault="0013624C" w:rsidP="004C0959">
            <w:pPr>
              <w:spacing w:line="360" w:lineRule="auto"/>
              <w:ind w:firstLine="0"/>
              <w:jc w:val="left"/>
              <w:rPr>
                <w:rFonts w:cs="Arial"/>
                <w:sz w:val="22"/>
              </w:rPr>
            </w:pPr>
            <w:r w:rsidRPr="00647DC0">
              <w:rPr>
                <w:rFonts w:cs="Arial"/>
                <w:sz w:val="22"/>
              </w:rPr>
              <w:t>Consumers view Ford EVs as credible but less ecosystem-driven than Tesla. Ford has strong brand trust, but customers remain cautious about cost, charging and practical use.</w:t>
            </w:r>
          </w:p>
        </w:tc>
        <w:tc>
          <w:tcPr>
            <w:tcW w:w="0" w:type="auto"/>
            <w:hideMark/>
          </w:tcPr>
          <w:p w14:paraId="11C2BB9E" w14:textId="77777777" w:rsidR="0013624C" w:rsidRPr="00647DC0" w:rsidRDefault="0013624C" w:rsidP="004C0959">
            <w:pPr>
              <w:spacing w:line="360" w:lineRule="auto"/>
              <w:ind w:firstLine="0"/>
              <w:jc w:val="left"/>
              <w:rPr>
                <w:rFonts w:cs="Arial"/>
                <w:sz w:val="22"/>
              </w:rPr>
            </w:pPr>
            <w:r w:rsidRPr="00647DC0">
              <w:rPr>
                <w:rFonts w:cs="Arial"/>
                <w:sz w:val="22"/>
              </w:rPr>
              <w:t>Ford should strengthen charging support, customer education, product bundling and total-cost-of-ownership communication.</w:t>
            </w:r>
          </w:p>
        </w:tc>
      </w:tr>
      <w:tr w:rsidR="0013624C" w:rsidRPr="00647DC0" w14:paraId="7DAEF6F8" w14:textId="77777777" w:rsidTr="0013624C">
        <w:tc>
          <w:tcPr>
            <w:tcW w:w="0" w:type="auto"/>
            <w:hideMark/>
          </w:tcPr>
          <w:p w14:paraId="1B67B5B8" w14:textId="77777777" w:rsidR="0013624C" w:rsidRPr="00647DC0" w:rsidRDefault="0013624C" w:rsidP="004C0959">
            <w:pPr>
              <w:spacing w:line="360" w:lineRule="auto"/>
              <w:ind w:firstLine="0"/>
              <w:jc w:val="left"/>
              <w:rPr>
                <w:rFonts w:cs="Arial"/>
                <w:sz w:val="22"/>
              </w:rPr>
            </w:pPr>
            <w:r w:rsidRPr="00647DC0">
              <w:rPr>
                <w:rFonts w:cs="Arial"/>
                <w:sz w:val="22"/>
              </w:rPr>
              <w:t>What impact do government policies and incentives have on Ford’s EV production and sales strategy?</w:t>
            </w:r>
          </w:p>
        </w:tc>
        <w:tc>
          <w:tcPr>
            <w:tcW w:w="0" w:type="auto"/>
            <w:hideMark/>
          </w:tcPr>
          <w:p w14:paraId="74B30C69" w14:textId="77777777" w:rsidR="0013624C" w:rsidRPr="00647DC0" w:rsidRDefault="0013624C" w:rsidP="004C0959">
            <w:pPr>
              <w:spacing w:line="360" w:lineRule="auto"/>
              <w:ind w:firstLine="0"/>
              <w:jc w:val="left"/>
              <w:rPr>
                <w:rFonts w:cs="Arial"/>
                <w:sz w:val="22"/>
              </w:rPr>
            </w:pPr>
            <w:r w:rsidRPr="00647DC0">
              <w:rPr>
                <w:rFonts w:cs="Arial"/>
                <w:sz w:val="22"/>
              </w:rPr>
              <w:t>EV tax credits and emissions rules support Ford’s transition, but domestic-content requirements and policy uncertainty increase strategic complexity.</w:t>
            </w:r>
          </w:p>
        </w:tc>
        <w:tc>
          <w:tcPr>
            <w:tcW w:w="0" w:type="auto"/>
            <w:hideMark/>
          </w:tcPr>
          <w:p w14:paraId="13F01DAB" w14:textId="77777777" w:rsidR="0013624C" w:rsidRPr="00647DC0" w:rsidRDefault="0013624C" w:rsidP="004C0959">
            <w:pPr>
              <w:spacing w:line="360" w:lineRule="auto"/>
              <w:ind w:firstLine="0"/>
              <w:jc w:val="left"/>
              <w:rPr>
                <w:rFonts w:cs="Arial"/>
                <w:sz w:val="22"/>
              </w:rPr>
            </w:pPr>
            <w:r w:rsidRPr="00647DC0">
              <w:rPr>
                <w:rFonts w:cs="Arial"/>
                <w:sz w:val="22"/>
              </w:rPr>
              <w:t>Ford should build a policy-resilient strategy that uses incentives but does not depend on them permanently.</w:t>
            </w:r>
          </w:p>
        </w:tc>
      </w:tr>
      <w:tr w:rsidR="0013624C" w:rsidRPr="00647DC0" w14:paraId="482CEC47" w14:textId="77777777" w:rsidTr="0013624C">
        <w:tc>
          <w:tcPr>
            <w:tcW w:w="0" w:type="auto"/>
            <w:hideMark/>
          </w:tcPr>
          <w:p w14:paraId="3C457DBB" w14:textId="77777777" w:rsidR="0013624C" w:rsidRPr="00647DC0" w:rsidRDefault="0013624C" w:rsidP="004C0959">
            <w:pPr>
              <w:spacing w:line="360" w:lineRule="auto"/>
              <w:ind w:firstLine="0"/>
              <w:jc w:val="left"/>
              <w:rPr>
                <w:rFonts w:cs="Arial"/>
                <w:sz w:val="22"/>
              </w:rPr>
            </w:pPr>
            <w:r w:rsidRPr="00647DC0">
              <w:rPr>
                <w:rFonts w:cs="Arial"/>
                <w:sz w:val="22"/>
              </w:rPr>
              <w:t>How are other automotive companies responding to EV transition, and what lessons can Ford learn?</w:t>
            </w:r>
          </w:p>
        </w:tc>
        <w:tc>
          <w:tcPr>
            <w:tcW w:w="0" w:type="auto"/>
            <w:hideMark/>
          </w:tcPr>
          <w:p w14:paraId="50F54FAA" w14:textId="77777777" w:rsidR="0013624C" w:rsidRPr="00647DC0" w:rsidRDefault="0013624C" w:rsidP="004C0959">
            <w:pPr>
              <w:spacing w:line="360" w:lineRule="auto"/>
              <w:ind w:firstLine="0"/>
              <w:jc w:val="left"/>
              <w:rPr>
                <w:rFonts w:cs="Arial"/>
                <w:sz w:val="22"/>
              </w:rPr>
            </w:pPr>
            <w:r w:rsidRPr="00647DC0">
              <w:rPr>
                <w:rFonts w:cs="Arial"/>
                <w:sz w:val="22"/>
              </w:rPr>
              <w:t>Tesla focuses on ecosystem control, GM on portfolio expansion, BYD on cost and battery integration, and Toyota on hybrid resilience.</w:t>
            </w:r>
          </w:p>
        </w:tc>
        <w:tc>
          <w:tcPr>
            <w:tcW w:w="0" w:type="auto"/>
            <w:hideMark/>
          </w:tcPr>
          <w:p w14:paraId="6DFE19B3" w14:textId="77777777" w:rsidR="0013624C" w:rsidRPr="00647DC0" w:rsidRDefault="0013624C" w:rsidP="004C0959">
            <w:pPr>
              <w:spacing w:line="360" w:lineRule="auto"/>
              <w:ind w:firstLine="0"/>
              <w:jc w:val="left"/>
              <w:rPr>
                <w:rFonts w:cs="Arial"/>
                <w:sz w:val="22"/>
              </w:rPr>
            </w:pPr>
            <w:r w:rsidRPr="00647DC0">
              <w:rPr>
                <w:rFonts w:cs="Arial"/>
                <w:sz w:val="22"/>
              </w:rPr>
              <w:t>Ford should avoid direct imitation and develop a differentiated strategy based on Ford Pro, hybrids, affordable EVs and commercial electrification.</w:t>
            </w:r>
          </w:p>
        </w:tc>
      </w:tr>
    </w:tbl>
    <w:p w14:paraId="3EEB12D4" w14:textId="77777777" w:rsidR="003E453D" w:rsidRPr="00A05EE7" w:rsidRDefault="003E453D" w:rsidP="004C0959">
      <w:pPr>
        <w:ind w:firstLine="0"/>
        <w:jc w:val="left"/>
        <w:rPr>
          <w:rFonts w:cs="Arial"/>
          <w:sz w:val="22"/>
        </w:rPr>
      </w:pPr>
    </w:p>
    <w:p w14:paraId="4FE69446" w14:textId="77777777" w:rsidR="003E453D" w:rsidRPr="00A05EE7" w:rsidRDefault="003E453D" w:rsidP="004C0959">
      <w:pPr>
        <w:pStyle w:val="ListParagraph"/>
        <w:ind w:hanging="720"/>
        <w:jc w:val="left"/>
        <w:rPr>
          <w:rFonts w:cs="Arial"/>
          <w:sz w:val="22"/>
        </w:rPr>
      </w:pPr>
    </w:p>
    <w:sectPr w:rsidR="003E453D" w:rsidRPr="00A05EE7" w:rsidSect="00FB4BDB">
      <w:headerReference w:type="defaul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CC9FC" w14:textId="77777777" w:rsidR="00810E09" w:rsidRDefault="00810E09" w:rsidP="00026A99">
      <w:pPr>
        <w:spacing w:before="0" w:after="0" w:line="240" w:lineRule="auto"/>
      </w:pPr>
      <w:r>
        <w:separator/>
      </w:r>
    </w:p>
  </w:endnote>
  <w:endnote w:type="continuationSeparator" w:id="0">
    <w:p w14:paraId="734EE409" w14:textId="77777777" w:rsidR="00810E09" w:rsidRDefault="00810E09" w:rsidP="00026A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B2CA3" w14:textId="77777777" w:rsidR="004D1ACF" w:rsidRDefault="004D1ACF">
    <w:pPr>
      <w:spacing w:after="160" w:line="259" w:lineRule="auto"/>
      <w:ind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76B16" w14:textId="77777777" w:rsidR="004D1ACF" w:rsidRDefault="004D1ACF">
    <w:pPr>
      <w:spacing w:after="160" w:line="259" w:lineRule="auto"/>
      <w:ind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D7E7" w14:textId="77777777" w:rsidR="004D1ACF" w:rsidRDefault="004D1ACF">
    <w:pPr>
      <w:spacing w:after="160" w:line="259" w:lineRule="auto"/>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3ABA1" w14:textId="77777777" w:rsidR="00810E09" w:rsidRDefault="00810E09" w:rsidP="00026A99">
      <w:pPr>
        <w:spacing w:before="0" w:after="0" w:line="240" w:lineRule="auto"/>
      </w:pPr>
      <w:r>
        <w:separator/>
      </w:r>
    </w:p>
  </w:footnote>
  <w:footnote w:type="continuationSeparator" w:id="0">
    <w:p w14:paraId="3AA85BF8" w14:textId="77777777" w:rsidR="00810E09" w:rsidRDefault="00810E09" w:rsidP="00026A9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7F01A" w14:textId="77777777" w:rsidR="00FB4BDB" w:rsidRDefault="00FB4BDB" w:rsidP="00FB4BDB">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0863246"/>
      <w:docPartObj>
        <w:docPartGallery w:val="Page Numbers (Top of Page)"/>
        <w:docPartUnique/>
      </w:docPartObj>
    </w:sdtPr>
    <w:sdtEndPr>
      <w:rPr>
        <w:noProof/>
      </w:rPr>
    </w:sdtEndPr>
    <w:sdtContent>
      <w:p w14:paraId="4A46FA1B" w14:textId="71CAF0D5" w:rsidR="00026A99" w:rsidRDefault="00026A99" w:rsidP="005B4C73">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73CFA"/>
    <w:multiLevelType w:val="hybridMultilevel"/>
    <w:tmpl w:val="F9445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B4736F"/>
    <w:multiLevelType w:val="multilevel"/>
    <w:tmpl w:val="6A7A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7675B5"/>
    <w:multiLevelType w:val="hybridMultilevel"/>
    <w:tmpl w:val="DBB414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54E3571B"/>
    <w:multiLevelType w:val="multilevel"/>
    <w:tmpl w:val="D4D2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5C4BDB"/>
    <w:multiLevelType w:val="hybridMultilevel"/>
    <w:tmpl w:val="AA2000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725569524">
    <w:abstractNumId w:val="4"/>
  </w:num>
  <w:num w:numId="2" w16cid:durableId="1861118575">
    <w:abstractNumId w:val="2"/>
  </w:num>
  <w:num w:numId="3" w16cid:durableId="634145081">
    <w:abstractNumId w:val="1"/>
  </w:num>
  <w:num w:numId="4" w16cid:durableId="1490705992">
    <w:abstractNumId w:val="3"/>
  </w:num>
  <w:num w:numId="5" w16cid:durableId="1245455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14"/>
    <w:rsid w:val="00021EE9"/>
    <w:rsid w:val="0002499B"/>
    <w:rsid w:val="00024DEE"/>
    <w:rsid w:val="00026A99"/>
    <w:rsid w:val="00041D49"/>
    <w:rsid w:val="0004296E"/>
    <w:rsid w:val="00052777"/>
    <w:rsid w:val="00057F81"/>
    <w:rsid w:val="000743CD"/>
    <w:rsid w:val="000916E8"/>
    <w:rsid w:val="000A1E71"/>
    <w:rsid w:val="000A5578"/>
    <w:rsid w:val="000B3151"/>
    <w:rsid w:val="001007D3"/>
    <w:rsid w:val="001069E5"/>
    <w:rsid w:val="001145EF"/>
    <w:rsid w:val="001244D8"/>
    <w:rsid w:val="00131154"/>
    <w:rsid w:val="0013624C"/>
    <w:rsid w:val="00137818"/>
    <w:rsid w:val="001472AF"/>
    <w:rsid w:val="00153589"/>
    <w:rsid w:val="00175A56"/>
    <w:rsid w:val="001949B7"/>
    <w:rsid w:val="001A451A"/>
    <w:rsid w:val="001B2D2C"/>
    <w:rsid w:val="001C360E"/>
    <w:rsid w:val="001C7117"/>
    <w:rsid w:val="00202280"/>
    <w:rsid w:val="00214778"/>
    <w:rsid w:val="0021494D"/>
    <w:rsid w:val="002179DB"/>
    <w:rsid w:val="00220C58"/>
    <w:rsid w:val="00255527"/>
    <w:rsid w:val="00271B27"/>
    <w:rsid w:val="00273F5A"/>
    <w:rsid w:val="002855D2"/>
    <w:rsid w:val="002A2DE3"/>
    <w:rsid w:val="002B5DEF"/>
    <w:rsid w:val="002B63F4"/>
    <w:rsid w:val="002B7704"/>
    <w:rsid w:val="002C2C62"/>
    <w:rsid w:val="002D77C1"/>
    <w:rsid w:val="002F1047"/>
    <w:rsid w:val="002F7626"/>
    <w:rsid w:val="00305D3C"/>
    <w:rsid w:val="00322A14"/>
    <w:rsid w:val="0033343B"/>
    <w:rsid w:val="0033495B"/>
    <w:rsid w:val="00342F18"/>
    <w:rsid w:val="00343FBB"/>
    <w:rsid w:val="003626C9"/>
    <w:rsid w:val="00365DBA"/>
    <w:rsid w:val="00371813"/>
    <w:rsid w:val="00372879"/>
    <w:rsid w:val="00374783"/>
    <w:rsid w:val="0039364F"/>
    <w:rsid w:val="003B1A93"/>
    <w:rsid w:val="003B2F4C"/>
    <w:rsid w:val="003B6AD0"/>
    <w:rsid w:val="003B75D1"/>
    <w:rsid w:val="003D3A21"/>
    <w:rsid w:val="003E453D"/>
    <w:rsid w:val="003E46B3"/>
    <w:rsid w:val="003F2B51"/>
    <w:rsid w:val="004042FB"/>
    <w:rsid w:val="00411F1C"/>
    <w:rsid w:val="004261BA"/>
    <w:rsid w:val="004315E7"/>
    <w:rsid w:val="0045462D"/>
    <w:rsid w:val="0048116C"/>
    <w:rsid w:val="0048785E"/>
    <w:rsid w:val="004922ED"/>
    <w:rsid w:val="00497A8B"/>
    <w:rsid w:val="004B13BC"/>
    <w:rsid w:val="004B258C"/>
    <w:rsid w:val="004B2603"/>
    <w:rsid w:val="004B577E"/>
    <w:rsid w:val="004C0959"/>
    <w:rsid w:val="004D1ACF"/>
    <w:rsid w:val="004D3F8E"/>
    <w:rsid w:val="004E6001"/>
    <w:rsid w:val="00513C28"/>
    <w:rsid w:val="00550016"/>
    <w:rsid w:val="00560C4F"/>
    <w:rsid w:val="005610D3"/>
    <w:rsid w:val="005637DE"/>
    <w:rsid w:val="005812A9"/>
    <w:rsid w:val="00583E2D"/>
    <w:rsid w:val="005B30F3"/>
    <w:rsid w:val="005B4C73"/>
    <w:rsid w:val="005C6AE0"/>
    <w:rsid w:val="005E3AF9"/>
    <w:rsid w:val="005E450E"/>
    <w:rsid w:val="005F561B"/>
    <w:rsid w:val="00603175"/>
    <w:rsid w:val="00605429"/>
    <w:rsid w:val="00616E17"/>
    <w:rsid w:val="006265CC"/>
    <w:rsid w:val="0064133D"/>
    <w:rsid w:val="00647DC0"/>
    <w:rsid w:val="00654A28"/>
    <w:rsid w:val="00655D4A"/>
    <w:rsid w:val="00664C96"/>
    <w:rsid w:val="0067236E"/>
    <w:rsid w:val="00677012"/>
    <w:rsid w:val="00680108"/>
    <w:rsid w:val="00697862"/>
    <w:rsid w:val="00697BF5"/>
    <w:rsid w:val="006B618D"/>
    <w:rsid w:val="006C0237"/>
    <w:rsid w:val="006C562E"/>
    <w:rsid w:val="006D2554"/>
    <w:rsid w:val="006E4852"/>
    <w:rsid w:val="006E6DD9"/>
    <w:rsid w:val="007012CC"/>
    <w:rsid w:val="00701572"/>
    <w:rsid w:val="00724D5D"/>
    <w:rsid w:val="00737C59"/>
    <w:rsid w:val="00742A5B"/>
    <w:rsid w:val="007457E6"/>
    <w:rsid w:val="0075122E"/>
    <w:rsid w:val="00761A34"/>
    <w:rsid w:val="00765C6D"/>
    <w:rsid w:val="00770CE0"/>
    <w:rsid w:val="0077255B"/>
    <w:rsid w:val="007746DF"/>
    <w:rsid w:val="00786DA1"/>
    <w:rsid w:val="00787D73"/>
    <w:rsid w:val="007957A2"/>
    <w:rsid w:val="00795E82"/>
    <w:rsid w:val="007A74BE"/>
    <w:rsid w:val="007B3376"/>
    <w:rsid w:val="007C08FD"/>
    <w:rsid w:val="007C2C78"/>
    <w:rsid w:val="007C6989"/>
    <w:rsid w:val="007D17C4"/>
    <w:rsid w:val="007D67EA"/>
    <w:rsid w:val="007E02B9"/>
    <w:rsid w:val="007F36E1"/>
    <w:rsid w:val="007F7EB9"/>
    <w:rsid w:val="00810E09"/>
    <w:rsid w:val="008252E2"/>
    <w:rsid w:val="00831F50"/>
    <w:rsid w:val="008329EE"/>
    <w:rsid w:val="008433FA"/>
    <w:rsid w:val="0084768C"/>
    <w:rsid w:val="00853090"/>
    <w:rsid w:val="00855BB7"/>
    <w:rsid w:val="008774F0"/>
    <w:rsid w:val="00887CA9"/>
    <w:rsid w:val="0089651A"/>
    <w:rsid w:val="008D157E"/>
    <w:rsid w:val="008E3810"/>
    <w:rsid w:val="008F1551"/>
    <w:rsid w:val="00902375"/>
    <w:rsid w:val="00906BCF"/>
    <w:rsid w:val="009436FD"/>
    <w:rsid w:val="00946083"/>
    <w:rsid w:val="009470A5"/>
    <w:rsid w:val="009654F0"/>
    <w:rsid w:val="009715BF"/>
    <w:rsid w:val="009726AA"/>
    <w:rsid w:val="00977B6C"/>
    <w:rsid w:val="009953F9"/>
    <w:rsid w:val="009A05F0"/>
    <w:rsid w:val="009A3DA4"/>
    <w:rsid w:val="009B5D3D"/>
    <w:rsid w:val="009C0981"/>
    <w:rsid w:val="009C5144"/>
    <w:rsid w:val="009D3F75"/>
    <w:rsid w:val="009D6C74"/>
    <w:rsid w:val="009F0208"/>
    <w:rsid w:val="009F3757"/>
    <w:rsid w:val="009F3878"/>
    <w:rsid w:val="009F3A37"/>
    <w:rsid w:val="009F5ADD"/>
    <w:rsid w:val="009F7660"/>
    <w:rsid w:val="00A00ACA"/>
    <w:rsid w:val="00A0152B"/>
    <w:rsid w:val="00A05EE7"/>
    <w:rsid w:val="00A175A5"/>
    <w:rsid w:val="00A20F03"/>
    <w:rsid w:val="00A237DB"/>
    <w:rsid w:val="00A26DCE"/>
    <w:rsid w:val="00A55A81"/>
    <w:rsid w:val="00A60CD7"/>
    <w:rsid w:val="00A70688"/>
    <w:rsid w:val="00A712FD"/>
    <w:rsid w:val="00A91C32"/>
    <w:rsid w:val="00A9295D"/>
    <w:rsid w:val="00A93402"/>
    <w:rsid w:val="00A97940"/>
    <w:rsid w:val="00AA17D6"/>
    <w:rsid w:val="00AB02D4"/>
    <w:rsid w:val="00AC7B5A"/>
    <w:rsid w:val="00AD4120"/>
    <w:rsid w:val="00AD7A41"/>
    <w:rsid w:val="00AF4516"/>
    <w:rsid w:val="00B10AAC"/>
    <w:rsid w:val="00B10D22"/>
    <w:rsid w:val="00B1360B"/>
    <w:rsid w:val="00B17114"/>
    <w:rsid w:val="00B17A9C"/>
    <w:rsid w:val="00B32517"/>
    <w:rsid w:val="00B41550"/>
    <w:rsid w:val="00B45A47"/>
    <w:rsid w:val="00B46F41"/>
    <w:rsid w:val="00B5082F"/>
    <w:rsid w:val="00B52298"/>
    <w:rsid w:val="00B64187"/>
    <w:rsid w:val="00B841D3"/>
    <w:rsid w:val="00B9725E"/>
    <w:rsid w:val="00BB63EE"/>
    <w:rsid w:val="00BC346E"/>
    <w:rsid w:val="00BE5331"/>
    <w:rsid w:val="00BF247E"/>
    <w:rsid w:val="00C11BC9"/>
    <w:rsid w:val="00C20E62"/>
    <w:rsid w:val="00C2250E"/>
    <w:rsid w:val="00C2615F"/>
    <w:rsid w:val="00C32BF9"/>
    <w:rsid w:val="00C36209"/>
    <w:rsid w:val="00C43824"/>
    <w:rsid w:val="00C52143"/>
    <w:rsid w:val="00C626CC"/>
    <w:rsid w:val="00C648FA"/>
    <w:rsid w:val="00C73016"/>
    <w:rsid w:val="00C95ED5"/>
    <w:rsid w:val="00CA4DEB"/>
    <w:rsid w:val="00CB578B"/>
    <w:rsid w:val="00CC4136"/>
    <w:rsid w:val="00CD1A9B"/>
    <w:rsid w:val="00CE0711"/>
    <w:rsid w:val="00CE0D50"/>
    <w:rsid w:val="00CF52E3"/>
    <w:rsid w:val="00CF7781"/>
    <w:rsid w:val="00D02B71"/>
    <w:rsid w:val="00D11195"/>
    <w:rsid w:val="00D14D64"/>
    <w:rsid w:val="00D226F1"/>
    <w:rsid w:val="00D26875"/>
    <w:rsid w:val="00D349D3"/>
    <w:rsid w:val="00D465AC"/>
    <w:rsid w:val="00D51E1A"/>
    <w:rsid w:val="00D646EC"/>
    <w:rsid w:val="00D67356"/>
    <w:rsid w:val="00D7162F"/>
    <w:rsid w:val="00DA27B1"/>
    <w:rsid w:val="00DA4548"/>
    <w:rsid w:val="00DB158D"/>
    <w:rsid w:val="00DB7ABA"/>
    <w:rsid w:val="00DE057A"/>
    <w:rsid w:val="00DF01F5"/>
    <w:rsid w:val="00DF377B"/>
    <w:rsid w:val="00E06D11"/>
    <w:rsid w:val="00E2268E"/>
    <w:rsid w:val="00E37B9B"/>
    <w:rsid w:val="00E4229B"/>
    <w:rsid w:val="00E45AC1"/>
    <w:rsid w:val="00E47F8C"/>
    <w:rsid w:val="00E5314E"/>
    <w:rsid w:val="00E534DB"/>
    <w:rsid w:val="00E543D9"/>
    <w:rsid w:val="00E6332B"/>
    <w:rsid w:val="00E65884"/>
    <w:rsid w:val="00E6708D"/>
    <w:rsid w:val="00E67348"/>
    <w:rsid w:val="00E756A8"/>
    <w:rsid w:val="00E80B69"/>
    <w:rsid w:val="00EB130A"/>
    <w:rsid w:val="00EB6C98"/>
    <w:rsid w:val="00EC5F2E"/>
    <w:rsid w:val="00ED06FD"/>
    <w:rsid w:val="00ED0D24"/>
    <w:rsid w:val="00ED549F"/>
    <w:rsid w:val="00F05391"/>
    <w:rsid w:val="00F32A0D"/>
    <w:rsid w:val="00F61798"/>
    <w:rsid w:val="00F6249F"/>
    <w:rsid w:val="00F71134"/>
    <w:rsid w:val="00F82672"/>
    <w:rsid w:val="00F82813"/>
    <w:rsid w:val="00F83C07"/>
    <w:rsid w:val="00F9263D"/>
    <w:rsid w:val="00F94D6D"/>
    <w:rsid w:val="00FB1EE1"/>
    <w:rsid w:val="00FB4BDB"/>
    <w:rsid w:val="00FB4DE5"/>
    <w:rsid w:val="00FB5CF5"/>
    <w:rsid w:val="00FD2A3C"/>
    <w:rsid w:val="00FE11BD"/>
    <w:rsid w:val="00FF51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80E56"/>
  <w15:chartTrackingRefBased/>
  <w15:docId w15:val="{877D1CD5-F849-46A8-9B66-44A39D31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A47"/>
    <w:pPr>
      <w:spacing w:before="120" w:after="120" w:line="480" w:lineRule="auto"/>
      <w:ind w:firstLine="720"/>
      <w:contextualSpacing/>
      <w:jc w:val="both"/>
    </w:pPr>
    <w:rPr>
      <w:rFonts w:ascii="Arial" w:hAnsi="Arial"/>
      <w:sz w:val="24"/>
    </w:rPr>
  </w:style>
  <w:style w:type="paragraph" w:styleId="Heading1">
    <w:name w:val="heading 1"/>
    <w:basedOn w:val="Normal"/>
    <w:next w:val="Normal"/>
    <w:link w:val="Heading1Char"/>
    <w:uiPriority w:val="9"/>
    <w:qFormat/>
    <w:rsid w:val="00C36209"/>
    <w:pPr>
      <w:ind w:firstLine="0"/>
      <w:jc w:val="left"/>
      <w:outlineLvl w:val="0"/>
    </w:pPr>
    <w:rPr>
      <w:b/>
      <w:i/>
    </w:rPr>
  </w:style>
  <w:style w:type="paragraph" w:styleId="Heading2">
    <w:name w:val="heading 2"/>
    <w:basedOn w:val="Heading1"/>
    <w:next w:val="Normal"/>
    <w:link w:val="Heading2Char"/>
    <w:uiPriority w:val="9"/>
    <w:unhideWhenUsed/>
    <w:qFormat/>
    <w:rsid w:val="00C36209"/>
    <w:pPr>
      <w:outlineLvl w:val="1"/>
    </w:pPr>
    <w:rPr>
      <w:b w:val="0"/>
    </w:rPr>
  </w:style>
  <w:style w:type="paragraph" w:styleId="Heading3">
    <w:name w:val="heading 3"/>
    <w:basedOn w:val="Heading2"/>
    <w:next w:val="Normal"/>
    <w:link w:val="Heading3Char"/>
    <w:uiPriority w:val="9"/>
    <w:unhideWhenUsed/>
    <w:qFormat/>
    <w:rsid w:val="00B45A47"/>
    <w:pPr>
      <w:jc w:val="center"/>
      <w:outlineLvl w:val="2"/>
    </w:pPr>
    <w:rPr>
      <w:i w:val="0"/>
    </w:rPr>
  </w:style>
  <w:style w:type="paragraph" w:styleId="Heading4">
    <w:name w:val="heading 4"/>
    <w:basedOn w:val="Normal"/>
    <w:next w:val="Normal"/>
    <w:link w:val="Heading4Char"/>
    <w:uiPriority w:val="9"/>
    <w:semiHidden/>
    <w:unhideWhenUsed/>
    <w:qFormat/>
    <w:rsid w:val="00B1711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1711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1711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1711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1711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1711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09"/>
    <w:rPr>
      <w:rFonts w:ascii="Times New Roman" w:hAnsi="Times New Roman"/>
      <w:b/>
      <w:i/>
      <w:sz w:val="24"/>
    </w:rPr>
  </w:style>
  <w:style w:type="character" w:customStyle="1" w:styleId="Heading2Char">
    <w:name w:val="Heading 2 Char"/>
    <w:basedOn w:val="DefaultParagraphFont"/>
    <w:link w:val="Heading2"/>
    <w:uiPriority w:val="9"/>
    <w:rsid w:val="00C36209"/>
    <w:rPr>
      <w:rFonts w:ascii="Times New Roman" w:hAnsi="Times New Roman"/>
      <w:i/>
      <w:sz w:val="24"/>
    </w:rPr>
  </w:style>
  <w:style w:type="character" w:customStyle="1" w:styleId="Heading3Char">
    <w:name w:val="Heading 3 Char"/>
    <w:basedOn w:val="DefaultParagraphFont"/>
    <w:link w:val="Heading3"/>
    <w:uiPriority w:val="9"/>
    <w:rsid w:val="00B45A47"/>
    <w:rPr>
      <w:rFonts w:ascii="Times New Roman" w:hAnsi="Times New Roman"/>
      <w:sz w:val="24"/>
    </w:rPr>
  </w:style>
  <w:style w:type="character" w:customStyle="1" w:styleId="Heading4Char">
    <w:name w:val="Heading 4 Char"/>
    <w:basedOn w:val="DefaultParagraphFont"/>
    <w:link w:val="Heading4"/>
    <w:uiPriority w:val="9"/>
    <w:semiHidden/>
    <w:rsid w:val="00B17114"/>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B17114"/>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B17114"/>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B17114"/>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B17114"/>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B17114"/>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B17114"/>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1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114"/>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1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1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7114"/>
    <w:rPr>
      <w:rFonts w:ascii="Times New Roman" w:hAnsi="Times New Roman"/>
      <w:i/>
      <w:iCs/>
      <w:color w:val="404040" w:themeColor="text1" w:themeTint="BF"/>
      <w:sz w:val="24"/>
    </w:rPr>
  </w:style>
  <w:style w:type="paragraph" w:styleId="ListParagraph">
    <w:name w:val="List Paragraph"/>
    <w:basedOn w:val="Normal"/>
    <w:qFormat/>
    <w:rsid w:val="00B17114"/>
    <w:pPr>
      <w:ind w:left="720"/>
    </w:pPr>
  </w:style>
  <w:style w:type="character" w:styleId="IntenseEmphasis">
    <w:name w:val="Intense Emphasis"/>
    <w:basedOn w:val="DefaultParagraphFont"/>
    <w:uiPriority w:val="21"/>
    <w:qFormat/>
    <w:rsid w:val="00B17114"/>
    <w:rPr>
      <w:i/>
      <w:iCs/>
      <w:color w:val="2F5496" w:themeColor="accent1" w:themeShade="BF"/>
    </w:rPr>
  </w:style>
  <w:style w:type="paragraph" w:styleId="IntenseQuote">
    <w:name w:val="Intense Quote"/>
    <w:basedOn w:val="Normal"/>
    <w:next w:val="Normal"/>
    <w:link w:val="IntenseQuoteChar"/>
    <w:uiPriority w:val="30"/>
    <w:qFormat/>
    <w:rsid w:val="00B171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7114"/>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B17114"/>
    <w:rPr>
      <w:b/>
      <w:bCs/>
      <w:smallCaps/>
      <w:color w:val="2F5496" w:themeColor="accent1" w:themeShade="BF"/>
      <w:spacing w:val="5"/>
    </w:rPr>
  </w:style>
  <w:style w:type="paragraph" w:styleId="Header">
    <w:name w:val="header"/>
    <w:basedOn w:val="Normal"/>
    <w:link w:val="HeaderChar"/>
    <w:uiPriority w:val="99"/>
    <w:unhideWhenUsed/>
    <w:rsid w:val="00026A9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26A99"/>
    <w:rPr>
      <w:rFonts w:ascii="Times New Roman" w:hAnsi="Times New Roman"/>
      <w:sz w:val="24"/>
    </w:rPr>
  </w:style>
  <w:style w:type="paragraph" w:styleId="Footer">
    <w:name w:val="footer"/>
    <w:basedOn w:val="Normal"/>
    <w:link w:val="FooterChar"/>
    <w:uiPriority w:val="99"/>
    <w:unhideWhenUsed/>
    <w:rsid w:val="00026A9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26A99"/>
    <w:rPr>
      <w:rFonts w:ascii="Times New Roman" w:hAnsi="Times New Roman"/>
      <w:sz w:val="24"/>
    </w:rPr>
  </w:style>
  <w:style w:type="character" w:styleId="Hyperlink">
    <w:name w:val="Hyperlink"/>
    <w:basedOn w:val="DefaultParagraphFont"/>
    <w:uiPriority w:val="99"/>
    <w:unhideWhenUsed/>
    <w:rsid w:val="008252E2"/>
    <w:rPr>
      <w:color w:val="0563C1" w:themeColor="hyperlink"/>
      <w:u w:val="single"/>
    </w:rPr>
  </w:style>
  <w:style w:type="character" w:styleId="UnresolvedMention">
    <w:name w:val="Unresolved Mention"/>
    <w:basedOn w:val="DefaultParagraphFont"/>
    <w:uiPriority w:val="99"/>
    <w:semiHidden/>
    <w:unhideWhenUsed/>
    <w:rsid w:val="008252E2"/>
    <w:rPr>
      <w:color w:val="605E5C"/>
      <w:shd w:val="clear" w:color="auto" w:fill="E1DFDD"/>
    </w:rPr>
  </w:style>
  <w:style w:type="table" w:styleId="TableGrid">
    <w:name w:val="Table Grid"/>
    <w:basedOn w:val="TableNormal"/>
    <w:uiPriority w:val="39"/>
    <w:rsid w:val="00FB4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B4DE5"/>
    <w:pPr>
      <w:keepNext/>
      <w:keepLines/>
      <w:spacing w:before="240" w:after="0" w:line="259" w:lineRule="auto"/>
      <w:contextualSpacing w:val="0"/>
      <w:outlineLvl w:val="9"/>
    </w:pPr>
    <w:rPr>
      <w:rFonts w:asciiTheme="majorHAnsi" w:eastAsiaTheme="majorEastAsia" w:hAnsiTheme="majorHAnsi" w:cstheme="majorBidi"/>
      <w:b w:val="0"/>
      <w:i w:val="0"/>
      <w:color w:val="2F5496" w:themeColor="accent1" w:themeShade="BF"/>
      <w:sz w:val="32"/>
      <w:szCs w:val="32"/>
      <w:lang w:val="en-US"/>
      <w14:ligatures w14:val="none"/>
    </w:rPr>
  </w:style>
  <w:style w:type="paragraph" w:styleId="TOC2">
    <w:name w:val="toc 2"/>
    <w:basedOn w:val="Normal"/>
    <w:next w:val="Normal"/>
    <w:autoRedefine/>
    <w:uiPriority w:val="39"/>
    <w:unhideWhenUsed/>
    <w:rsid w:val="00FB4DE5"/>
    <w:pPr>
      <w:spacing w:after="100"/>
      <w:ind w:left="240"/>
    </w:pPr>
  </w:style>
  <w:style w:type="paragraph" w:styleId="TOC1">
    <w:name w:val="toc 1"/>
    <w:basedOn w:val="Normal"/>
    <w:next w:val="Normal"/>
    <w:autoRedefine/>
    <w:uiPriority w:val="39"/>
    <w:unhideWhenUsed/>
    <w:rsid w:val="00FB4DE5"/>
    <w:pPr>
      <w:spacing w:after="100"/>
    </w:pPr>
  </w:style>
  <w:style w:type="character" w:customStyle="1" w:styleId="cursor-pointer">
    <w:name w:val="cursor-pointer"/>
    <w:basedOn w:val="DefaultParagraphFont"/>
    <w:rsid w:val="00742A5B"/>
  </w:style>
  <w:style w:type="character" w:styleId="CommentReference">
    <w:name w:val="annotation reference"/>
    <w:basedOn w:val="DefaultParagraphFont"/>
    <w:uiPriority w:val="99"/>
    <w:semiHidden/>
    <w:unhideWhenUsed/>
    <w:rsid w:val="00D11195"/>
    <w:rPr>
      <w:sz w:val="16"/>
      <w:szCs w:val="16"/>
    </w:rPr>
  </w:style>
  <w:style w:type="paragraph" w:styleId="CommentText">
    <w:name w:val="annotation text"/>
    <w:basedOn w:val="Normal"/>
    <w:link w:val="CommentTextChar"/>
    <w:uiPriority w:val="99"/>
    <w:unhideWhenUsed/>
    <w:rsid w:val="00D11195"/>
    <w:pPr>
      <w:spacing w:line="240" w:lineRule="auto"/>
    </w:pPr>
    <w:rPr>
      <w:sz w:val="20"/>
      <w:szCs w:val="20"/>
    </w:rPr>
  </w:style>
  <w:style w:type="character" w:customStyle="1" w:styleId="CommentTextChar">
    <w:name w:val="Comment Text Char"/>
    <w:basedOn w:val="DefaultParagraphFont"/>
    <w:link w:val="CommentText"/>
    <w:uiPriority w:val="99"/>
    <w:rsid w:val="00D1119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11195"/>
    <w:rPr>
      <w:b/>
      <w:bCs/>
    </w:rPr>
  </w:style>
  <w:style w:type="character" w:customStyle="1" w:styleId="CommentSubjectChar">
    <w:name w:val="Comment Subject Char"/>
    <w:basedOn w:val="CommentTextChar"/>
    <w:link w:val="CommentSubject"/>
    <w:uiPriority w:val="99"/>
    <w:semiHidden/>
    <w:rsid w:val="00D11195"/>
    <w:rPr>
      <w:rFonts w:ascii="Times New Roman" w:hAnsi="Times New Roman"/>
      <w:b/>
      <w:bCs/>
      <w:sz w:val="20"/>
      <w:szCs w:val="20"/>
    </w:rPr>
  </w:style>
  <w:style w:type="character" w:styleId="Strong">
    <w:name w:val="Strong"/>
    <w:basedOn w:val="DefaultParagraphFont"/>
    <w:uiPriority w:val="22"/>
    <w:qFormat/>
    <w:rsid w:val="003B75D1"/>
    <w:rPr>
      <w:b/>
      <w:bCs/>
    </w:rPr>
  </w:style>
  <w:style w:type="character" w:styleId="Emphasis">
    <w:name w:val="Emphasis"/>
    <w:basedOn w:val="DefaultParagraphFont"/>
    <w:uiPriority w:val="20"/>
    <w:qFormat/>
    <w:rsid w:val="003B75D1"/>
    <w:rPr>
      <w:i/>
      <w:iCs/>
    </w:rPr>
  </w:style>
  <w:style w:type="paragraph" w:styleId="TOC3">
    <w:name w:val="toc 3"/>
    <w:basedOn w:val="Normal"/>
    <w:next w:val="Normal"/>
    <w:autoRedefine/>
    <w:uiPriority w:val="39"/>
    <w:unhideWhenUsed/>
    <w:rsid w:val="009654F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bydukmedia.com/en/news-articles/byd-reports-its-financial-results-in-2024-revenue-hits-777.1-billion-yuan%2C-up-23-year-on-year.html" TargetMode="External"/><Relationship Id="rId26" Type="http://schemas.openxmlformats.org/officeDocument/2006/relationships/hyperlink" Target="https://corporate.ford.com/content/dam/corporate/us/en-us/documents/reports/2025-integrated-sustainability-and-financial-report.pdf" TargetMode="External"/><Relationship Id="rId39" Type="http://schemas.openxmlformats.org/officeDocument/2006/relationships/hyperlink" Target="https://doi.org/10.1016/j.techfore.2022.122206" TargetMode="External"/><Relationship Id="rId21" Type="http://schemas.openxmlformats.org/officeDocument/2006/relationships/hyperlink" Target="https://www.coxautoinc.com/insights-hub/new-cox-automotive-study-ev-consideration-at-record-high-but-dealers-feel-unprepared/" TargetMode="External"/><Relationship Id="rId34" Type="http://schemas.openxmlformats.org/officeDocument/2006/relationships/hyperlink" Target="https://www.mckinsey.com/features/mckinsey-center-for-future-mobility/our-insights/new-twists-in-the-electric-vehicle-transition-a-consumer-perspective"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su16219439" TargetMode="External"/><Relationship Id="rId20" Type="http://schemas.openxmlformats.org/officeDocument/2006/relationships/hyperlink" Target="https://doi.org/10.48550/arXiv.2507.09726" TargetMode="External"/><Relationship Id="rId29" Type="http://schemas.openxmlformats.org/officeDocument/2006/relationships/hyperlink" Target="https://theicct.org/pr-epa-final-multi-pollutant-rule-for-light-and-medium-duty-vehicles-sends-a-resounding-message-about-the-accelerating-transition-to-ev-in-the-us-mar24/" TargetMode="External"/><Relationship Id="rId41" Type="http://schemas.openxmlformats.org/officeDocument/2006/relationships/hyperlink" Target="https://www.theverge.com/2025/1/3/24335123/ford-power-promise-2025-free-ev-charger-exten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federalregister.gov/documents/2024/05/06/2024-09094/clean-vehicle-credits-under-sections-25e-and-30d-transfer-of-credits-critical-minerals-and-battery" TargetMode="External"/><Relationship Id="rId32" Type="http://schemas.openxmlformats.org/officeDocument/2006/relationships/hyperlink" Target="https://doi.org/10.1016/j.trd.2022.103383" TargetMode="External"/><Relationship Id="rId37" Type="http://schemas.openxmlformats.org/officeDocument/2006/relationships/hyperlink" Target="https://www.reuters.com/business/autos-transportation/gms-electric-gains-face-critical-test-trump-targets-ev-subsidies-2025-02-28/" TargetMode="External"/><Relationship Id="rId40" Type="http://schemas.openxmlformats.org/officeDocument/2006/relationships/hyperlink" Target="https://ir.tesla.com/_flysystem/s3/sec/000162828025003063/tsla-20241231-gen.pdf" TargetMode="External"/><Relationship Id="rId5" Type="http://schemas.openxmlformats.org/officeDocument/2006/relationships/webSettings" Target="webSettings.xml"/><Relationship Id="rId15" Type="http://schemas.openxmlformats.org/officeDocument/2006/relationships/hyperlink" Target="https://doi.org/10.1016/j.eneco.2021.105340" TargetMode="External"/><Relationship Id="rId23" Type="http://schemas.openxmlformats.org/officeDocument/2006/relationships/hyperlink" Target="https://www.epa.gov/regulations-emissions-vehicles-and-engines/final-rule-multi-pollutant-emissions-standards-model" TargetMode="External"/><Relationship Id="rId28" Type="http://schemas.openxmlformats.org/officeDocument/2006/relationships/hyperlink" Target="https://www.irs.gov/credits-deductions/credits-for-new-clean-vehicles-purchased-in-2023-or-after" TargetMode="External"/><Relationship Id="rId36" Type="http://schemas.openxmlformats.org/officeDocument/2006/relationships/hyperlink" Target="https://www.reuters.com/business/autos-transportation/ford-projects-mounting-ev-losses-2025-q4-profit-up-2025-02-05/" TargetMode="External"/><Relationship Id="rId10" Type="http://schemas.openxmlformats.org/officeDocument/2006/relationships/footer" Target="footer1.xml"/><Relationship Id="rId19" Type="http://schemas.openxmlformats.org/officeDocument/2006/relationships/hyperlink" Target="https://www.energypolicy.columbia.edu/publications/what-the-global-electric-vehicle-market-signals-for-us-automakers-and-policymakers/" TargetMode="External"/><Relationship Id="rId31" Type="http://schemas.openxmlformats.org/officeDocument/2006/relationships/hyperlink" Target="https://www.jdpower.com/business/press-releases/2024-us-electric-vehicle-consideration-evc-stud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fdc.energy.gov/laws/12744" TargetMode="External"/><Relationship Id="rId22" Type="http://schemas.openxmlformats.org/officeDocument/2006/relationships/hyperlink" Target="https://www.energy.gov/cmei/manufacturing/30d-new-clean-vehicle-credit" TargetMode="External"/><Relationship Id="rId27" Type="http://schemas.openxmlformats.org/officeDocument/2006/relationships/hyperlink" Target="https://media.lincoln.com/content/fordmedia/fna/us/en/news/2025/01/03/fourth-quarter-full-year-sales.html" TargetMode="External"/><Relationship Id="rId30" Type="http://schemas.openxmlformats.org/officeDocument/2006/relationships/hyperlink" Target="https://www.iea.org/reports/global-ev-outlook-2025" TargetMode="External"/><Relationship Id="rId35" Type="http://schemas.openxmlformats.org/officeDocument/2006/relationships/hyperlink" Target="https://doi.org/10.1016/j.rser.2021.111760"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www.businessinsider.com/ford-pulled-back-on-evs-focused-on-hybrids-paid-off-2024-4" TargetMode="External"/><Relationship Id="rId25" Type="http://schemas.openxmlformats.org/officeDocument/2006/relationships/hyperlink" Target="https://s205.q4cdn.com/882619693/files/doc_financials/2024/q4/Ford-Motor-Company-2024-10-K-Report.pdf" TargetMode="External"/><Relationship Id="rId33" Type="http://schemas.openxmlformats.org/officeDocument/2006/relationships/hyperlink" Target="https://doi.org/10.1016/j.susoc.2023.04.002" TargetMode="External"/><Relationship Id="rId38" Type="http://schemas.openxmlformats.org/officeDocument/2006/relationships/hyperlink" Target="https://www.reuters.com/sustainability/climate-energy/less-than-400-ev-charging-ports-built-under-75-billion-us-infrastructure-program-2025-07-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D928E-0691-43CA-9514-3D82948B6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14996</Words>
  <Characters>85479</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CARMEN Bouabehi</cp:lastModifiedBy>
  <cp:revision>16</cp:revision>
  <dcterms:created xsi:type="dcterms:W3CDTF">2026-07-17T19:43:00Z</dcterms:created>
  <dcterms:modified xsi:type="dcterms:W3CDTF">2026-07-17T20:02:00Z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007d9d41-cd6e-410a-bc92-ab37eca74238</vt:lpwstr>
  </property>
</Properties>
</file>