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168CC" w14:textId="219F86BE" w:rsidR="00E14E03" w:rsidRDefault="00997BBD" w:rsidP="00997BBD">
      <w:pPr>
        <w:spacing w:after="0" w:line="360" w:lineRule="auto"/>
        <w:ind w:firstLine="720"/>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                                </w:t>
      </w:r>
      <w:r w:rsidR="00E14E03">
        <w:rPr>
          <w:rFonts w:ascii="Arial" w:eastAsia="Calibri" w:hAnsi="Arial" w:cs="Arial"/>
          <w:b/>
          <w:noProof/>
          <w:kern w:val="0"/>
          <w:lang w:val="en-CA"/>
        </w:rPr>
        <w:drawing>
          <wp:inline distT="0" distB="0" distL="0" distR="0" wp14:anchorId="3C84BB2E" wp14:editId="4B0DB352">
            <wp:extent cx="1882140" cy="838200"/>
            <wp:effectExtent l="0" t="0" r="3810" b="0"/>
            <wp:docPr id="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inline>
        </w:drawing>
      </w:r>
    </w:p>
    <w:p w14:paraId="125E2E8F" w14:textId="77777777" w:rsidR="00E14E03" w:rsidRDefault="00E14E03" w:rsidP="00E14E03">
      <w:pPr>
        <w:spacing w:after="0" w:line="360" w:lineRule="auto"/>
        <w:ind w:firstLine="720"/>
        <w:jc w:val="center"/>
        <w:rPr>
          <w:rFonts w:ascii="Arial" w:eastAsia="Calibri" w:hAnsi="Arial" w:cs="Arial"/>
          <w:b/>
          <w:bCs/>
          <w:kern w:val="0"/>
          <w:lang w:val="en-CA"/>
          <w14:ligatures w14:val="none"/>
        </w:rPr>
      </w:pPr>
    </w:p>
    <w:p w14:paraId="422CCC43" w14:textId="77777777" w:rsidR="00E14E03" w:rsidRPr="008D01B6" w:rsidRDefault="00E14E03" w:rsidP="00E14E03">
      <w:pPr>
        <w:spacing w:after="0" w:line="259" w:lineRule="auto"/>
        <w:ind w:left="10" w:right="238" w:hanging="10"/>
        <w:jc w:val="center"/>
        <w:rPr>
          <w:rFonts w:ascii="Calibri" w:eastAsia="Calibri" w:hAnsi="Calibri" w:cs="Calibri"/>
          <w:color w:val="000000"/>
          <w:sz w:val="32"/>
          <w:szCs w:val="32"/>
          <w:lang w:eastAsia="zh-CN"/>
        </w:rPr>
      </w:pPr>
      <w:r w:rsidRPr="008D01B6">
        <w:rPr>
          <w:rFonts w:ascii="Arial" w:eastAsia="Arial" w:hAnsi="Arial" w:cs="Arial"/>
          <w:b/>
          <w:color w:val="000000"/>
          <w:sz w:val="32"/>
          <w:szCs w:val="32"/>
          <w:lang w:eastAsia="zh-CN"/>
        </w:rPr>
        <w:t>BA Leadership and Management</w:t>
      </w:r>
    </w:p>
    <w:p w14:paraId="4BA4F58A" w14:textId="77777777" w:rsidR="00E14E03" w:rsidRPr="008D01B6" w:rsidRDefault="00E14E03" w:rsidP="00E14E03">
      <w:pPr>
        <w:spacing w:after="0" w:line="259" w:lineRule="auto"/>
        <w:ind w:left="10" w:right="126" w:hanging="10"/>
        <w:jc w:val="center"/>
        <w:rPr>
          <w:rFonts w:ascii="Arial" w:eastAsia="Arial" w:hAnsi="Arial" w:cs="Arial"/>
          <w:b/>
          <w:color w:val="000000"/>
          <w:sz w:val="32"/>
          <w:szCs w:val="32"/>
          <w:lang w:eastAsia="zh-CN"/>
        </w:rPr>
      </w:pPr>
      <w:r w:rsidRPr="008D01B6">
        <w:rPr>
          <w:rFonts w:ascii="Arial" w:eastAsia="Arial" w:hAnsi="Arial" w:cs="Arial"/>
          <w:b/>
          <w:color w:val="000000"/>
          <w:sz w:val="32"/>
          <w:szCs w:val="32"/>
          <w:lang w:eastAsia="zh-CN"/>
        </w:rPr>
        <w:t>LEVEL 5</w:t>
      </w:r>
    </w:p>
    <w:p w14:paraId="126C88C0" w14:textId="77777777" w:rsidR="00E14E03" w:rsidRPr="008D01B6" w:rsidRDefault="00E14E03" w:rsidP="00E14E03">
      <w:pPr>
        <w:spacing w:after="0" w:line="259" w:lineRule="auto"/>
        <w:ind w:left="10" w:right="126" w:hanging="10"/>
        <w:jc w:val="center"/>
        <w:rPr>
          <w:rFonts w:ascii="Arial" w:eastAsia="Arial" w:hAnsi="Arial" w:cs="Arial"/>
          <w:b/>
          <w:color w:val="000000"/>
          <w:sz w:val="32"/>
          <w:szCs w:val="32"/>
          <w:lang w:eastAsia="zh-CN"/>
        </w:rPr>
      </w:pPr>
    </w:p>
    <w:p w14:paraId="68C6EA84" w14:textId="77777777" w:rsidR="00E14E03" w:rsidRPr="008D01B6" w:rsidRDefault="00E14E03" w:rsidP="00E14E03">
      <w:pPr>
        <w:spacing w:after="0" w:line="259" w:lineRule="auto"/>
        <w:rPr>
          <w:rFonts w:ascii="Arial" w:eastAsia="Calibri" w:hAnsi="Arial" w:cs="Arial"/>
          <w:b/>
          <w:bCs/>
          <w:color w:val="000000"/>
          <w:sz w:val="32"/>
          <w:szCs w:val="32"/>
          <w:lang w:eastAsia="zh-CN"/>
        </w:rPr>
      </w:pPr>
      <w:r>
        <w:rPr>
          <w:rFonts w:ascii="Arial" w:eastAsia="Arial" w:hAnsi="Arial" w:cs="Arial"/>
          <w:b/>
          <w:color w:val="000000"/>
          <w:sz w:val="32"/>
          <w:szCs w:val="32"/>
          <w:lang w:eastAsia="zh-CN"/>
        </w:rPr>
        <w:t xml:space="preserve">                              </w:t>
      </w:r>
      <w:r w:rsidRPr="00A475BB">
        <w:rPr>
          <w:rFonts w:ascii="Arial" w:eastAsia="Arial" w:hAnsi="Arial" w:cs="Arial"/>
          <w:b/>
          <w:color w:val="000000"/>
          <w:sz w:val="32"/>
          <w:szCs w:val="32"/>
          <w:lang w:eastAsia="zh-CN"/>
        </w:rPr>
        <w:t>Creativity and Innovation</w:t>
      </w:r>
    </w:p>
    <w:p w14:paraId="321FAFB5" w14:textId="707DC6DA" w:rsidR="00E14E03" w:rsidRPr="00FE6661" w:rsidRDefault="00E14E03" w:rsidP="00E14E03">
      <w:pPr>
        <w:spacing w:after="0" w:line="360" w:lineRule="auto"/>
        <w:rPr>
          <w:rFonts w:ascii="Arial" w:eastAsia="Calibri" w:hAnsi="Arial" w:cs="Arial"/>
          <w:b/>
          <w:bCs/>
          <w:kern w:val="0"/>
          <w:sz w:val="32"/>
          <w:szCs w:val="32"/>
          <w14:ligatures w14:val="none"/>
        </w:rPr>
      </w:pPr>
      <w:r>
        <w:rPr>
          <w:rFonts w:ascii="Arial" w:eastAsia="Calibri" w:hAnsi="Arial" w:cs="Arial"/>
          <w:b/>
          <w:bCs/>
          <w:kern w:val="0"/>
          <w:sz w:val="32"/>
          <w:szCs w:val="32"/>
          <w14:ligatures w14:val="none"/>
        </w:rPr>
        <w:t xml:space="preserve">                                   </w:t>
      </w:r>
      <w:r w:rsidRPr="00FE6661">
        <w:rPr>
          <w:rFonts w:ascii="Arial" w:eastAsia="Calibri" w:hAnsi="Arial" w:cs="Arial"/>
          <w:b/>
          <w:bCs/>
          <w:kern w:val="0"/>
          <w:sz w:val="32"/>
          <w:szCs w:val="32"/>
          <w14:ligatures w14:val="none"/>
        </w:rPr>
        <w:t>(BMSW</w:t>
      </w:r>
      <w:r>
        <w:rPr>
          <w:rFonts w:ascii="Arial" w:eastAsia="Calibri" w:hAnsi="Arial" w:cs="Arial"/>
          <w:b/>
          <w:bCs/>
          <w:kern w:val="0"/>
          <w:sz w:val="32"/>
          <w:szCs w:val="32"/>
          <w14:ligatures w14:val="none"/>
        </w:rPr>
        <w:t>5031</w:t>
      </w:r>
      <w:r w:rsidRPr="00FE6661">
        <w:rPr>
          <w:rFonts w:ascii="Arial" w:eastAsia="Calibri" w:hAnsi="Arial" w:cs="Arial"/>
          <w:b/>
          <w:bCs/>
          <w:kern w:val="0"/>
          <w:sz w:val="32"/>
          <w:szCs w:val="32"/>
          <w14:ligatures w14:val="none"/>
        </w:rPr>
        <w:t>_CARD)</w:t>
      </w:r>
    </w:p>
    <w:p w14:paraId="04A47FDC" w14:textId="77777777" w:rsidR="00E14E03" w:rsidRPr="008D01B6" w:rsidRDefault="00E14E03" w:rsidP="00E14E03">
      <w:pPr>
        <w:spacing w:after="0" w:line="360" w:lineRule="auto"/>
        <w:ind w:firstLine="720"/>
        <w:jc w:val="center"/>
        <w:rPr>
          <w:rFonts w:ascii="Arial" w:eastAsia="Calibri" w:hAnsi="Arial" w:cs="Arial"/>
          <w:b/>
          <w:bCs/>
          <w:kern w:val="0"/>
          <w:sz w:val="32"/>
          <w:szCs w:val="32"/>
          <w:lang w:val="en-CA"/>
          <w14:ligatures w14:val="none"/>
        </w:rPr>
      </w:pPr>
    </w:p>
    <w:p w14:paraId="35C9CAE0" w14:textId="77777777" w:rsidR="00E14E03" w:rsidRDefault="00E14E03" w:rsidP="00E14E03">
      <w:pPr>
        <w:spacing w:after="0" w:line="360" w:lineRule="auto"/>
        <w:ind w:firstLine="720"/>
        <w:jc w:val="center"/>
        <w:rPr>
          <w:rFonts w:ascii="Arial" w:eastAsia="Calibri" w:hAnsi="Arial" w:cs="Arial"/>
          <w:b/>
          <w:bCs/>
          <w:kern w:val="0"/>
          <w:sz w:val="32"/>
          <w:szCs w:val="32"/>
          <w:lang w:val="en-CA"/>
          <w14:ligatures w14:val="none"/>
        </w:rPr>
      </w:pPr>
      <w:r>
        <w:rPr>
          <w:rFonts w:ascii="Arial" w:eastAsia="Calibri" w:hAnsi="Arial" w:cs="Arial"/>
          <w:b/>
          <w:bCs/>
          <w:kern w:val="0"/>
          <w:sz w:val="32"/>
          <w:szCs w:val="32"/>
          <w14:ligatures w14:val="none"/>
        </w:rPr>
        <w:t xml:space="preserve">Report: </w:t>
      </w:r>
      <w:r w:rsidRPr="00A475BB">
        <w:rPr>
          <w:rFonts w:ascii="Arial" w:eastAsia="Calibri" w:hAnsi="Arial" w:cs="Arial"/>
          <w:b/>
          <w:bCs/>
          <w:kern w:val="0"/>
          <w:sz w:val="32"/>
          <w:szCs w:val="32"/>
          <w14:ligatures w14:val="none"/>
        </w:rPr>
        <w:t>Critically detailing and discussing an innovative/creative solution to an operational problem</w:t>
      </w:r>
    </w:p>
    <w:p w14:paraId="1978D6CF" w14:textId="77777777" w:rsidR="00E14E03" w:rsidRDefault="00E14E03" w:rsidP="00E14E03">
      <w:pPr>
        <w:spacing w:after="0" w:line="360" w:lineRule="auto"/>
        <w:ind w:firstLine="720"/>
        <w:jc w:val="center"/>
        <w:rPr>
          <w:rFonts w:ascii="Arial" w:eastAsia="Calibri" w:hAnsi="Arial" w:cs="Arial"/>
          <w:b/>
          <w:bCs/>
          <w:kern w:val="0"/>
          <w:sz w:val="32"/>
          <w:szCs w:val="32"/>
          <w14:ligatures w14:val="none"/>
        </w:rPr>
      </w:pPr>
      <w:r w:rsidRPr="008D01B6">
        <w:rPr>
          <w:rFonts w:ascii="Arial" w:eastAsia="Calibri" w:hAnsi="Arial" w:cs="Arial"/>
          <w:b/>
          <w:bCs/>
          <w:kern w:val="0"/>
          <w:sz w:val="32"/>
          <w:szCs w:val="32"/>
          <w14:ligatures w14:val="none"/>
        </w:rPr>
        <w:t xml:space="preserve">  </w:t>
      </w:r>
    </w:p>
    <w:p w14:paraId="4BD57819" w14:textId="77777777" w:rsidR="00E14E03" w:rsidRPr="008D01B6" w:rsidRDefault="00E14E03" w:rsidP="00E14E03">
      <w:pPr>
        <w:spacing w:after="0" w:line="360" w:lineRule="auto"/>
        <w:ind w:firstLine="720"/>
        <w:jc w:val="center"/>
        <w:rPr>
          <w:rFonts w:ascii="Arial" w:eastAsia="Calibri" w:hAnsi="Arial" w:cs="Arial"/>
          <w:b/>
          <w:bCs/>
          <w:kern w:val="0"/>
          <w:sz w:val="32"/>
          <w:szCs w:val="32"/>
          <w:lang w:val="en-CA"/>
          <w14:ligatures w14:val="none"/>
        </w:rPr>
      </w:pPr>
    </w:p>
    <w:p w14:paraId="576D3A10" w14:textId="77777777" w:rsidR="00E14E03" w:rsidRPr="008D01B6" w:rsidRDefault="00E14E03" w:rsidP="00E14E03">
      <w:pPr>
        <w:spacing w:after="0" w:line="259" w:lineRule="auto"/>
        <w:ind w:left="10" w:right="134" w:hanging="10"/>
        <w:jc w:val="center"/>
        <w:rPr>
          <w:rFonts w:ascii="Calibri" w:eastAsia="Calibri" w:hAnsi="Calibri" w:cs="Calibri"/>
          <w:color w:val="000000"/>
          <w:sz w:val="32"/>
          <w:szCs w:val="32"/>
          <w:lang w:eastAsia="zh-CN"/>
        </w:rPr>
      </w:pPr>
      <w:r w:rsidRPr="008D01B6">
        <w:rPr>
          <w:rFonts w:ascii="Arial" w:eastAsia="Arial" w:hAnsi="Arial" w:cs="Arial"/>
          <w:b/>
          <w:color w:val="000000"/>
          <w:sz w:val="32"/>
          <w:szCs w:val="32"/>
          <w:lang w:eastAsia="zh-CN"/>
        </w:rPr>
        <w:t xml:space="preserve">Module Lead: </w:t>
      </w:r>
      <w:r>
        <w:rPr>
          <w:rFonts w:ascii="Arial" w:eastAsia="Arial" w:hAnsi="Arial" w:cs="Arial"/>
          <w:b/>
          <w:color w:val="000000"/>
          <w:sz w:val="32"/>
          <w:szCs w:val="32"/>
          <w:lang w:eastAsia="zh-CN"/>
        </w:rPr>
        <w:t>Chris Wilkin</w:t>
      </w:r>
    </w:p>
    <w:p w14:paraId="14594FA2" w14:textId="77777777" w:rsidR="00E14E03" w:rsidRPr="008D01B6" w:rsidRDefault="00E14E03" w:rsidP="00E14E03">
      <w:pPr>
        <w:tabs>
          <w:tab w:val="left" w:pos="7172"/>
        </w:tabs>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ab/>
      </w:r>
    </w:p>
    <w:p w14:paraId="4150A8D5" w14:textId="739F445A" w:rsidR="00E14E03" w:rsidRPr="008D01B6" w:rsidRDefault="00E14E03" w:rsidP="00E14E03">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w:t>
      </w:r>
      <w:r w:rsidRPr="008D01B6">
        <w:rPr>
          <w:rFonts w:ascii="Arial" w:eastAsia="Calibri" w:hAnsi="Arial" w:cs="Arial"/>
          <w:b/>
          <w:bCs/>
          <w:kern w:val="0"/>
          <w:sz w:val="32"/>
          <w:szCs w:val="32"/>
          <w:lang w:val="en-CA"/>
          <w14:ligatures w14:val="none"/>
        </w:rPr>
        <w:t xml:space="preserve">Name: </w:t>
      </w:r>
      <w:r>
        <w:rPr>
          <w:rFonts w:ascii="Arial" w:eastAsia="Calibri" w:hAnsi="Arial" w:cs="Arial"/>
          <w:b/>
          <w:bCs/>
          <w:kern w:val="0"/>
          <w:sz w:val="32"/>
          <w:szCs w:val="32"/>
          <w:lang w:val="en-CA"/>
          <w14:ligatures w14:val="none"/>
        </w:rPr>
        <w:t>Andreea</w:t>
      </w:r>
      <w:r w:rsidRPr="008D01B6">
        <w:rPr>
          <w:rFonts w:ascii="Arial" w:eastAsia="Calibri" w:hAnsi="Arial" w:cs="Arial"/>
          <w:b/>
          <w:bCs/>
          <w:kern w:val="0"/>
          <w:sz w:val="32"/>
          <w:szCs w:val="32"/>
          <w:lang w:val="en-CA"/>
          <w14:ligatures w14:val="none"/>
        </w:rPr>
        <w:t xml:space="preserve"> Tanasa</w:t>
      </w:r>
    </w:p>
    <w:p w14:paraId="4E69C8F2" w14:textId="77777777" w:rsidR="00E14E03" w:rsidRPr="008D01B6" w:rsidRDefault="00E14E03" w:rsidP="00E14E03">
      <w:pPr>
        <w:spacing w:after="0" w:line="360" w:lineRule="auto"/>
        <w:ind w:firstLine="720"/>
        <w:jc w:val="center"/>
        <w:rPr>
          <w:rFonts w:ascii="Arial" w:eastAsia="Calibri" w:hAnsi="Arial" w:cs="Arial"/>
          <w:b/>
          <w:bCs/>
          <w:kern w:val="0"/>
          <w:sz w:val="32"/>
          <w:szCs w:val="32"/>
          <w:lang w:val="en-CA"/>
          <w14:ligatures w14:val="none"/>
        </w:rPr>
      </w:pPr>
    </w:p>
    <w:p w14:paraId="4B4ED663" w14:textId="576DF3E5" w:rsidR="00E14E03" w:rsidRPr="008D01B6" w:rsidRDefault="00E14E03" w:rsidP="00E14E03">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w:t>
      </w:r>
      <w:r w:rsidRPr="008D01B6">
        <w:rPr>
          <w:rFonts w:ascii="Arial" w:eastAsia="Calibri" w:hAnsi="Arial" w:cs="Arial"/>
          <w:b/>
          <w:bCs/>
          <w:kern w:val="0"/>
          <w:sz w:val="32"/>
          <w:szCs w:val="32"/>
          <w:lang w:val="en-CA"/>
          <w14:ligatures w14:val="none"/>
        </w:rPr>
        <w:t>Student Number:233215</w:t>
      </w:r>
      <w:r>
        <w:rPr>
          <w:rFonts w:ascii="Arial" w:eastAsia="Calibri" w:hAnsi="Arial" w:cs="Arial"/>
          <w:b/>
          <w:bCs/>
          <w:kern w:val="0"/>
          <w:sz w:val="32"/>
          <w:szCs w:val="32"/>
          <w:lang w:val="en-CA"/>
          <w14:ligatures w14:val="none"/>
        </w:rPr>
        <w:t>7</w:t>
      </w:r>
    </w:p>
    <w:p w14:paraId="2A837214" w14:textId="77777777" w:rsidR="00E14E03" w:rsidRDefault="00E14E03" w:rsidP="00E14E03">
      <w:pPr>
        <w:spacing w:after="0" w:line="360" w:lineRule="auto"/>
        <w:rPr>
          <w:rFonts w:ascii="Arial" w:eastAsia="Calibri" w:hAnsi="Arial" w:cs="Arial"/>
          <w:b/>
          <w:bCs/>
          <w:kern w:val="0"/>
          <w:lang w:val="en-CA"/>
          <w14:ligatures w14:val="none"/>
        </w:rPr>
      </w:pPr>
    </w:p>
    <w:p w14:paraId="0FBC2224" w14:textId="77777777" w:rsidR="00E14E03" w:rsidRDefault="00E14E03" w:rsidP="00E14E03">
      <w:pPr>
        <w:spacing w:after="0" w:line="360" w:lineRule="auto"/>
        <w:rPr>
          <w:rFonts w:ascii="Arial" w:eastAsia="Calibri" w:hAnsi="Arial" w:cs="Arial"/>
          <w:b/>
          <w:bCs/>
          <w:kern w:val="0"/>
          <w:lang w:val="en-CA"/>
          <w14:ligatures w14:val="none"/>
        </w:rPr>
      </w:pPr>
    </w:p>
    <w:p w14:paraId="3F766D62" w14:textId="77777777" w:rsidR="00E14E03" w:rsidRDefault="00E14E03" w:rsidP="00E14E03">
      <w:pPr>
        <w:spacing w:after="0" w:line="360" w:lineRule="auto"/>
        <w:rPr>
          <w:rFonts w:ascii="Arial" w:eastAsia="Calibri" w:hAnsi="Arial" w:cs="Arial"/>
          <w:b/>
          <w:bCs/>
          <w:kern w:val="0"/>
          <w:lang w:val="en-CA"/>
          <w14:ligatures w14:val="none"/>
        </w:rPr>
      </w:pPr>
    </w:p>
    <w:p w14:paraId="3D4F2C2F" w14:textId="77777777" w:rsidR="00E14E03" w:rsidRDefault="00E14E03" w:rsidP="00E14E03">
      <w:pPr>
        <w:spacing w:after="0" w:line="360" w:lineRule="auto"/>
        <w:rPr>
          <w:rFonts w:ascii="Arial" w:eastAsia="Calibri" w:hAnsi="Arial" w:cs="Arial"/>
          <w:b/>
          <w:bCs/>
          <w:kern w:val="0"/>
          <w:lang w:val="en-CA"/>
          <w14:ligatures w14:val="none"/>
        </w:rPr>
      </w:pPr>
    </w:p>
    <w:p w14:paraId="215EC9EA" w14:textId="77777777" w:rsidR="00E14E03" w:rsidRDefault="00E14E03" w:rsidP="00E14E03">
      <w:pPr>
        <w:spacing w:after="0" w:line="360" w:lineRule="auto"/>
        <w:rPr>
          <w:rFonts w:ascii="Arial" w:eastAsia="Calibri" w:hAnsi="Arial" w:cs="Arial"/>
          <w:b/>
          <w:bCs/>
          <w:kern w:val="0"/>
          <w:lang w:val="en-CA"/>
          <w14:ligatures w14:val="none"/>
        </w:rPr>
      </w:pPr>
    </w:p>
    <w:p w14:paraId="4C74CA62" w14:textId="1429EE4D" w:rsidR="00E14E03" w:rsidRPr="006339BF" w:rsidRDefault="00E14E03" w:rsidP="00E14E03">
      <w:pPr>
        <w:spacing w:after="0" w:line="360" w:lineRule="auto"/>
        <w:rPr>
          <w:rFonts w:ascii="Arial" w:eastAsia="Calibri" w:hAnsi="Arial" w:cs="Arial"/>
          <w:b/>
          <w:bCs/>
          <w:kern w:val="0"/>
          <w:sz w:val="28"/>
          <w:szCs w:val="28"/>
          <w:lang w:val="en-CA"/>
          <w14:ligatures w14:val="none"/>
        </w:rPr>
      </w:pPr>
      <w:r w:rsidRPr="0004008C">
        <w:rPr>
          <w:rFonts w:ascii="Arial" w:eastAsia="Calibri" w:hAnsi="Arial" w:cs="Arial"/>
          <w:b/>
          <w:bCs/>
          <w:kern w:val="0"/>
          <w:sz w:val="28"/>
          <w:szCs w:val="28"/>
          <w:lang w:val="en-CA"/>
          <w14:ligatures w14:val="none"/>
        </w:rPr>
        <w:t xml:space="preserve">Total word count:   </w:t>
      </w:r>
      <w:r w:rsidR="003044D2">
        <w:rPr>
          <w:rFonts w:ascii="Arial" w:eastAsia="Calibri" w:hAnsi="Arial" w:cs="Arial"/>
          <w:b/>
          <w:bCs/>
          <w:kern w:val="0"/>
          <w:sz w:val="28"/>
          <w:szCs w:val="28"/>
          <w:lang w:val="en-CA"/>
          <w14:ligatures w14:val="none"/>
        </w:rPr>
        <w:t>41</w:t>
      </w:r>
      <w:r w:rsidR="002135D8">
        <w:rPr>
          <w:rFonts w:ascii="Arial" w:eastAsia="Calibri" w:hAnsi="Arial" w:cs="Arial"/>
          <w:b/>
          <w:bCs/>
          <w:kern w:val="0"/>
          <w:sz w:val="28"/>
          <w:szCs w:val="28"/>
          <w:lang w:val="en-CA"/>
          <w14:ligatures w14:val="none"/>
        </w:rPr>
        <w:t>11</w:t>
      </w:r>
      <w:r w:rsidRPr="0004008C">
        <w:rPr>
          <w:rFonts w:ascii="Arial" w:eastAsia="Calibri" w:hAnsi="Arial" w:cs="Arial"/>
          <w:b/>
          <w:bCs/>
          <w:kern w:val="0"/>
          <w:sz w:val="28"/>
          <w:szCs w:val="28"/>
          <w:lang w:val="en-CA"/>
          <w14:ligatures w14:val="none"/>
        </w:rPr>
        <w:t xml:space="preserve">            </w:t>
      </w:r>
      <w:r>
        <w:rPr>
          <w:rFonts w:ascii="Arial" w:eastAsia="Calibri" w:hAnsi="Arial" w:cs="Arial"/>
          <w:b/>
          <w:bCs/>
          <w:kern w:val="0"/>
          <w:sz w:val="28"/>
          <w:szCs w:val="28"/>
          <w:lang w:val="en-CA"/>
          <w14:ligatures w14:val="none"/>
        </w:rPr>
        <w:t xml:space="preserve">   </w:t>
      </w:r>
      <w:r w:rsidRPr="0004008C">
        <w:rPr>
          <w:rFonts w:ascii="Arial" w:eastAsia="Calibri" w:hAnsi="Arial" w:cs="Arial"/>
          <w:b/>
          <w:bCs/>
          <w:kern w:val="0"/>
          <w:sz w:val="28"/>
          <w:szCs w:val="28"/>
          <w:lang w:val="en-CA"/>
          <w14:ligatures w14:val="none"/>
        </w:rPr>
        <w:t xml:space="preserve"> Submission Deadline:</w:t>
      </w:r>
      <w:r>
        <w:rPr>
          <w:rFonts w:ascii="Arial" w:eastAsia="Calibri" w:hAnsi="Arial" w:cs="Arial"/>
          <w:b/>
          <w:bCs/>
          <w:kern w:val="0"/>
          <w:sz w:val="28"/>
          <w:szCs w:val="28"/>
          <w:lang w:val="en-CA"/>
          <w14:ligatures w14:val="none"/>
        </w:rPr>
        <w:t>31.03.2026</w:t>
      </w:r>
    </w:p>
    <w:p w14:paraId="3784EA2B" w14:textId="77777777" w:rsidR="00E14E03" w:rsidRDefault="00E14E03" w:rsidP="00E14E03"/>
    <w:p w14:paraId="6A1371C9" w14:textId="36037639" w:rsidR="00AD1DF8" w:rsidRDefault="002135D8" w:rsidP="00AD1DF8">
      <w:pPr>
        <w:rPr>
          <w:b/>
          <w:bCs/>
        </w:rPr>
      </w:pPr>
      <w:r>
        <w:rPr>
          <w:b/>
          <w:bCs/>
        </w:rPr>
        <w:t xml:space="preserve">                                                     </w:t>
      </w:r>
      <w:r w:rsidR="00AD1DF8">
        <w:rPr>
          <w:b/>
          <w:bCs/>
        </w:rPr>
        <w:t xml:space="preserve">  AI Statement</w:t>
      </w:r>
      <w:r>
        <w:rPr>
          <w:b/>
          <w:bCs/>
        </w:rPr>
        <w:t>: Acknowledgement</w:t>
      </w:r>
    </w:p>
    <w:p w14:paraId="07012389" w14:textId="075BE70B" w:rsidR="00AD1DF8" w:rsidRDefault="00AD1DF8" w:rsidP="00AD1DF8">
      <w:pPr>
        <w:rPr>
          <w:b/>
          <w:bCs/>
        </w:rPr>
      </w:pPr>
      <w:r>
        <w:rPr>
          <w:b/>
          <w:bCs/>
        </w:rPr>
        <w:t>I confirm that I have not presented any AI-generated materials as my own work</w:t>
      </w:r>
      <w:r w:rsidR="002135D8">
        <w:rPr>
          <w:b/>
          <w:bCs/>
        </w:rPr>
        <w:t>, apart from the clear instructions given by our lecturer to complete Part 2 of the report.</w:t>
      </w:r>
    </w:p>
    <w:p w14:paraId="51BCE761" w14:textId="77777777" w:rsidR="00AD1DF8" w:rsidRDefault="00AD1DF8" w:rsidP="00AD1DF8"/>
    <w:p w14:paraId="1AA5CD75" w14:textId="77777777" w:rsidR="00E14E03" w:rsidRDefault="00E14E03" w:rsidP="00E14E03"/>
    <w:p w14:paraId="65C7C95C" w14:textId="77777777" w:rsidR="00E14E03" w:rsidRDefault="00E14E03" w:rsidP="00E14E03"/>
    <w:sdt>
      <w:sdtPr>
        <w:rPr>
          <w:rFonts w:ascii="Aptos" w:eastAsia="Aptos" w:hAnsi="Aptos" w:cs="Times New Roman"/>
          <w:color w:val="auto"/>
          <w:kern w:val="2"/>
          <w:sz w:val="24"/>
          <w:szCs w:val="24"/>
          <w:lang w:val="en-GB"/>
          <w14:ligatures w14:val="standardContextual"/>
        </w:rPr>
        <w:id w:val="1798264278"/>
        <w:docPartObj>
          <w:docPartGallery w:val="Table of Contents"/>
          <w:docPartUnique/>
        </w:docPartObj>
      </w:sdtPr>
      <w:sdtEndPr>
        <w:rPr>
          <w:b/>
          <w:bCs/>
          <w:noProof/>
        </w:rPr>
      </w:sdtEndPr>
      <w:sdtContent>
        <w:p w14:paraId="2C7935C2" w14:textId="3E7C28A2" w:rsidR="00831B1F" w:rsidRDefault="00831B1F">
          <w:pPr>
            <w:pStyle w:val="TOCHeading"/>
          </w:pPr>
          <w:r>
            <w:t>Contents</w:t>
          </w:r>
        </w:p>
        <w:p w14:paraId="6D3714C3" w14:textId="1744044A" w:rsidR="005054A4" w:rsidRDefault="00831B1F">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25779172" w:history="1">
            <w:r w:rsidR="005054A4" w:rsidRPr="00EB418A">
              <w:rPr>
                <w:rStyle w:val="Hyperlink"/>
                <w:rFonts w:ascii="Arial" w:hAnsi="Arial" w:cs="Arial"/>
                <w:noProof/>
              </w:rPr>
              <w:t>Part 1.</w:t>
            </w:r>
            <w:r w:rsidR="005054A4">
              <w:rPr>
                <w:noProof/>
                <w:webHidden/>
              </w:rPr>
              <w:tab/>
            </w:r>
            <w:r w:rsidR="005054A4">
              <w:rPr>
                <w:noProof/>
                <w:webHidden/>
              </w:rPr>
              <w:fldChar w:fldCharType="begin"/>
            </w:r>
            <w:r w:rsidR="005054A4">
              <w:rPr>
                <w:noProof/>
                <w:webHidden/>
              </w:rPr>
              <w:instrText xml:space="preserve"> PAGEREF _Toc225779172 \h </w:instrText>
            </w:r>
            <w:r w:rsidR="005054A4">
              <w:rPr>
                <w:noProof/>
                <w:webHidden/>
              </w:rPr>
            </w:r>
            <w:r w:rsidR="005054A4">
              <w:rPr>
                <w:noProof/>
                <w:webHidden/>
              </w:rPr>
              <w:fldChar w:fldCharType="separate"/>
            </w:r>
            <w:r w:rsidR="005054A4">
              <w:rPr>
                <w:noProof/>
                <w:webHidden/>
              </w:rPr>
              <w:t>3</w:t>
            </w:r>
            <w:r w:rsidR="005054A4">
              <w:rPr>
                <w:noProof/>
                <w:webHidden/>
              </w:rPr>
              <w:fldChar w:fldCharType="end"/>
            </w:r>
          </w:hyperlink>
        </w:p>
        <w:p w14:paraId="75246703" w14:textId="72721CF4" w:rsidR="005054A4" w:rsidRDefault="005054A4">
          <w:pPr>
            <w:pStyle w:val="TOC1"/>
            <w:tabs>
              <w:tab w:val="left" w:pos="480"/>
              <w:tab w:val="right" w:leader="dot" w:pos="9016"/>
            </w:tabs>
            <w:rPr>
              <w:rFonts w:asciiTheme="minorHAnsi" w:eastAsiaTheme="minorEastAsia" w:hAnsiTheme="minorHAnsi" w:cstheme="minorBidi"/>
              <w:noProof/>
              <w:lang w:eastAsia="en-GB"/>
            </w:rPr>
          </w:pPr>
          <w:hyperlink w:anchor="_Toc225779173" w:history="1">
            <w:r w:rsidRPr="00EB418A">
              <w:rPr>
                <w:rStyle w:val="Hyperlink"/>
                <w:rFonts w:ascii="Arial" w:hAnsi="Arial" w:cs="Arial"/>
                <w:noProof/>
              </w:rPr>
              <w:t>1.</w:t>
            </w:r>
            <w:r>
              <w:rPr>
                <w:rFonts w:asciiTheme="minorHAnsi" w:eastAsiaTheme="minorEastAsia" w:hAnsiTheme="minorHAnsi" w:cstheme="minorBidi"/>
                <w:noProof/>
                <w:lang w:eastAsia="en-GB"/>
              </w:rPr>
              <w:tab/>
            </w:r>
            <w:r w:rsidRPr="00EB418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_Toc225779173 \h </w:instrText>
            </w:r>
            <w:r>
              <w:rPr>
                <w:noProof/>
                <w:webHidden/>
              </w:rPr>
            </w:r>
            <w:r>
              <w:rPr>
                <w:noProof/>
                <w:webHidden/>
              </w:rPr>
              <w:fldChar w:fldCharType="separate"/>
            </w:r>
            <w:r>
              <w:rPr>
                <w:noProof/>
                <w:webHidden/>
              </w:rPr>
              <w:t>3</w:t>
            </w:r>
            <w:r>
              <w:rPr>
                <w:noProof/>
                <w:webHidden/>
              </w:rPr>
              <w:fldChar w:fldCharType="end"/>
            </w:r>
          </w:hyperlink>
        </w:p>
        <w:p w14:paraId="1090C6C5" w14:textId="533D59F6" w:rsidR="005054A4" w:rsidRDefault="005054A4">
          <w:pPr>
            <w:pStyle w:val="TOC1"/>
            <w:tabs>
              <w:tab w:val="left" w:pos="480"/>
              <w:tab w:val="right" w:leader="dot" w:pos="9016"/>
            </w:tabs>
            <w:rPr>
              <w:rFonts w:asciiTheme="minorHAnsi" w:eastAsiaTheme="minorEastAsia" w:hAnsiTheme="minorHAnsi" w:cstheme="minorBidi"/>
              <w:noProof/>
              <w:lang w:eastAsia="en-GB"/>
            </w:rPr>
          </w:pPr>
          <w:hyperlink w:anchor="_Toc225779174" w:history="1">
            <w:r w:rsidRPr="00EB418A">
              <w:rPr>
                <w:rStyle w:val="Hyperlink"/>
                <w:rFonts w:ascii="Arial" w:hAnsi="Arial" w:cs="Arial"/>
                <w:noProof/>
              </w:rPr>
              <w:t>2.</w:t>
            </w:r>
            <w:r>
              <w:rPr>
                <w:rFonts w:asciiTheme="minorHAnsi" w:eastAsiaTheme="minorEastAsia" w:hAnsiTheme="minorHAnsi" w:cstheme="minorBidi"/>
                <w:noProof/>
                <w:lang w:eastAsia="en-GB"/>
              </w:rPr>
              <w:tab/>
            </w:r>
            <w:r w:rsidRPr="00EB418A">
              <w:rPr>
                <w:rStyle w:val="Hyperlink"/>
                <w:rFonts w:ascii="Arial" w:hAnsi="Arial" w:cs="Arial"/>
                <w:noProof/>
              </w:rPr>
              <w:t>Critical Analysis</w:t>
            </w:r>
            <w:r>
              <w:rPr>
                <w:noProof/>
                <w:webHidden/>
              </w:rPr>
              <w:tab/>
            </w:r>
            <w:r>
              <w:rPr>
                <w:noProof/>
                <w:webHidden/>
              </w:rPr>
              <w:fldChar w:fldCharType="begin"/>
            </w:r>
            <w:r>
              <w:rPr>
                <w:noProof/>
                <w:webHidden/>
              </w:rPr>
              <w:instrText xml:space="preserve"> PAGEREF _Toc225779174 \h </w:instrText>
            </w:r>
            <w:r>
              <w:rPr>
                <w:noProof/>
                <w:webHidden/>
              </w:rPr>
            </w:r>
            <w:r>
              <w:rPr>
                <w:noProof/>
                <w:webHidden/>
              </w:rPr>
              <w:fldChar w:fldCharType="separate"/>
            </w:r>
            <w:r>
              <w:rPr>
                <w:noProof/>
                <w:webHidden/>
              </w:rPr>
              <w:t>4</w:t>
            </w:r>
            <w:r>
              <w:rPr>
                <w:noProof/>
                <w:webHidden/>
              </w:rPr>
              <w:fldChar w:fldCharType="end"/>
            </w:r>
          </w:hyperlink>
        </w:p>
        <w:p w14:paraId="1D261D9B" w14:textId="69790712" w:rsidR="005054A4" w:rsidRDefault="005054A4">
          <w:pPr>
            <w:pStyle w:val="TOC1"/>
            <w:tabs>
              <w:tab w:val="right" w:leader="dot" w:pos="9016"/>
            </w:tabs>
            <w:rPr>
              <w:rFonts w:asciiTheme="minorHAnsi" w:eastAsiaTheme="minorEastAsia" w:hAnsiTheme="minorHAnsi" w:cstheme="minorBidi"/>
              <w:noProof/>
              <w:lang w:eastAsia="en-GB"/>
            </w:rPr>
          </w:pPr>
          <w:hyperlink w:anchor="_Toc225779175" w:history="1">
            <w:r w:rsidRPr="00EB418A">
              <w:rPr>
                <w:rStyle w:val="Hyperlink"/>
                <w:noProof/>
              </w:rPr>
              <w:t>3.4Ps</w:t>
            </w:r>
            <w:r>
              <w:rPr>
                <w:noProof/>
                <w:webHidden/>
              </w:rPr>
              <w:tab/>
            </w:r>
            <w:r>
              <w:rPr>
                <w:noProof/>
                <w:webHidden/>
              </w:rPr>
              <w:fldChar w:fldCharType="begin"/>
            </w:r>
            <w:r>
              <w:rPr>
                <w:noProof/>
                <w:webHidden/>
              </w:rPr>
              <w:instrText xml:space="preserve"> PAGEREF _Toc225779175 \h </w:instrText>
            </w:r>
            <w:r>
              <w:rPr>
                <w:noProof/>
                <w:webHidden/>
              </w:rPr>
            </w:r>
            <w:r>
              <w:rPr>
                <w:noProof/>
                <w:webHidden/>
              </w:rPr>
              <w:fldChar w:fldCharType="separate"/>
            </w:r>
            <w:r>
              <w:rPr>
                <w:noProof/>
                <w:webHidden/>
              </w:rPr>
              <w:t>6</w:t>
            </w:r>
            <w:r>
              <w:rPr>
                <w:noProof/>
                <w:webHidden/>
              </w:rPr>
              <w:fldChar w:fldCharType="end"/>
            </w:r>
          </w:hyperlink>
        </w:p>
        <w:p w14:paraId="5A4A72F6" w14:textId="261603BC" w:rsidR="005054A4" w:rsidRDefault="005054A4">
          <w:pPr>
            <w:pStyle w:val="TOC1"/>
            <w:tabs>
              <w:tab w:val="right" w:leader="dot" w:pos="9016"/>
            </w:tabs>
            <w:rPr>
              <w:rFonts w:asciiTheme="minorHAnsi" w:eastAsiaTheme="minorEastAsia" w:hAnsiTheme="minorHAnsi" w:cstheme="minorBidi"/>
              <w:noProof/>
              <w:lang w:eastAsia="en-GB"/>
            </w:rPr>
          </w:pPr>
          <w:hyperlink w:anchor="_Toc225779176" w:history="1">
            <w:r w:rsidRPr="00EB418A">
              <w:rPr>
                <w:rStyle w:val="Hyperlink"/>
                <w:rFonts w:ascii="Arial" w:hAnsi="Arial" w:cs="Arial"/>
                <w:noProof/>
              </w:rPr>
              <w:t>4.  Lewin’s Force</w:t>
            </w:r>
            <w:r>
              <w:rPr>
                <w:noProof/>
                <w:webHidden/>
              </w:rPr>
              <w:tab/>
            </w:r>
            <w:r>
              <w:rPr>
                <w:noProof/>
                <w:webHidden/>
              </w:rPr>
              <w:fldChar w:fldCharType="begin"/>
            </w:r>
            <w:r>
              <w:rPr>
                <w:noProof/>
                <w:webHidden/>
              </w:rPr>
              <w:instrText xml:space="preserve"> PAGEREF _Toc225779176 \h </w:instrText>
            </w:r>
            <w:r>
              <w:rPr>
                <w:noProof/>
                <w:webHidden/>
              </w:rPr>
            </w:r>
            <w:r>
              <w:rPr>
                <w:noProof/>
                <w:webHidden/>
              </w:rPr>
              <w:fldChar w:fldCharType="separate"/>
            </w:r>
            <w:r>
              <w:rPr>
                <w:noProof/>
                <w:webHidden/>
              </w:rPr>
              <w:t>9</w:t>
            </w:r>
            <w:r>
              <w:rPr>
                <w:noProof/>
                <w:webHidden/>
              </w:rPr>
              <w:fldChar w:fldCharType="end"/>
            </w:r>
          </w:hyperlink>
        </w:p>
        <w:p w14:paraId="75293549" w14:textId="7063072A" w:rsidR="005054A4" w:rsidRDefault="005054A4">
          <w:pPr>
            <w:pStyle w:val="TOC1"/>
            <w:tabs>
              <w:tab w:val="right" w:leader="dot" w:pos="9016"/>
            </w:tabs>
            <w:rPr>
              <w:rFonts w:asciiTheme="minorHAnsi" w:eastAsiaTheme="minorEastAsia" w:hAnsiTheme="minorHAnsi" w:cstheme="minorBidi"/>
              <w:noProof/>
              <w:lang w:eastAsia="en-GB"/>
            </w:rPr>
          </w:pPr>
          <w:hyperlink w:anchor="_Toc225779177" w:history="1">
            <w:r w:rsidRPr="00EB418A">
              <w:rPr>
                <w:rStyle w:val="Hyperlink"/>
                <w:rFonts w:ascii="Arial" w:hAnsi="Arial" w:cs="Arial"/>
                <w:noProof/>
              </w:rPr>
              <w:t>5.  Critical discussion</w:t>
            </w:r>
            <w:r>
              <w:rPr>
                <w:noProof/>
                <w:webHidden/>
              </w:rPr>
              <w:tab/>
            </w:r>
            <w:r>
              <w:rPr>
                <w:noProof/>
                <w:webHidden/>
              </w:rPr>
              <w:fldChar w:fldCharType="begin"/>
            </w:r>
            <w:r>
              <w:rPr>
                <w:noProof/>
                <w:webHidden/>
              </w:rPr>
              <w:instrText xml:space="preserve"> PAGEREF _Toc225779177 \h </w:instrText>
            </w:r>
            <w:r>
              <w:rPr>
                <w:noProof/>
                <w:webHidden/>
              </w:rPr>
            </w:r>
            <w:r>
              <w:rPr>
                <w:noProof/>
                <w:webHidden/>
              </w:rPr>
              <w:fldChar w:fldCharType="separate"/>
            </w:r>
            <w:r>
              <w:rPr>
                <w:noProof/>
                <w:webHidden/>
              </w:rPr>
              <w:t>10</w:t>
            </w:r>
            <w:r>
              <w:rPr>
                <w:noProof/>
                <w:webHidden/>
              </w:rPr>
              <w:fldChar w:fldCharType="end"/>
            </w:r>
          </w:hyperlink>
        </w:p>
        <w:p w14:paraId="48EE1D44" w14:textId="61453D94" w:rsidR="005054A4" w:rsidRDefault="005054A4">
          <w:pPr>
            <w:pStyle w:val="TOC1"/>
            <w:tabs>
              <w:tab w:val="right" w:leader="dot" w:pos="9016"/>
            </w:tabs>
            <w:rPr>
              <w:rFonts w:asciiTheme="minorHAnsi" w:eastAsiaTheme="minorEastAsia" w:hAnsiTheme="minorHAnsi" w:cstheme="minorBidi"/>
              <w:noProof/>
              <w:lang w:eastAsia="en-GB"/>
            </w:rPr>
          </w:pPr>
          <w:hyperlink w:anchor="_Toc225779178" w:history="1">
            <w:r w:rsidRPr="00EB418A">
              <w:rPr>
                <w:rStyle w:val="Hyperlink"/>
                <w:noProof/>
              </w:rPr>
              <w:t>Part 2</w:t>
            </w:r>
            <w:r>
              <w:rPr>
                <w:noProof/>
                <w:webHidden/>
              </w:rPr>
              <w:tab/>
            </w:r>
            <w:r>
              <w:rPr>
                <w:noProof/>
                <w:webHidden/>
              </w:rPr>
              <w:fldChar w:fldCharType="begin"/>
            </w:r>
            <w:r>
              <w:rPr>
                <w:noProof/>
                <w:webHidden/>
              </w:rPr>
              <w:instrText xml:space="preserve"> PAGEREF _Toc225779178 \h </w:instrText>
            </w:r>
            <w:r>
              <w:rPr>
                <w:noProof/>
                <w:webHidden/>
              </w:rPr>
            </w:r>
            <w:r>
              <w:rPr>
                <w:noProof/>
                <w:webHidden/>
              </w:rPr>
              <w:fldChar w:fldCharType="separate"/>
            </w:r>
            <w:r>
              <w:rPr>
                <w:noProof/>
                <w:webHidden/>
              </w:rPr>
              <w:t>12</w:t>
            </w:r>
            <w:r>
              <w:rPr>
                <w:noProof/>
                <w:webHidden/>
              </w:rPr>
              <w:fldChar w:fldCharType="end"/>
            </w:r>
          </w:hyperlink>
        </w:p>
        <w:p w14:paraId="71E59B55" w14:textId="2C16876B" w:rsidR="005054A4" w:rsidRDefault="005054A4">
          <w:pPr>
            <w:pStyle w:val="TOC1"/>
            <w:tabs>
              <w:tab w:val="right" w:leader="dot" w:pos="9016"/>
            </w:tabs>
            <w:rPr>
              <w:rFonts w:asciiTheme="minorHAnsi" w:eastAsiaTheme="minorEastAsia" w:hAnsiTheme="minorHAnsi" w:cstheme="minorBidi"/>
              <w:noProof/>
              <w:lang w:eastAsia="en-GB"/>
            </w:rPr>
          </w:pPr>
          <w:hyperlink w:anchor="_Toc225779179" w:history="1">
            <w:r w:rsidRPr="00EB418A">
              <w:rPr>
                <w:rStyle w:val="Hyperlink"/>
                <w:noProof/>
              </w:rPr>
              <w:t>References</w:t>
            </w:r>
            <w:r>
              <w:rPr>
                <w:noProof/>
                <w:webHidden/>
              </w:rPr>
              <w:tab/>
            </w:r>
            <w:r>
              <w:rPr>
                <w:noProof/>
                <w:webHidden/>
              </w:rPr>
              <w:fldChar w:fldCharType="begin"/>
            </w:r>
            <w:r>
              <w:rPr>
                <w:noProof/>
                <w:webHidden/>
              </w:rPr>
              <w:instrText xml:space="preserve"> PAGEREF _Toc225779179 \h </w:instrText>
            </w:r>
            <w:r>
              <w:rPr>
                <w:noProof/>
                <w:webHidden/>
              </w:rPr>
            </w:r>
            <w:r>
              <w:rPr>
                <w:noProof/>
                <w:webHidden/>
              </w:rPr>
              <w:fldChar w:fldCharType="separate"/>
            </w:r>
            <w:r>
              <w:rPr>
                <w:noProof/>
                <w:webHidden/>
              </w:rPr>
              <w:t>17</w:t>
            </w:r>
            <w:r>
              <w:rPr>
                <w:noProof/>
                <w:webHidden/>
              </w:rPr>
              <w:fldChar w:fldCharType="end"/>
            </w:r>
          </w:hyperlink>
        </w:p>
        <w:p w14:paraId="1084FFB9" w14:textId="360616DE" w:rsidR="005054A4" w:rsidRDefault="005054A4">
          <w:pPr>
            <w:pStyle w:val="TOC1"/>
            <w:tabs>
              <w:tab w:val="right" w:leader="dot" w:pos="9016"/>
            </w:tabs>
            <w:rPr>
              <w:rFonts w:asciiTheme="minorHAnsi" w:eastAsiaTheme="minorEastAsia" w:hAnsiTheme="minorHAnsi" w:cstheme="minorBidi"/>
              <w:noProof/>
              <w:lang w:eastAsia="en-GB"/>
            </w:rPr>
          </w:pPr>
          <w:hyperlink w:anchor="_Toc225779180" w:history="1">
            <w:r w:rsidRPr="00EB418A">
              <w:rPr>
                <w:rStyle w:val="Hyperlink"/>
                <w:noProof/>
              </w:rPr>
              <w:t>Appendix</w:t>
            </w:r>
            <w:r>
              <w:rPr>
                <w:noProof/>
                <w:webHidden/>
              </w:rPr>
              <w:tab/>
            </w:r>
            <w:r>
              <w:rPr>
                <w:noProof/>
                <w:webHidden/>
              </w:rPr>
              <w:fldChar w:fldCharType="begin"/>
            </w:r>
            <w:r>
              <w:rPr>
                <w:noProof/>
                <w:webHidden/>
              </w:rPr>
              <w:instrText xml:space="preserve"> PAGEREF _Toc225779180 \h </w:instrText>
            </w:r>
            <w:r>
              <w:rPr>
                <w:noProof/>
                <w:webHidden/>
              </w:rPr>
            </w:r>
            <w:r>
              <w:rPr>
                <w:noProof/>
                <w:webHidden/>
              </w:rPr>
              <w:fldChar w:fldCharType="separate"/>
            </w:r>
            <w:r>
              <w:rPr>
                <w:noProof/>
                <w:webHidden/>
              </w:rPr>
              <w:t>22</w:t>
            </w:r>
            <w:r>
              <w:rPr>
                <w:noProof/>
                <w:webHidden/>
              </w:rPr>
              <w:fldChar w:fldCharType="end"/>
            </w:r>
          </w:hyperlink>
        </w:p>
        <w:p w14:paraId="41101EA1" w14:textId="595308CA" w:rsidR="00831B1F" w:rsidRDefault="00831B1F">
          <w:r>
            <w:rPr>
              <w:b/>
              <w:bCs/>
              <w:noProof/>
              <w:lang w:val="en-US"/>
            </w:rPr>
            <w:fldChar w:fldCharType="end"/>
          </w:r>
        </w:p>
      </w:sdtContent>
    </w:sdt>
    <w:p w14:paraId="4E45C73E" w14:textId="77777777" w:rsidR="00831B1F" w:rsidRDefault="00831B1F" w:rsidP="00E14E03"/>
    <w:p w14:paraId="17617088" w14:textId="77777777" w:rsidR="003022DD" w:rsidRDefault="003022DD"/>
    <w:p w14:paraId="58197D31" w14:textId="77777777" w:rsidR="00A26B49" w:rsidRDefault="00A26B49"/>
    <w:p w14:paraId="3032E114" w14:textId="77777777" w:rsidR="00A26B49" w:rsidRDefault="00A26B49"/>
    <w:p w14:paraId="11F89165" w14:textId="77777777" w:rsidR="00A26B49" w:rsidRDefault="00A26B49"/>
    <w:p w14:paraId="67ABB1F1" w14:textId="77777777" w:rsidR="00A26B49" w:rsidRDefault="00A26B49"/>
    <w:p w14:paraId="79C222B3" w14:textId="77777777" w:rsidR="00A26B49" w:rsidRDefault="00A26B49"/>
    <w:p w14:paraId="2C5A82B3" w14:textId="77777777" w:rsidR="00A26B49" w:rsidRDefault="00A26B49"/>
    <w:p w14:paraId="7CDC5ED4" w14:textId="77777777" w:rsidR="00A26B49" w:rsidRDefault="00A26B49"/>
    <w:p w14:paraId="7C10F45E" w14:textId="77777777" w:rsidR="00A26B49" w:rsidRDefault="00A26B49"/>
    <w:p w14:paraId="6F8124DB" w14:textId="77777777" w:rsidR="00A26B49" w:rsidRDefault="00A26B49"/>
    <w:p w14:paraId="0524FA51" w14:textId="77777777" w:rsidR="00A26B49" w:rsidRDefault="00A26B49"/>
    <w:p w14:paraId="7E7CA422" w14:textId="77777777" w:rsidR="00A26B49" w:rsidRDefault="00A26B49"/>
    <w:p w14:paraId="4DD17C63" w14:textId="77777777" w:rsidR="00A26B49" w:rsidRDefault="00A26B49"/>
    <w:p w14:paraId="59ABF860" w14:textId="55D455FB" w:rsidR="00A26B49" w:rsidRDefault="00EA7EFD">
      <w:r>
        <w:t xml:space="preserve"> </w:t>
      </w:r>
    </w:p>
    <w:p w14:paraId="6CD5DFFA" w14:textId="7C0636AB" w:rsidR="00B82F55" w:rsidRPr="00180DCB" w:rsidRDefault="008A1A96" w:rsidP="00180DCB">
      <w:pPr>
        <w:pStyle w:val="Heading1"/>
        <w:spacing w:line="360" w:lineRule="auto"/>
        <w:jc w:val="both"/>
        <w:rPr>
          <w:rFonts w:ascii="Arial" w:hAnsi="Arial" w:cs="Arial"/>
          <w:sz w:val="24"/>
          <w:szCs w:val="24"/>
        </w:rPr>
      </w:pPr>
      <w:r w:rsidRPr="00180DCB">
        <w:rPr>
          <w:rFonts w:ascii="Arial" w:hAnsi="Arial" w:cs="Arial"/>
          <w:sz w:val="24"/>
          <w:szCs w:val="24"/>
        </w:rPr>
        <w:lastRenderedPageBreak/>
        <w:t xml:space="preserve">                                            </w:t>
      </w:r>
      <w:r w:rsidR="00B82F55" w:rsidRPr="00180DCB">
        <w:rPr>
          <w:rFonts w:ascii="Arial" w:hAnsi="Arial" w:cs="Arial"/>
          <w:sz w:val="24"/>
          <w:szCs w:val="24"/>
        </w:rPr>
        <w:t xml:space="preserve">  </w:t>
      </w:r>
      <w:r w:rsidR="00EA7EFD">
        <w:rPr>
          <w:rFonts w:ascii="Arial" w:hAnsi="Arial" w:cs="Arial"/>
          <w:sz w:val="24"/>
          <w:szCs w:val="24"/>
        </w:rPr>
        <w:t xml:space="preserve">           </w:t>
      </w:r>
      <w:r w:rsidR="00B82F55" w:rsidRPr="00180DCB">
        <w:rPr>
          <w:rFonts w:ascii="Arial" w:hAnsi="Arial" w:cs="Arial"/>
          <w:sz w:val="24"/>
          <w:szCs w:val="24"/>
        </w:rPr>
        <w:t xml:space="preserve"> </w:t>
      </w:r>
      <w:bookmarkStart w:id="0" w:name="_Toc225779172"/>
      <w:r w:rsidR="00B82F55" w:rsidRPr="00180DCB">
        <w:rPr>
          <w:rFonts w:ascii="Arial" w:hAnsi="Arial" w:cs="Arial"/>
          <w:sz w:val="24"/>
          <w:szCs w:val="24"/>
        </w:rPr>
        <w:t>Part 1.</w:t>
      </w:r>
      <w:bookmarkEnd w:id="0"/>
    </w:p>
    <w:p w14:paraId="673FA7B1" w14:textId="5F7ED607" w:rsidR="00A26B49" w:rsidRPr="003044D2" w:rsidRDefault="00A26B49" w:rsidP="003044D2">
      <w:pPr>
        <w:pStyle w:val="Heading1"/>
        <w:numPr>
          <w:ilvl w:val="0"/>
          <w:numId w:val="2"/>
        </w:numPr>
        <w:spacing w:line="360" w:lineRule="auto"/>
        <w:jc w:val="both"/>
        <w:rPr>
          <w:rFonts w:ascii="Arial" w:hAnsi="Arial" w:cs="Arial"/>
          <w:sz w:val="24"/>
          <w:szCs w:val="24"/>
        </w:rPr>
      </w:pPr>
      <w:bookmarkStart w:id="1" w:name="_Toc225779173"/>
      <w:r w:rsidRPr="00180DCB">
        <w:rPr>
          <w:rFonts w:ascii="Arial" w:hAnsi="Arial" w:cs="Arial"/>
          <w:sz w:val="24"/>
          <w:szCs w:val="24"/>
        </w:rPr>
        <w:t>Introduction</w:t>
      </w:r>
      <w:bookmarkEnd w:id="1"/>
    </w:p>
    <w:p w14:paraId="79C56BA9" w14:textId="52DA29F4" w:rsidR="00A26B49" w:rsidRPr="00180DCB" w:rsidRDefault="00A26B49" w:rsidP="00180DCB">
      <w:pPr>
        <w:spacing w:line="360" w:lineRule="auto"/>
        <w:jc w:val="both"/>
        <w:rPr>
          <w:rFonts w:ascii="Arial" w:hAnsi="Arial" w:cs="Arial"/>
        </w:rPr>
      </w:pPr>
      <w:r w:rsidRPr="00180DCB">
        <w:rPr>
          <w:rFonts w:ascii="Arial" w:hAnsi="Arial" w:cs="Arial"/>
        </w:rPr>
        <w:t xml:space="preserve">Seren Coffi is a small independent coffee shop in Cardiff, built on a value-led idea rather than a purely profit-led one. Its independence </w:t>
      </w:r>
      <w:r w:rsidR="00697147">
        <w:rPr>
          <w:rFonts w:ascii="Arial" w:hAnsi="Arial" w:cs="Arial"/>
        </w:rPr>
        <w:t>stems from Welsh-language signage, reclaimed furniture, visible sourcing information, and a community atmosphere fostered</w:t>
      </w:r>
      <w:r w:rsidRPr="00180DCB">
        <w:rPr>
          <w:rFonts w:ascii="Arial" w:hAnsi="Arial" w:cs="Arial"/>
        </w:rPr>
        <w:t xml:space="preserve"> through poetry evenings, language exchanges, and pay-what-you-can events. In strategic terms, that gave Seren Coffi a distinctive value proposition: customers were not only buying coffee</w:t>
      </w:r>
      <w:r w:rsidR="00697147">
        <w:rPr>
          <w:rFonts w:ascii="Arial" w:hAnsi="Arial" w:cs="Arial"/>
        </w:rPr>
        <w:t xml:space="preserve"> but also</w:t>
      </w:r>
      <w:r w:rsidRPr="00180DCB">
        <w:rPr>
          <w:rFonts w:ascii="Arial" w:hAnsi="Arial" w:cs="Arial"/>
        </w:rPr>
        <w:t xml:space="preserve"> buying into authenticity, place, ethics, and belonging.</w:t>
      </w:r>
    </w:p>
    <w:p w14:paraId="46F964BD" w14:textId="3E2624AF" w:rsidR="00A26B49" w:rsidRPr="00180DCB" w:rsidRDefault="00E5609C" w:rsidP="00180DCB">
      <w:pPr>
        <w:spacing w:line="360" w:lineRule="auto"/>
        <w:jc w:val="both"/>
        <w:rPr>
          <w:rFonts w:ascii="Arial" w:hAnsi="Arial" w:cs="Arial"/>
        </w:rPr>
      </w:pPr>
      <w:r>
        <w:rPr>
          <w:rFonts w:ascii="Arial" w:hAnsi="Arial" w:cs="Arial"/>
        </w:rPr>
        <w:t>Innovation literature often emphasizes that differentiation is most effective when a business combines a clear market offer with a consistent organizational identity, and Seren Coffi originally achieved that balance (Tidd and Bessant, 2018; Turner, 2020; Kotler and Keller, 2016).</w:t>
      </w:r>
    </w:p>
    <w:p w14:paraId="0C8E427F" w14:textId="7E588B17" w:rsidR="00A26B49" w:rsidRPr="00180DCB" w:rsidRDefault="00A26B49" w:rsidP="00180DCB">
      <w:pPr>
        <w:spacing w:line="360" w:lineRule="auto"/>
        <w:jc w:val="both"/>
        <w:rPr>
          <w:rFonts w:ascii="Arial" w:hAnsi="Arial" w:cs="Arial"/>
        </w:rPr>
      </w:pPr>
      <w:r w:rsidRPr="00180DCB">
        <w:rPr>
          <w:rFonts w:ascii="Arial" w:hAnsi="Arial" w:cs="Arial"/>
        </w:rPr>
        <w:t>The issue is that</w:t>
      </w:r>
      <w:r w:rsidR="00B82F55" w:rsidRPr="00180DCB">
        <w:rPr>
          <w:rFonts w:ascii="Arial" w:hAnsi="Arial" w:cs="Arial"/>
        </w:rPr>
        <w:t xml:space="preserve"> the concept remained attractive while the organisation behind it weakened. The founders failed to put a servicing contract in place for essential equipment, which left the business exposed when repairs and parts became difficult.</w:t>
      </w:r>
    </w:p>
    <w:p w14:paraId="2634C341" w14:textId="71954682" w:rsidR="00B82F55" w:rsidRPr="00180DCB" w:rsidRDefault="00B82F55" w:rsidP="00180DCB">
      <w:pPr>
        <w:spacing w:line="360" w:lineRule="auto"/>
        <w:jc w:val="both"/>
        <w:rPr>
          <w:rFonts w:ascii="Arial" w:hAnsi="Arial" w:cs="Arial"/>
        </w:rPr>
      </w:pPr>
      <w:r w:rsidRPr="00180DCB">
        <w:rPr>
          <w:rFonts w:ascii="Arial" w:hAnsi="Arial" w:cs="Arial"/>
        </w:rPr>
        <w:t>Founder commitment also slipped: one founder took a part-time job, the other began missing shifts and meetings, and key decisions were repeatedly delayed. At the same time, the detailed chalkboard storytelling and regular events that once supported the coffee identity started to fade. This suggests that Seren Coffi did not lose customer relevance</w:t>
      </w:r>
      <w:r w:rsidR="003044D2">
        <w:rPr>
          <w:rFonts w:ascii="Arial" w:hAnsi="Arial" w:cs="Arial"/>
        </w:rPr>
        <w:t>;</w:t>
      </w:r>
      <w:r w:rsidRPr="00180DCB">
        <w:rPr>
          <w:rFonts w:ascii="Arial" w:hAnsi="Arial" w:cs="Arial"/>
        </w:rPr>
        <w:t xml:space="preserve"> it lost operational grip. As Trott (2016) and Van de Ven (1987) note, innovation fails as often through weak implementation systems as through weak ideas.</w:t>
      </w:r>
    </w:p>
    <w:p w14:paraId="3FED4F54" w14:textId="77777777" w:rsidR="00B82F55" w:rsidRPr="00180DCB" w:rsidRDefault="00B82F55" w:rsidP="00180DCB">
      <w:pPr>
        <w:spacing w:line="360" w:lineRule="auto"/>
        <w:jc w:val="both"/>
        <w:rPr>
          <w:rFonts w:ascii="Arial" w:hAnsi="Arial" w:cs="Arial"/>
        </w:rPr>
      </w:pPr>
    </w:p>
    <w:p w14:paraId="0D53C61E" w14:textId="77777777" w:rsidR="00B82F55" w:rsidRPr="00180DCB" w:rsidRDefault="00B82F55" w:rsidP="00180DCB">
      <w:pPr>
        <w:spacing w:line="360" w:lineRule="auto"/>
        <w:jc w:val="both"/>
        <w:rPr>
          <w:rFonts w:ascii="Arial" w:hAnsi="Arial" w:cs="Arial"/>
        </w:rPr>
      </w:pPr>
    </w:p>
    <w:p w14:paraId="072B1B04" w14:textId="77777777" w:rsidR="00B82F55" w:rsidRPr="00180DCB" w:rsidRDefault="00B82F55" w:rsidP="00180DCB">
      <w:pPr>
        <w:spacing w:line="360" w:lineRule="auto"/>
        <w:jc w:val="both"/>
        <w:rPr>
          <w:rFonts w:ascii="Arial" w:hAnsi="Arial" w:cs="Arial"/>
        </w:rPr>
      </w:pPr>
    </w:p>
    <w:p w14:paraId="03253357" w14:textId="77777777" w:rsidR="00B82F55" w:rsidRPr="00180DCB" w:rsidRDefault="00B82F55" w:rsidP="00180DCB">
      <w:pPr>
        <w:spacing w:line="360" w:lineRule="auto"/>
        <w:jc w:val="both"/>
        <w:rPr>
          <w:rFonts w:ascii="Arial" w:hAnsi="Arial" w:cs="Arial"/>
        </w:rPr>
      </w:pPr>
    </w:p>
    <w:p w14:paraId="429B5C8F" w14:textId="77777777" w:rsidR="00B82F55" w:rsidRPr="00180DCB" w:rsidRDefault="00B82F55" w:rsidP="00180DCB">
      <w:pPr>
        <w:spacing w:line="360" w:lineRule="auto"/>
        <w:jc w:val="both"/>
        <w:rPr>
          <w:rFonts w:ascii="Arial" w:hAnsi="Arial" w:cs="Arial"/>
        </w:rPr>
      </w:pPr>
    </w:p>
    <w:p w14:paraId="15E8B160" w14:textId="77777777" w:rsidR="00B82F55" w:rsidRDefault="00B82F55" w:rsidP="00180DCB">
      <w:pPr>
        <w:spacing w:line="360" w:lineRule="auto"/>
        <w:jc w:val="both"/>
        <w:rPr>
          <w:rFonts w:ascii="Arial" w:hAnsi="Arial" w:cs="Arial"/>
        </w:rPr>
      </w:pPr>
    </w:p>
    <w:p w14:paraId="6DB82191" w14:textId="77777777" w:rsidR="00180DCB" w:rsidRPr="00180DCB" w:rsidRDefault="00180DCB" w:rsidP="00180DCB">
      <w:pPr>
        <w:spacing w:line="360" w:lineRule="auto"/>
        <w:jc w:val="both"/>
        <w:rPr>
          <w:rFonts w:ascii="Arial" w:hAnsi="Arial" w:cs="Arial"/>
        </w:rPr>
      </w:pPr>
    </w:p>
    <w:p w14:paraId="28F38B76" w14:textId="47B6CE99" w:rsidR="00180DCB" w:rsidRPr="003044D2" w:rsidRDefault="00B82F55" w:rsidP="003044D2">
      <w:pPr>
        <w:pStyle w:val="Heading1"/>
        <w:numPr>
          <w:ilvl w:val="0"/>
          <w:numId w:val="2"/>
        </w:numPr>
        <w:spacing w:line="360" w:lineRule="auto"/>
        <w:jc w:val="both"/>
        <w:rPr>
          <w:rFonts w:ascii="Arial" w:hAnsi="Arial" w:cs="Arial"/>
          <w:sz w:val="24"/>
          <w:szCs w:val="24"/>
        </w:rPr>
      </w:pPr>
      <w:bookmarkStart w:id="2" w:name="_Toc225779174"/>
      <w:r w:rsidRPr="00180DCB">
        <w:rPr>
          <w:rFonts w:ascii="Arial" w:hAnsi="Arial" w:cs="Arial"/>
          <w:sz w:val="24"/>
          <w:szCs w:val="24"/>
        </w:rPr>
        <w:lastRenderedPageBreak/>
        <w:t>Critical Analysis</w:t>
      </w:r>
      <w:bookmarkEnd w:id="2"/>
    </w:p>
    <w:p w14:paraId="12052F83" w14:textId="499563D4" w:rsidR="00B82F55" w:rsidRPr="00180DCB" w:rsidRDefault="00B82F55" w:rsidP="00180DCB">
      <w:pPr>
        <w:spacing w:line="360" w:lineRule="auto"/>
        <w:jc w:val="both"/>
        <w:rPr>
          <w:rFonts w:ascii="Arial" w:hAnsi="Arial" w:cs="Arial"/>
        </w:rPr>
      </w:pPr>
      <w:r w:rsidRPr="00180DCB">
        <w:rPr>
          <w:rFonts w:ascii="Arial" w:hAnsi="Arial" w:cs="Arial"/>
        </w:rPr>
        <w:t>Creativity and Innovation are closely linked, but they are not interchangeable.</w:t>
      </w:r>
      <w:r w:rsidR="00BD204B" w:rsidRPr="00180DCB">
        <w:rPr>
          <w:rFonts w:ascii="Arial" w:hAnsi="Arial" w:cs="Arial"/>
        </w:rPr>
        <w:t xml:space="preserve"> Creativity refers to the generation of novel and useful ideas, while innovation concerns the implementation of those ideas in products, services, processes, or business models (Amabile, 1988).</w:t>
      </w:r>
    </w:p>
    <w:p w14:paraId="324E4B8F" w14:textId="7953AAB0" w:rsidR="00BD204B" w:rsidRPr="00180DCB" w:rsidRDefault="00BD204B" w:rsidP="00180DCB">
      <w:pPr>
        <w:spacing w:line="360" w:lineRule="auto"/>
        <w:jc w:val="both"/>
        <w:rPr>
          <w:rFonts w:ascii="Arial" w:hAnsi="Arial" w:cs="Arial"/>
        </w:rPr>
      </w:pPr>
      <w:r w:rsidRPr="00180DCB">
        <w:rPr>
          <w:rFonts w:ascii="Arial" w:hAnsi="Arial" w:cs="Arial"/>
        </w:rPr>
        <w:t>Seren Coffi is a good example of a business that began with strong creativity. The founders designed a coffee shop with symbolic depth, local relevance, and ethical texture. In Schumpeter’s (1934) terms, the original concept disrupted the normal c</w:t>
      </w:r>
      <w:r w:rsidR="006F3297" w:rsidRPr="00180DCB">
        <w:rPr>
          <w:rFonts w:ascii="Arial" w:hAnsi="Arial" w:cs="Arial"/>
        </w:rPr>
        <w:t xml:space="preserve">offee shop </w:t>
      </w:r>
      <w:r w:rsidRPr="00180DCB">
        <w:rPr>
          <w:rFonts w:ascii="Arial" w:hAnsi="Arial" w:cs="Arial"/>
        </w:rPr>
        <w:t>offer through a distinctive combination of cultural identity and community value.</w:t>
      </w:r>
    </w:p>
    <w:p w14:paraId="4F8A1ADB" w14:textId="398472AE" w:rsidR="00BD204B" w:rsidRPr="00180DCB" w:rsidRDefault="00BD204B" w:rsidP="00180DCB">
      <w:pPr>
        <w:spacing w:line="360" w:lineRule="auto"/>
        <w:jc w:val="both"/>
        <w:rPr>
          <w:rFonts w:ascii="Arial" w:hAnsi="Arial" w:cs="Arial"/>
        </w:rPr>
      </w:pPr>
      <w:r w:rsidRPr="00180DCB">
        <w:rPr>
          <w:rFonts w:ascii="Arial" w:hAnsi="Arial" w:cs="Arial"/>
        </w:rPr>
        <w:t>However, innovation requires more than originality. It needs discipline, organisational learning, and routines that allow an idea to survive operational pressure (Trott, 2016; Damanpour, 1991). That is where Seren Coffi struggled</w:t>
      </w:r>
      <w:r w:rsidR="003B2C76" w:rsidRPr="00180DCB">
        <w:rPr>
          <w:rFonts w:ascii="Arial" w:hAnsi="Arial" w:cs="Arial"/>
        </w:rPr>
        <w:t>. The absence of a servicing contract, slow decision-making, staffing strain, and founder disengagement indicate that the cofounders’ creative strengths were not matched by implementation capabilities. March (1991) makes the point that organisations must balance exploration with exploitation: generating fresh ideas matters, but so does maintaining reliable execution. Seren Coffi explored well at the beginning but underinvested in the system needed to exploit and sustain what it had created.</w:t>
      </w:r>
    </w:p>
    <w:p w14:paraId="5B410EFF" w14:textId="6C57BB2B" w:rsidR="003B2C76" w:rsidRPr="00180DCB" w:rsidRDefault="003B2C76" w:rsidP="00180DCB">
      <w:pPr>
        <w:spacing w:line="360" w:lineRule="auto"/>
        <w:jc w:val="both"/>
        <w:rPr>
          <w:rFonts w:ascii="Arial" w:hAnsi="Arial" w:cs="Arial"/>
        </w:rPr>
      </w:pPr>
      <w:r w:rsidRPr="00180DCB">
        <w:rPr>
          <w:rFonts w:ascii="Arial" w:hAnsi="Arial" w:cs="Arial"/>
        </w:rPr>
        <w:t>When this is examined against the capitalist methodology of business growth, the tensions become sharper. A capitalist growth model typically values scale, efficiency, standardisation, replicability, and margin improvement. From that perspective</w:t>
      </w:r>
      <w:r w:rsidR="00CA762A" w:rsidRPr="00180DCB">
        <w:rPr>
          <w:rFonts w:ascii="Arial" w:hAnsi="Arial" w:cs="Arial"/>
        </w:rPr>
        <w:t>, the hospitality group’s offer makes sense. A partnership could reduce equipment risk, create operational structure, widen channels, and prepare the business for expansion.</w:t>
      </w:r>
    </w:p>
    <w:p w14:paraId="70C1ED68" w14:textId="3B13A4B1" w:rsidR="00CA762A" w:rsidRPr="00180DCB" w:rsidRDefault="00CA762A" w:rsidP="00180DCB">
      <w:pPr>
        <w:spacing w:line="360" w:lineRule="auto"/>
        <w:jc w:val="both"/>
        <w:rPr>
          <w:rFonts w:ascii="Arial" w:hAnsi="Arial" w:cs="Arial"/>
        </w:rPr>
      </w:pPr>
      <w:r w:rsidRPr="00180DCB">
        <w:rPr>
          <w:rFonts w:ascii="Arial" w:hAnsi="Arial" w:cs="Arial"/>
        </w:rPr>
        <w:t>Foss and Saebi (2015) say that business model innovation often emerges when firms redesign how value is delivered and monetised, while Teece, Pisano, and Shuen (1997) show that firms need dynamic capabilities if they are to adapt successfully over time.</w:t>
      </w:r>
    </w:p>
    <w:p w14:paraId="2295714D" w14:textId="0951DAF5" w:rsidR="00CA762A" w:rsidRPr="00180DCB" w:rsidRDefault="00CA762A" w:rsidP="00180DCB">
      <w:pPr>
        <w:spacing w:line="360" w:lineRule="auto"/>
        <w:jc w:val="both"/>
        <w:rPr>
          <w:rFonts w:ascii="Arial" w:hAnsi="Arial" w:cs="Arial"/>
        </w:rPr>
      </w:pPr>
      <w:r w:rsidRPr="00180DCB">
        <w:rPr>
          <w:rFonts w:ascii="Arial" w:hAnsi="Arial" w:cs="Arial"/>
        </w:rPr>
        <w:t xml:space="preserve">The capitalist logic of growth is not neutral. Christensen, Raynor, and McDonald (2015) show that business success often depends on aligning innovation with the real job </w:t>
      </w:r>
      <w:r w:rsidRPr="00180DCB">
        <w:rPr>
          <w:rFonts w:ascii="Arial" w:hAnsi="Arial" w:cs="Arial"/>
        </w:rPr>
        <w:lastRenderedPageBreak/>
        <w:t>customers want done. In Seren Coffi’s case, the job is not only about convenience or low price, but it is also about meaning, atmosphere, and community.</w:t>
      </w:r>
    </w:p>
    <w:p w14:paraId="547F53B0" w14:textId="50BCF726" w:rsidR="00CA762A" w:rsidRPr="00180DCB" w:rsidRDefault="00CA762A" w:rsidP="00180DCB">
      <w:pPr>
        <w:spacing w:line="360" w:lineRule="auto"/>
        <w:jc w:val="both"/>
        <w:rPr>
          <w:rFonts w:ascii="Arial" w:hAnsi="Arial" w:cs="Arial"/>
        </w:rPr>
      </w:pPr>
      <w:r w:rsidRPr="00180DCB">
        <w:rPr>
          <w:rFonts w:ascii="Arial" w:hAnsi="Arial" w:cs="Arial"/>
        </w:rPr>
        <w:t>If growth becomes too standardised, the business may become easier to manage but less worth visiting. Hamel (1996) warned that strategy becomes weak when firms imitate industry norms</w:t>
      </w:r>
      <w:r w:rsidR="00895FD6" w:rsidRPr="00180DCB">
        <w:rPr>
          <w:rFonts w:ascii="Arial" w:hAnsi="Arial" w:cs="Arial"/>
        </w:rPr>
        <w:t xml:space="preserve"> instead of preserving sources of difference. According to Chesbrough, Vanhaverbeke, and West (2014), innovation is increasingly about rethinking value creation, not simply increasing output. For Seren Coffi, excessive standardisation risks turning a distinctive place into just another </w:t>
      </w:r>
      <w:r w:rsidR="006F3297" w:rsidRPr="00180DCB">
        <w:rPr>
          <w:rFonts w:ascii="Arial" w:hAnsi="Arial" w:cs="Arial"/>
        </w:rPr>
        <w:t>coffee shop</w:t>
      </w:r>
      <w:r w:rsidR="00895FD6" w:rsidRPr="00180DCB">
        <w:rPr>
          <w:rFonts w:ascii="Arial" w:hAnsi="Arial" w:cs="Arial"/>
        </w:rPr>
        <w:t>.</w:t>
      </w:r>
    </w:p>
    <w:p w14:paraId="49A65D71" w14:textId="426870FC" w:rsidR="00895FD6" w:rsidRPr="00180DCB" w:rsidRDefault="00895FD6" w:rsidP="00180DCB">
      <w:pPr>
        <w:spacing w:line="360" w:lineRule="auto"/>
        <w:jc w:val="both"/>
        <w:rPr>
          <w:rFonts w:ascii="Arial" w:hAnsi="Arial" w:cs="Arial"/>
        </w:rPr>
      </w:pPr>
      <w:r w:rsidRPr="00180DCB">
        <w:rPr>
          <w:rFonts w:ascii="Arial" w:hAnsi="Arial" w:cs="Arial"/>
        </w:rPr>
        <w:t xml:space="preserve">This creates a real contradiction. From a capitalist viewpoint, growth appears rational because the current business is fragile. From a value-led viewpoint, the same growth path may damage the </w:t>
      </w:r>
      <w:r w:rsidR="006F3297" w:rsidRPr="00180DCB">
        <w:rPr>
          <w:rFonts w:ascii="Arial" w:hAnsi="Arial" w:cs="Arial"/>
        </w:rPr>
        <w:t>coffee shop's</w:t>
      </w:r>
      <w:r w:rsidRPr="00180DCB">
        <w:rPr>
          <w:rFonts w:ascii="Arial" w:hAnsi="Arial" w:cs="Arial"/>
        </w:rPr>
        <w:t xml:space="preserve"> social capital. Turner (2020) says that sustainable innovation depends on people, purpose, and adaptive leadership, not only commercial expansion.</w:t>
      </w:r>
    </w:p>
    <w:p w14:paraId="717A70AC" w14:textId="5BC6E35B" w:rsidR="00895FD6" w:rsidRPr="00180DCB" w:rsidRDefault="00895FD6" w:rsidP="00180DCB">
      <w:pPr>
        <w:spacing w:line="360" w:lineRule="auto"/>
        <w:jc w:val="both"/>
        <w:rPr>
          <w:rFonts w:ascii="Arial" w:hAnsi="Arial" w:cs="Arial"/>
        </w:rPr>
      </w:pPr>
      <w:r w:rsidRPr="00180DCB">
        <w:rPr>
          <w:rFonts w:ascii="Arial" w:hAnsi="Arial" w:cs="Arial"/>
        </w:rPr>
        <w:t>Kim and Mauborgne (2005) make a similar point: long-term value often comes from creating a different space, not competing harder within the same one. Seren Coffi</w:t>
      </w:r>
      <w:r w:rsidR="00915001" w:rsidRPr="00180DCB">
        <w:rPr>
          <w:rFonts w:ascii="Arial" w:hAnsi="Arial" w:cs="Arial"/>
        </w:rPr>
        <w:t>,</w:t>
      </w:r>
      <w:r w:rsidRPr="00180DCB">
        <w:rPr>
          <w:rFonts w:ascii="Arial" w:hAnsi="Arial" w:cs="Arial"/>
        </w:rPr>
        <w:t xml:space="preserve"> therefore</w:t>
      </w:r>
      <w:r w:rsidR="00915001" w:rsidRPr="00180DCB">
        <w:rPr>
          <w:rFonts w:ascii="Arial" w:hAnsi="Arial" w:cs="Arial"/>
        </w:rPr>
        <w:t>,</w:t>
      </w:r>
      <w:r w:rsidRPr="00180DCB">
        <w:rPr>
          <w:rFonts w:ascii="Arial" w:hAnsi="Arial" w:cs="Arial"/>
        </w:rPr>
        <w:t xml:space="preserve"> needs an innovation that improves viability without </w:t>
      </w:r>
      <w:r w:rsidR="00915001" w:rsidRPr="00180DCB">
        <w:rPr>
          <w:rFonts w:ascii="Arial" w:hAnsi="Arial" w:cs="Arial"/>
        </w:rPr>
        <w:t>sacrificing the meaning that underpins demand. The task is not to reject commercial logic entirely, but to keep it in proportion.</w:t>
      </w:r>
    </w:p>
    <w:p w14:paraId="0847E5F1" w14:textId="77777777" w:rsidR="00915001" w:rsidRPr="00180DCB" w:rsidRDefault="00915001" w:rsidP="00180DCB">
      <w:pPr>
        <w:spacing w:line="360" w:lineRule="auto"/>
        <w:jc w:val="both"/>
        <w:rPr>
          <w:rFonts w:ascii="Arial" w:hAnsi="Arial" w:cs="Arial"/>
        </w:rPr>
      </w:pPr>
    </w:p>
    <w:p w14:paraId="132A263D" w14:textId="77777777" w:rsidR="00895FD6" w:rsidRPr="00180DCB" w:rsidRDefault="00895FD6" w:rsidP="00180DCB">
      <w:pPr>
        <w:spacing w:line="360" w:lineRule="auto"/>
        <w:jc w:val="both"/>
        <w:rPr>
          <w:rFonts w:ascii="Arial" w:hAnsi="Arial" w:cs="Arial"/>
        </w:rPr>
      </w:pPr>
    </w:p>
    <w:p w14:paraId="53B8B192" w14:textId="77777777" w:rsidR="00B82F55" w:rsidRPr="00180DCB" w:rsidRDefault="00B82F55" w:rsidP="00180DCB">
      <w:pPr>
        <w:spacing w:line="360" w:lineRule="auto"/>
        <w:jc w:val="both"/>
        <w:rPr>
          <w:rFonts w:ascii="Arial" w:hAnsi="Arial" w:cs="Arial"/>
        </w:rPr>
      </w:pPr>
    </w:p>
    <w:p w14:paraId="27E3D448" w14:textId="77777777" w:rsidR="00915001" w:rsidRPr="00180DCB" w:rsidRDefault="00915001" w:rsidP="00180DCB">
      <w:pPr>
        <w:spacing w:line="360" w:lineRule="auto"/>
        <w:jc w:val="both"/>
        <w:rPr>
          <w:rFonts w:ascii="Arial" w:hAnsi="Arial" w:cs="Arial"/>
        </w:rPr>
      </w:pPr>
    </w:p>
    <w:p w14:paraId="2258C1BD" w14:textId="77777777" w:rsidR="00915001" w:rsidRPr="00180DCB" w:rsidRDefault="00915001" w:rsidP="00180DCB">
      <w:pPr>
        <w:spacing w:line="360" w:lineRule="auto"/>
        <w:jc w:val="both"/>
        <w:rPr>
          <w:rFonts w:ascii="Arial" w:hAnsi="Arial" w:cs="Arial"/>
        </w:rPr>
      </w:pPr>
    </w:p>
    <w:p w14:paraId="103742CA" w14:textId="77777777" w:rsidR="00915001" w:rsidRPr="00180DCB" w:rsidRDefault="00915001" w:rsidP="00180DCB">
      <w:pPr>
        <w:spacing w:line="360" w:lineRule="auto"/>
        <w:jc w:val="both"/>
        <w:rPr>
          <w:rFonts w:ascii="Arial" w:hAnsi="Arial" w:cs="Arial"/>
        </w:rPr>
      </w:pPr>
    </w:p>
    <w:p w14:paraId="2317ECAB" w14:textId="77777777" w:rsidR="00915001" w:rsidRPr="00180DCB" w:rsidRDefault="00915001" w:rsidP="00180DCB">
      <w:pPr>
        <w:spacing w:line="360" w:lineRule="auto"/>
        <w:jc w:val="both"/>
        <w:rPr>
          <w:rFonts w:ascii="Arial" w:hAnsi="Arial" w:cs="Arial"/>
        </w:rPr>
      </w:pPr>
    </w:p>
    <w:p w14:paraId="05E00227" w14:textId="7C7E93AD" w:rsidR="00915001" w:rsidRDefault="00915001" w:rsidP="00224C96">
      <w:pPr>
        <w:pStyle w:val="Heading1"/>
        <w:spacing w:line="360" w:lineRule="auto"/>
        <w:jc w:val="both"/>
        <w:rPr>
          <w:rFonts w:ascii="Arial" w:hAnsi="Arial" w:cs="Arial"/>
          <w:sz w:val="24"/>
          <w:szCs w:val="24"/>
        </w:rPr>
      </w:pPr>
    </w:p>
    <w:p w14:paraId="32EFACC7" w14:textId="77777777" w:rsidR="003044D2" w:rsidRPr="003044D2" w:rsidRDefault="003044D2" w:rsidP="003044D2"/>
    <w:p w14:paraId="639D754D" w14:textId="3B3797BC" w:rsidR="002310BF" w:rsidRPr="00180DCB" w:rsidRDefault="003044D2" w:rsidP="0053505E">
      <w:pPr>
        <w:pStyle w:val="Heading1"/>
      </w:pPr>
      <w:bookmarkStart w:id="3" w:name="_Toc225779175"/>
      <w:r>
        <w:lastRenderedPageBreak/>
        <w:t>3.4Ps</w:t>
      </w:r>
      <w:bookmarkEnd w:id="3"/>
    </w:p>
    <w:p w14:paraId="3CF1F096" w14:textId="37F2227A" w:rsidR="00915001" w:rsidRPr="00180DCB" w:rsidRDefault="00915001" w:rsidP="00180DCB">
      <w:pPr>
        <w:spacing w:line="360" w:lineRule="auto"/>
        <w:jc w:val="both"/>
        <w:rPr>
          <w:rFonts w:ascii="Arial" w:hAnsi="Arial" w:cs="Arial"/>
        </w:rPr>
      </w:pPr>
      <w:r w:rsidRPr="00180DCB">
        <w:rPr>
          <w:rFonts w:ascii="Arial" w:hAnsi="Arial" w:cs="Arial"/>
        </w:rPr>
        <w:t>The proposed innovation is a conditional partnership model. Seren Coffi should accept the small hospitality group’s offer if it returns, but only under clear terms. The current Cardiff site should remain the flagship and should not make changes to the atmosphere or core menu.</w:t>
      </w:r>
    </w:p>
    <w:p w14:paraId="673042E1" w14:textId="799D91BB" w:rsidR="00915001" w:rsidRPr="00180DCB" w:rsidRDefault="00915001" w:rsidP="00180DCB">
      <w:pPr>
        <w:spacing w:line="360" w:lineRule="auto"/>
        <w:jc w:val="both"/>
        <w:rPr>
          <w:rFonts w:ascii="Arial" w:hAnsi="Arial" w:cs="Arial"/>
        </w:rPr>
      </w:pPr>
      <w:r w:rsidRPr="00180DCB">
        <w:rPr>
          <w:rFonts w:ascii="Arial" w:hAnsi="Arial" w:cs="Arial"/>
        </w:rPr>
        <w:t>The partnership should instead be used selectively: to secure a lease-hire coffee machine so repairs become the partner’s responsibility, to negotiate access to a grinder, to add limited food equipment such as panini or sandwich capability, to introduce digital ordering screens, to expand access through Del</w:t>
      </w:r>
      <w:r w:rsidR="001E16EA" w:rsidRPr="00180DCB">
        <w:rPr>
          <w:rFonts w:ascii="Arial" w:hAnsi="Arial" w:cs="Arial"/>
        </w:rPr>
        <w:t>i</w:t>
      </w:r>
      <w:r w:rsidRPr="00180DCB">
        <w:rPr>
          <w:rFonts w:ascii="Arial" w:hAnsi="Arial" w:cs="Arial"/>
        </w:rPr>
        <w:t>veroo, Uber Eats</w:t>
      </w:r>
      <w:r w:rsidR="001E16EA" w:rsidRPr="00180DCB">
        <w:rPr>
          <w:rFonts w:ascii="Arial" w:hAnsi="Arial" w:cs="Arial"/>
        </w:rPr>
        <w:t xml:space="preserve"> and Just Eat, and to pursue an alcohol licence for complementary offers such as Irish coffee, and Espesso Martini. This is not a full takeover; it is a controlled form of business model adaptation intended to stabilise the business while protecting its identity (Foss and Saebi, 2015).</w:t>
      </w:r>
    </w:p>
    <w:p w14:paraId="307001E6" w14:textId="32AC2486" w:rsidR="001E16EA" w:rsidRPr="00180DCB" w:rsidRDefault="001E16EA" w:rsidP="00180DCB">
      <w:pPr>
        <w:spacing w:line="360" w:lineRule="auto"/>
        <w:jc w:val="both"/>
        <w:rPr>
          <w:rFonts w:ascii="Arial" w:hAnsi="Arial" w:cs="Arial"/>
        </w:rPr>
      </w:pPr>
      <w:r w:rsidRPr="00180DCB">
        <w:rPr>
          <w:rFonts w:ascii="Arial" w:hAnsi="Arial" w:cs="Arial"/>
        </w:rPr>
        <w:t>From a Business Model Canvas perspective, the proposal changes several parts of the business without destroying the core value proposition. According to Osterwalder and Pigneur (2010), innovation often lies in reconfiguring key partners, key resources, channels and revenue streams.</w:t>
      </w:r>
    </w:p>
    <w:p w14:paraId="12223CC8" w14:textId="34B31297" w:rsidR="001E16EA" w:rsidRPr="00180DCB" w:rsidRDefault="001E16EA" w:rsidP="00180DCB">
      <w:pPr>
        <w:spacing w:line="360" w:lineRule="auto"/>
        <w:jc w:val="both"/>
        <w:rPr>
          <w:rFonts w:ascii="Arial" w:hAnsi="Arial" w:cs="Arial"/>
        </w:rPr>
      </w:pPr>
      <w:r w:rsidRPr="00180DCB">
        <w:rPr>
          <w:rFonts w:ascii="Arial" w:hAnsi="Arial" w:cs="Arial"/>
        </w:rPr>
        <w:t xml:space="preserve">In the Seren Coffi case, </w:t>
      </w:r>
      <w:r w:rsidR="00AF6F3C" w:rsidRPr="00180DCB">
        <w:rPr>
          <w:rFonts w:ascii="Arial" w:hAnsi="Arial" w:cs="Arial"/>
        </w:rPr>
        <w:t>the value proposition of community, authenticity, and quality remains in place. The hospitality group becomes a carefully bound key partner; lease-hire equipment becomes a protected key resource, delivery platforms become new channels, alcohol sales and limited food additions become supplementary revenue streams. That is why the proposal is better understood as a selective redesign of the model rather than a simple expansion plan.</w:t>
      </w:r>
    </w:p>
    <w:p w14:paraId="517AC090" w14:textId="02EB26BF" w:rsidR="00AF6F3C" w:rsidRPr="00180DCB" w:rsidRDefault="00AF6F3C" w:rsidP="00180DCB">
      <w:pPr>
        <w:spacing w:line="360" w:lineRule="auto"/>
        <w:jc w:val="both"/>
        <w:rPr>
          <w:rFonts w:ascii="Arial" w:hAnsi="Arial" w:cs="Arial"/>
        </w:rPr>
      </w:pPr>
      <w:r w:rsidRPr="00180DCB">
        <w:rPr>
          <w:rFonts w:ascii="Arial" w:hAnsi="Arial" w:cs="Arial"/>
        </w:rPr>
        <w:t>In relation to the 4Ps, the innovation is strongest when viewed as a joined-up package rather than as isolated actions.</w:t>
      </w:r>
    </w:p>
    <w:p w14:paraId="5911A6B8" w14:textId="0FCDD73C" w:rsidR="00AF6F3C" w:rsidRPr="00180DCB" w:rsidRDefault="00AF6F3C" w:rsidP="00180DCB">
      <w:pPr>
        <w:spacing w:line="360" w:lineRule="auto"/>
        <w:jc w:val="both"/>
        <w:rPr>
          <w:rFonts w:ascii="Arial" w:hAnsi="Arial" w:cs="Arial"/>
        </w:rPr>
      </w:pPr>
      <w:r w:rsidRPr="00180DCB">
        <w:rPr>
          <w:rFonts w:ascii="Arial" w:hAnsi="Arial" w:cs="Arial"/>
        </w:rPr>
        <w:t xml:space="preserve"> The core product remains specialty coffee delivered in a culturally distinctive setting. However, the offer is strengthened through limited additions rather than radical replacement. If the partner provides suitable equipment, Seren Coffi can </w:t>
      </w:r>
      <w:r w:rsidR="00254F76" w:rsidRPr="00180DCB">
        <w:rPr>
          <w:rFonts w:ascii="Arial" w:hAnsi="Arial" w:cs="Arial"/>
        </w:rPr>
        <w:t>introduce a wider range of products (food, drinks),</w:t>
      </w:r>
      <w:r w:rsidR="00217891">
        <w:rPr>
          <w:rFonts w:ascii="Arial" w:hAnsi="Arial" w:cs="Arial"/>
        </w:rPr>
        <w:t xml:space="preserve"> </w:t>
      </w:r>
      <w:r w:rsidR="00254F76" w:rsidRPr="00180DCB">
        <w:rPr>
          <w:rFonts w:ascii="Arial" w:hAnsi="Arial" w:cs="Arial"/>
        </w:rPr>
        <w:t xml:space="preserve">which could support evening events. Christensen et al. (2006) show that innovation can create value when it broadens what an organisation can do for its community without severing its original purpose. Trott </w:t>
      </w:r>
      <w:r w:rsidR="00254F76" w:rsidRPr="00180DCB">
        <w:rPr>
          <w:rFonts w:ascii="Arial" w:hAnsi="Arial" w:cs="Arial"/>
        </w:rPr>
        <w:lastRenderedPageBreak/>
        <w:t>(2016) also notes that incremental product development is often more suitable than radical change for smaller firms under pressure.</w:t>
      </w:r>
    </w:p>
    <w:p w14:paraId="66A85C26" w14:textId="58BEA694" w:rsidR="00254F76" w:rsidRPr="00180DCB" w:rsidRDefault="00254F76" w:rsidP="00180DCB">
      <w:pPr>
        <w:spacing w:line="360" w:lineRule="auto"/>
        <w:jc w:val="both"/>
        <w:rPr>
          <w:rFonts w:ascii="Arial" w:hAnsi="Arial" w:cs="Arial"/>
        </w:rPr>
      </w:pPr>
      <w:r w:rsidRPr="00180DCB">
        <w:rPr>
          <w:rFonts w:ascii="Arial" w:hAnsi="Arial" w:cs="Arial"/>
        </w:rPr>
        <w:t>The proposal does not rely on blunt price rises. Instead, it improves value capture by increasing average spend opportunities and widening revenue sources. Limited food addition, alcohol- based drinks</w:t>
      </w:r>
      <w:r w:rsidR="002310BF" w:rsidRPr="00180DCB">
        <w:rPr>
          <w:rFonts w:ascii="Arial" w:hAnsi="Arial" w:cs="Arial"/>
        </w:rPr>
        <w:t>,</w:t>
      </w:r>
      <w:r w:rsidRPr="00180DCB">
        <w:rPr>
          <w:rFonts w:ascii="Arial" w:hAnsi="Arial" w:cs="Arial"/>
        </w:rPr>
        <w:t xml:space="preserve"> and delivery orders all help the business earn more from the same brand. </w:t>
      </w:r>
    </w:p>
    <w:p w14:paraId="18B2BFC9" w14:textId="7DBE9A0C" w:rsidR="00AF6F3C" w:rsidRPr="00180DCB" w:rsidRDefault="00254F76" w:rsidP="00180DCB">
      <w:pPr>
        <w:spacing w:line="360" w:lineRule="auto"/>
        <w:jc w:val="both"/>
        <w:rPr>
          <w:rFonts w:ascii="Arial" w:hAnsi="Arial" w:cs="Arial"/>
        </w:rPr>
      </w:pPr>
      <w:r w:rsidRPr="00180DCB">
        <w:rPr>
          <w:rFonts w:ascii="Arial" w:hAnsi="Arial" w:cs="Arial"/>
        </w:rPr>
        <w:t>According to Kotler and Keller (2016), pricing strength depends not only on the sticker price, but on the total value architecture around the offer</w:t>
      </w:r>
      <w:r w:rsidR="009B37F1" w:rsidRPr="00180DCB">
        <w:rPr>
          <w:rFonts w:ascii="Arial" w:hAnsi="Arial" w:cs="Arial"/>
        </w:rPr>
        <w:t>. By protecting the Cardiff sire quality and story while adding complementary revenue streams, Seren Coffi can improve financial resilience without appearing to betray its values. Bhide (2009), says that innovation creates value when firms turn hidden assets into workable commercial returns.</w:t>
      </w:r>
    </w:p>
    <w:p w14:paraId="6E86EB5D" w14:textId="6C4B9D54" w:rsidR="009B37F1" w:rsidRPr="00180DCB" w:rsidRDefault="009B37F1" w:rsidP="00180DCB">
      <w:pPr>
        <w:spacing w:line="360" w:lineRule="auto"/>
        <w:jc w:val="both"/>
        <w:rPr>
          <w:rFonts w:ascii="Arial" w:hAnsi="Arial" w:cs="Arial"/>
        </w:rPr>
      </w:pPr>
      <w:r w:rsidRPr="00180DCB">
        <w:rPr>
          <w:rFonts w:ascii="Arial" w:hAnsi="Arial" w:cs="Arial"/>
        </w:rPr>
        <w:t xml:space="preserve">Seren Coffi should remain rooted in its current location, but it should no longer depend entirely on walk-in trade. A delivery partnership with Deliveroo, Uber Eats, and Just Eat would extend the coffee shop's reach beyond the physical queue and create new demand moments. Future sites opened with the hospitality group can be more flexible and more commercial, while the Cardiff site stays protected as the brand’s authentic anchor. </w:t>
      </w:r>
    </w:p>
    <w:p w14:paraId="3D2A45BA" w14:textId="3A7334F3" w:rsidR="009B37F1" w:rsidRPr="00180DCB" w:rsidRDefault="009B37F1" w:rsidP="00180DCB">
      <w:pPr>
        <w:spacing w:line="360" w:lineRule="auto"/>
        <w:jc w:val="both"/>
        <w:rPr>
          <w:rFonts w:ascii="Arial" w:hAnsi="Arial" w:cs="Arial"/>
        </w:rPr>
      </w:pPr>
      <w:r w:rsidRPr="00180DCB">
        <w:rPr>
          <w:rFonts w:ascii="Arial" w:hAnsi="Arial" w:cs="Arial"/>
        </w:rPr>
        <w:t xml:space="preserve">Manners-Bell and Lyon </w:t>
      </w:r>
      <w:r w:rsidR="00B57857" w:rsidRPr="00180DCB">
        <w:rPr>
          <w:rFonts w:ascii="Arial" w:hAnsi="Arial" w:cs="Arial"/>
        </w:rPr>
        <w:t>(2022) emphasize that resilient organisations use channel flexibility to manage disruption, and O’Reilly and Tushman (2024) show that organisations often need ambidexterity, one part preserves the core while another adapts to new opportunities.</w:t>
      </w:r>
    </w:p>
    <w:p w14:paraId="2C308EC7" w14:textId="4D278F7A" w:rsidR="00B57857" w:rsidRPr="00180DCB" w:rsidRDefault="00B57857" w:rsidP="00180DCB">
      <w:pPr>
        <w:spacing w:line="360" w:lineRule="auto"/>
        <w:jc w:val="both"/>
        <w:rPr>
          <w:rFonts w:ascii="Arial" w:hAnsi="Arial" w:cs="Arial"/>
        </w:rPr>
      </w:pPr>
      <w:r w:rsidRPr="00180DCB">
        <w:rPr>
          <w:rFonts w:ascii="Arial" w:hAnsi="Arial" w:cs="Arial"/>
        </w:rPr>
        <w:t>Digital ordering screens would improve communication, reduce queue friction, and help the business trade with fewer staff. Promotion would also be strengthened through clearer in-store messaging, delivery platform visibility, and a renewed story around Seren Coffi as the original flagship. In this sense, promotion is not simply advertising; it is a clearer presentation of what the business now stands for.</w:t>
      </w:r>
    </w:p>
    <w:p w14:paraId="3CA3D1B2" w14:textId="6261D358" w:rsidR="00B57857" w:rsidRPr="00180DCB" w:rsidRDefault="00B57857" w:rsidP="00180DCB">
      <w:pPr>
        <w:spacing w:line="360" w:lineRule="auto"/>
        <w:jc w:val="both"/>
        <w:rPr>
          <w:rFonts w:ascii="Arial" w:hAnsi="Arial" w:cs="Arial"/>
        </w:rPr>
      </w:pPr>
      <w:r w:rsidRPr="00180DCB">
        <w:rPr>
          <w:rFonts w:ascii="Arial" w:hAnsi="Arial" w:cs="Arial"/>
        </w:rPr>
        <w:t>Kotler and Keller (2016) make clear that effective promotion aligns with the wider offer, while Chesbrough, Vanhaverbeke, and West (2014) suggest that visibility matters most when it supports a compelling model of value creation.</w:t>
      </w:r>
    </w:p>
    <w:p w14:paraId="00429976" w14:textId="4F834B49" w:rsidR="00B57857" w:rsidRPr="00180DCB" w:rsidRDefault="00B57857" w:rsidP="00180DCB">
      <w:pPr>
        <w:spacing w:line="360" w:lineRule="auto"/>
        <w:jc w:val="both"/>
        <w:rPr>
          <w:rFonts w:ascii="Arial" w:hAnsi="Arial" w:cs="Arial"/>
        </w:rPr>
      </w:pPr>
      <w:r w:rsidRPr="00180DCB">
        <w:rPr>
          <w:rFonts w:ascii="Arial" w:hAnsi="Arial" w:cs="Arial"/>
        </w:rPr>
        <w:lastRenderedPageBreak/>
        <w:t>Overall, the innovation fits all 4Ps, but it is especially strong in place and product. More importantly, it uses the 4 Ps in a way that matches the</w:t>
      </w:r>
      <w:r w:rsidR="000B3143" w:rsidRPr="00180DCB">
        <w:rPr>
          <w:rFonts w:ascii="Arial" w:hAnsi="Arial" w:cs="Arial"/>
        </w:rPr>
        <w:t xml:space="preserve"> coffee </w:t>
      </w:r>
      <w:r w:rsidR="002310BF" w:rsidRPr="00180DCB">
        <w:rPr>
          <w:rFonts w:ascii="Arial" w:hAnsi="Arial" w:cs="Arial"/>
        </w:rPr>
        <w:t>shop's</w:t>
      </w:r>
      <w:r w:rsidR="000B3143" w:rsidRPr="00180DCB">
        <w:rPr>
          <w:rFonts w:ascii="Arial" w:hAnsi="Arial" w:cs="Arial"/>
        </w:rPr>
        <w:t xml:space="preserve"> actual problem, not a lack of demand, but a lack of resilience.</w:t>
      </w:r>
    </w:p>
    <w:p w14:paraId="74D0D1ED" w14:textId="6E7DE02C" w:rsidR="000B3143" w:rsidRPr="00180DCB" w:rsidRDefault="000B3143" w:rsidP="00180DCB">
      <w:pPr>
        <w:spacing w:line="360" w:lineRule="auto"/>
        <w:jc w:val="both"/>
        <w:rPr>
          <w:rFonts w:ascii="Arial" w:hAnsi="Arial" w:cs="Arial"/>
        </w:rPr>
      </w:pPr>
      <w:r w:rsidRPr="00180DCB">
        <w:rPr>
          <w:rFonts w:ascii="Arial" w:hAnsi="Arial" w:cs="Arial"/>
        </w:rPr>
        <w:t>Seren Coffi still had demand but no longer had the organisational strength to protect what made it special. That meant the problem had to be reframed. Instead of asking,” How can Seren Coffi grow?”, the better question was, “How can Seren Coffi become stable enough to survive without turning into something generic?” That matters because creativity is often shaped by the way a problem is defined in the first place (De Bono,1992).</w:t>
      </w:r>
    </w:p>
    <w:p w14:paraId="48EC3E8D" w14:textId="66CF0B9F" w:rsidR="000B3143" w:rsidRPr="00180DCB" w:rsidRDefault="000B3143" w:rsidP="00180DCB">
      <w:pPr>
        <w:spacing w:line="360" w:lineRule="auto"/>
        <w:jc w:val="both"/>
        <w:rPr>
          <w:rFonts w:ascii="Arial" w:hAnsi="Arial" w:cs="Arial"/>
        </w:rPr>
      </w:pPr>
      <w:r w:rsidRPr="00180DCB">
        <w:rPr>
          <w:rFonts w:ascii="Arial" w:hAnsi="Arial" w:cs="Arial"/>
        </w:rPr>
        <w:t xml:space="preserve">The process involved both divergent and convergent thinking. Divergent thinking opened a range of options: remain fully independent, standardise heavily, cut the concept back, pursue delivery, revive evening trade, or work with the hospitality group. Convergent thinking then filtered those options against the </w:t>
      </w:r>
      <w:r w:rsidR="00062ECE" w:rsidRPr="00180DCB">
        <w:rPr>
          <w:rFonts w:ascii="Arial" w:hAnsi="Arial" w:cs="Arial"/>
        </w:rPr>
        <w:t>actual</w:t>
      </w:r>
      <w:r w:rsidRPr="00180DCB">
        <w:rPr>
          <w:rFonts w:ascii="Arial" w:hAnsi="Arial" w:cs="Arial"/>
        </w:rPr>
        <w:t xml:space="preserve"> case constraints, including low cash, weak operational </w:t>
      </w:r>
      <w:r w:rsidR="00062ECE" w:rsidRPr="00180DCB">
        <w:rPr>
          <w:rFonts w:ascii="Arial" w:hAnsi="Arial" w:cs="Arial"/>
        </w:rPr>
        <w:t>follow-through,</w:t>
      </w:r>
      <w:r w:rsidRPr="00180DCB">
        <w:rPr>
          <w:rFonts w:ascii="Arial" w:hAnsi="Arial" w:cs="Arial"/>
        </w:rPr>
        <w:t xml:space="preserve"> and the need to preserve the cur</w:t>
      </w:r>
      <w:r w:rsidR="00062ECE" w:rsidRPr="00180DCB">
        <w:rPr>
          <w:rFonts w:ascii="Arial" w:hAnsi="Arial" w:cs="Arial"/>
        </w:rPr>
        <w:t>rent location’s identity. De Bono (1992) says that useful creativity often comes from escaping false choices. In this case, the false choice was between complete independence and complete standardisation.</w:t>
      </w:r>
    </w:p>
    <w:p w14:paraId="6F6BBCC1" w14:textId="47045B75" w:rsidR="00062ECE" w:rsidRPr="00180DCB" w:rsidRDefault="00062ECE" w:rsidP="00180DCB">
      <w:pPr>
        <w:spacing w:line="360" w:lineRule="auto"/>
        <w:jc w:val="both"/>
        <w:rPr>
          <w:rFonts w:ascii="Arial" w:hAnsi="Arial" w:cs="Arial"/>
        </w:rPr>
      </w:pPr>
      <w:r w:rsidRPr="00180DCB">
        <w:rPr>
          <w:rFonts w:ascii="Arial" w:hAnsi="Arial" w:cs="Arial"/>
        </w:rPr>
        <w:t>The final concept emerged as a negotiated middle path. The business can stay value-led at its flagship site while using outside support to repair weak areas. That reflects what Amabile et al. (1996) and Oldham and Cummings (1996) found about creative performance: people generate stronger ideas when challenge is present, but those ideas become useful only when context and resources are aligned.</w:t>
      </w:r>
    </w:p>
    <w:p w14:paraId="3D45D10E" w14:textId="6E05E4C1" w:rsidR="00062ECE" w:rsidRPr="00180DCB" w:rsidRDefault="00062ECE" w:rsidP="00180DCB">
      <w:pPr>
        <w:spacing w:line="360" w:lineRule="auto"/>
        <w:jc w:val="both"/>
        <w:rPr>
          <w:rFonts w:ascii="Arial" w:hAnsi="Arial" w:cs="Arial"/>
        </w:rPr>
      </w:pPr>
      <w:r w:rsidRPr="00180DCB">
        <w:rPr>
          <w:rFonts w:ascii="Arial" w:hAnsi="Arial" w:cs="Arial"/>
        </w:rPr>
        <w:t>According to Scott and Bruce</w:t>
      </w:r>
      <w:r w:rsidR="000A5B2C" w:rsidRPr="00180DCB">
        <w:rPr>
          <w:rFonts w:ascii="Arial" w:hAnsi="Arial" w:cs="Arial"/>
        </w:rPr>
        <w:t xml:space="preserve"> </w:t>
      </w:r>
      <w:r w:rsidRPr="00180DCB">
        <w:rPr>
          <w:rFonts w:ascii="Arial" w:hAnsi="Arial" w:cs="Arial"/>
        </w:rPr>
        <w:t>(1994), innovative behaviour is shaped not only by personality</w:t>
      </w:r>
      <w:r w:rsidR="000A5B2C" w:rsidRPr="00180DCB">
        <w:rPr>
          <w:rFonts w:ascii="Arial" w:hAnsi="Arial" w:cs="Arial"/>
        </w:rPr>
        <w:t xml:space="preserve"> </w:t>
      </w:r>
      <w:r w:rsidRPr="00180DCB">
        <w:rPr>
          <w:rFonts w:ascii="Arial" w:hAnsi="Arial" w:cs="Arial"/>
        </w:rPr>
        <w:t>but by organisational conditions. The conditional partnership model is therefore not a random compromise; it is a context-driven response that tries to reconcile purpose with practicality.</w:t>
      </w:r>
      <w:r w:rsidR="000A5B2C" w:rsidRPr="00180DCB">
        <w:rPr>
          <w:rFonts w:ascii="Arial" w:hAnsi="Arial" w:cs="Arial"/>
        </w:rPr>
        <w:t xml:space="preserve"> Chen, Liu, and Tjosvold (2005) also suggest that productive conflict can strengthen innovation when disagreement is used constructively. Here, the tension between community values and commercial realism became the source of the final concept rather than a barrier to it.</w:t>
      </w:r>
    </w:p>
    <w:p w14:paraId="2179FC9F" w14:textId="77777777" w:rsidR="000A5B2C" w:rsidRPr="00180DCB" w:rsidRDefault="000A5B2C" w:rsidP="00180DCB">
      <w:pPr>
        <w:spacing w:line="360" w:lineRule="auto"/>
        <w:jc w:val="both"/>
        <w:rPr>
          <w:rFonts w:ascii="Arial" w:hAnsi="Arial" w:cs="Arial"/>
        </w:rPr>
      </w:pPr>
    </w:p>
    <w:p w14:paraId="683E29EA" w14:textId="77777777" w:rsidR="00180DCB" w:rsidRPr="00180DCB" w:rsidRDefault="00180DCB" w:rsidP="00180DCB">
      <w:pPr>
        <w:spacing w:line="360" w:lineRule="auto"/>
        <w:jc w:val="both"/>
        <w:rPr>
          <w:rFonts w:ascii="Arial" w:hAnsi="Arial" w:cs="Arial"/>
        </w:rPr>
      </w:pPr>
    </w:p>
    <w:p w14:paraId="078DD272" w14:textId="09E189C5" w:rsidR="00062ECE" w:rsidRPr="0053505E" w:rsidRDefault="0053505E" w:rsidP="0053505E">
      <w:pPr>
        <w:pStyle w:val="Heading1"/>
        <w:spacing w:line="360" w:lineRule="auto"/>
        <w:ind w:left="360"/>
        <w:jc w:val="both"/>
        <w:rPr>
          <w:rFonts w:ascii="Arial" w:hAnsi="Arial" w:cs="Arial"/>
          <w:sz w:val="24"/>
          <w:szCs w:val="24"/>
        </w:rPr>
      </w:pPr>
      <w:bookmarkStart w:id="4" w:name="_Toc225779176"/>
      <w:r>
        <w:rPr>
          <w:rFonts w:ascii="Arial" w:hAnsi="Arial" w:cs="Arial"/>
          <w:sz w:val="24"/>
          <w:szCs w:val="24"/>
        </w:rPr>
        <w:lastRenderedPageBreak/>
        <w:t>4.</w:t>
      </w:r>
      <w:r w:rsidR="000C2768">
        <w:rPr>
          <w:rFonts w:ascii="Arial" w:hAnsi="Arial" w:cs="Arial"/>
          <w:sz w:val="24"/>
          <w:szCs w:val="24"/>
        </w:rPr>
        <w:t xml:space="preserve"> </w:t>
      </w:r>
      <w:r w:rsidR="002310BF" w:rsidRPr="00180DCB">
        <w:rPr>
          <w:rFonts w:ascii="Arial" w:hAnsi="Arial" w:cs="Arial"/>
          <w:sz w:val="24"/>
          <w:szCs w:val="24"/>
        </w:rPr>
        <w:t xml:space="preserve"> </w:t>
      </w:r>
      <w:r w:rsidR="000A5B2C" w:rsidRPr="00180DCB">
        <w:rPr>
          <w:rFonts w:ascii="Arial" w:hAnsi="Arial" w:cs="Arial"/>
          <w:sz w:val="24"/>
          <w:szCs w:val="24"/>
        </w:rPr>
        <w:t>Lewin’s Force</w:t>
      </w:r>
      <w:bookmarkEnd w:id="4"/>
    </w:p>
    <w:p w14:paraId="0FA46EA5" w14:textId="58DF4F48" w:rsidR="000B3143" w:rsidRPr="00180DCB" w:rsidRDefault="00C713B8" w:rsidP="00180DCB">
      <w:pPr>
        <w:spacing w:line="360" w:lineRule="auto"/>
        <w:jc w:val="both"/>
        <w:rPr>
          <w:rFonts w:ascii="Arial" w:hAnsi="Arial" w:cs="Arial"/>
        </w:rPr>
      </w:pPr>
      <w:r w:rsidRPr="00180DCB">
        <w:rPr>
          <w:rFonts w:ascii="Arial" w:hAnsi="Arial" w:cs="Arial"/>
        </w:rPr>
        <w:t>Lewin's force field analysis is useful because Seren Coffi is facing a change that is neither obviously safe nor obviously impossible. Lewin (1947) argues that change depends on the balance between driving forces and restraining forces. In this case, the driving forces are strong. The hospitality group can provide missing resources. Lease-hire equipment reduces repair risk. Delivery platforms widen access. Digital ordering screens improve flow. Limited food additions and alcohol-based offers can increase spend per customer. From a commercial perspective, these forces all support movement towards a more stable model.</w:t>
      </w:r>
    </w:p>
    <w:p w14:paraId="0B9D5B10" w14:textId="629C2D50" w:rsidR="00C713B8" w:rsidRPr="00180DCB" w:rsidRDefault="00C713B8" w:rsidP="00180DCB">
      <w:pPr>
        <w:spacing w:line="360" w:lineRule="auto"/>
        <w:jc w:val="both"/>
        <w:rPr>
          <w:rFonts w:ascii="Arial" w:hAnsi="Arial" w:cs="Arial"/>
        </w:rPr>
      </w:pPr>
      <w:r w:rsidRPr="00180DCB">
        <w:rPr>
          <w:rFonts w:ascii="Arial" w:hAnsi="Arial" w:cs="Arial"/>
        </w:rPr>
        <w:t xml:space="preserve">The restraining forces are equally real. The biggest is identity loss. If the partnership drifts into standardisation, Seren Coffi could lose the authenticity that underpins customer loyalty. Founder fatigue is another major restraint, because change needs consistent follow-through. Slow decisions and weak routines also matter; even a good idea can fail in an organisation that struggles to execute. </w:t>
      </w:r>
    </w:p>
    <w:p w14:paraId="292054CF" w14:textId="1EF45194" w:rsidR="00C46D8F" w:rsidRPr="00180DCB" w:rsidRDefault="00C713B8" w:rsidP="00180DCB">
      <w:pPr>
        <w:spacing w:line="360" w:lineRule="auto"/>
        <w:jc w:val="both"/>
        <w:rPr>
          <w:rFonts w:ascii="Arial" w:hAnsi="Arial" w:cs="Arial"/>
        </w:rPr>
      </w:pPr>
      <w:r w:rsidRPr="00180DCB">
        <w:rPr>
          <w:rFonts w:ascii="Arial" w:hAnsi="Arial" w:cs="Arial"/>
        </w:rPr>
        <w:t xml:space="preserve">According to </w:t>
      </w:r>
      <w:r w:rsidR="00C46D8F" w:rsidRPr="00180DCB">
        <w:rPr>
          <w:rFonts w:ascii="Arial" w:hAnsi="Arial" w:cs="Arial"/>
        </w:rPr>
        <w:t>Edmondson (2011), organisations learn most effectively when they face failure honestly, but that still requires disciplined action. Teece (2007) would describe Seren Coffi’s problem as one of weak dynamic capability, the need to sense change, seize opportunities, and reconfigure resources quickly enough to remain viable.</w:t>
      </w:r>
    </w:p>
    <w:p w14:paraId="27B08B93" w14:textId="7DB21640" w:rsidR="00C46D8F" w:rsidRPr="00180DCB" w:rsidRDefault="00C46D8F" w:rsidP="00180DCB">
      <w:pPr>
        <w:spacing w:line="360" w:lineRule="auto"/>
        <w:jc w:val="both"/>
        <w:rPr>
          <w:rFonts w:ascii="Arial" w:hAnsi="Arial" w:cs="Arial"/>
        </w:rPr>
      </w:pPr>
      <w:r w:rsidRPr="00180DCB">
        <w:rPr>
          <w:rFonts w:ascii="Arial" w:hAnsi="Arial" w:cs="Arial"/>
        </w:rPr>
        <w:t>On balance, the idea is viable, but only conditionally. From a narrow capitalist methodology, it is attractive because it improves efficiency, channels, and revenue potential. However, if capitalist viability is defined only as fast standardised growth, then the proposal becomes weaker because the restraining force of identity loss grows too strong.</w:t>
      </w:r>
    </w:p>
    <w:p w14:paraId="0FA1BF1C" w14:textId="70755D29" w:rsidR="00224C96" w:rsidRPr="00180DCB" w:rsidRDefault="00C46D8F" w:rsidP="00180DCB">
      <w:pPr>
        <w:spacing w:line="360" w:lineRule="auto"/>
        <w:jc w:val="both"/>
        <w:rPr>
          <w:rFonts w:ascii="Arial" w:hAnsi="Arial" w:cs="Arial"/>
        </w:rPr>
      </w:pPr>
      <w:r w:rsidRPr="00180DCB">
        <w:rPr>
          <w:rFonts w:ascii="Arial" w:hAnsi="Arial" w:cs="Arial"/>
        </w:rPr>
        <w:t xml:space="preserve">That is why the idea is better justified through value creation and business reframing than through pure expansion logic. Foss and Saebi (2015) </w:t>
      </w:r>
      <w:r w:rsidR="002D186D" w:rsidRPr="00180DCB">
        <w:rPr>
          <w:rFonts w:ascii="Arial" w:hAnsi="Arial" w:cs="Arial"/>
        </w:rPr>
        <w:t>say</w:t>
      </w:r>
      <w:r w:rsidRPr="00180DCB">
        <w:rPr>
          <w:rFonts w:ascii="Arial" w:hAnsi="Arial" w:cs="Arial"/>
        </w:rPr>
        <w:t xml:space="preserve"> that business model innovation often depends on redefining where value is created and preserved. In </w:t>
      </w:r>
      <w:r w:rsidR="002D186D" w:rsidRPr="00180DCB">
        <w:rPr>
          <w:rFonts w:ascii="Arial" w:hAnsi="Arial" w:cs="Arial"/>
        </w:rPr>
        <w:t xml:space="preserve">the </w:t>
      </w:r>
      <w:r w:rsidRPr="00180DCB">
        <w:rPr>
          <w:rFonts w:ascii="Arial" w:hAnsi="Arial" w:cs="Arial"/>
        </w:rPr>
        <w:t xml:space="preserve">Seren Coffi case, the Cardiff site should be reframed as a values-led flagship whose authenticity is itself a </w:t>
      </w:r>
      <w:r w:rsidR="002D186D" w:rsidRPr="00180DCB">
        <w:rPr>
          <w:rFonts w:ascii="Arial" w:hAnsi="Arial" w:cs="Arial"/>
        </w:rPr>
        <w:t>strategic</w:t>
      </w:r>
      <w:r w:rsidRPr="00180DCB">
        <w:rPr>
          <w:rFonts w:ascii="Arial" w:hAnsi="Arial" w:cs="Arial"/>
        </w:rPr>
        <w:t xml:space="preserve"> asset.</w:t>
      </w:r>
      <w:r w:rsidR="002D186D" w:rsidRPr="00180DCB">
        <w:rPr>
          <w:rFonts w:ascii="Arial" w:hAnsi="Arial" w:cs="Arial"/>
        </w:rPr>
        <w:t xml:space="preserve"> Future sites can be more flexible. The existing site should not. That is also consistent with Christensen et al. (2015), who show that growth works better when it remains faithful to the real reasons customers choose the organisation in the first place.</w:t>
      </w:r>
    </w:p>
    <w:p w14:paraId="345394DB" w14:textId="06371DAE" w:rsidR="002310BF" w:rsidRPr="00224C96" w:rsidRDefault="002310BF" w:rsidP="00224C96">
      <w:pPr>
        <w:pStyle w:val="Heading1"/>
        <w:spacing w:line="360" w:lineRule="auto"/>
        <w:ind w:left="360"/>
        <w:jc w:val="both"/>
        <w:rPr>
          <w:rFonts w:ascii="Arial" w:hAnsi="Arial" w:cs="Arial"/>
          <w:sz w:val="24"/>
          <w:szCs w:val="24"/>
        </w:rPr>
      </w:pPr>
      <w:bookmarkStart w:id="5" w:name="_Toc225779177"/>
      <w:r w:rsidRPr="00180DCB">
        <w:rPr>
          <w:rFonts w:ascii="Arial" w:hAnsi="Arial" w:cs="Arial"/>
          <w:sz w:val="24"/>
          <w:szCs w:val="24"/>
        </w:rPr>
        <w:lastRenderedPageBreak/>
        <w:t xml:space="preserve">5. </w:t>
      </w:r>
      <w:r w:rsidR="000C2768">
        <w:rPr>
          <w:rFonts w:ascii="Arial" w:hAnsi="Arial" w:cs="Arial"/>
          <w:sz w:val="24"/>
          <w:szCs w:val="24"/>
        </w:rPr>
        <w:t xml:space="preserve"> </w:t>
      </w:r>
      <w:r w:rsidR="00D759E7" w:rsidRPr="00180DCB">
        <w:rPr>
          <w:rFonts w:ascii="Arial" w:hAnsi="Arial" w:cs="Arial"/>
          <w:sz w:val="24"/>
          <w:szCs w:val="24"/>
        </w:rPr>
        <w:t>Critical discussion</w:t>
      </w:r>
      <w:bookmarkEnd w:id="5"/>
      <w:r w:rsidR="00D759E7" w:rsidRPr="00180DCB">
        <w:rPr>
          <w:rFonts w:ascii="Arial" w:hAnsi="Arial" w:cs="Arial"/>
          <w:sz w:val="24"/>
          <w:szCs w:val="24"/>
        </w:rPr>
        <w:t xml:space="preserve"> </w:t>
      </w:r>
    </w:p>
    <w:p w14:paraId="6DA9C625" w14:textId="18852EB4" w:rsidR="002D186D" w:rsidRPr="00180DCB" w:rsidRDefault="002D186D" w:rsidP="00180DCB">
      <w:pPr>
        <w:spacing w:line="360" w:lineRule="auto"/>
        <w:jc w:val="both"/>
        <w:rPr>
          <w:rFonts w:ascii="Arial" w:hAnsi="Arial" w:cs="Arial"/>
        </w:rPr>
      </w:pPr>
      <w:r w:rsidRPr="00180DCB">
        <w:rPr>
          <w:rFonts w:ascii="Arial" w:hAnsi="Arial" w:cs="Arial"/>
        </w:rPr>
        <w:t>Seren Coffi’s climate is partly supportive of innovation, but mainly in the early, idea-generating sense rather than in the disciplined implementation sense. That difference is important. Innovation literature shows that organisations need both creativity and follow-t</w:t>
      </w:r>
      <w:r w:rsidR="001958C0" w:rsidRPr="00180DCB">
        <w:rPr>
          <w:rFonts w:ascii="Arial" w:hAnsi="Arial" w:cs="Arial"/>
        </w:rPr>
        <w:t>hrough (Tidd and Bessant, 2018). Seren Coffi clearly has cultural ingredients that support creativity. It has purpose, identity, ethical reflection, and a history of experimentation through events and community activity.</w:t>
      </w:r>
    </w:p>
    <w:p w14:paraId="03540814" w14:textId="3CDDA724" w:rsidR="001958C0" w:rsidRPr="00180DCB" w:rsidRDefault="001958C0" w:rsidP="00180DCB">
      <w:pPr>
        <w:spacing w:line="360" w:lineRule="auto"/>
        <w:jc w:val="both"/>
        <w:rPr>
          <w:rFonts w:ascii="Arial" w:hAnsi="Arial" w:cs="Arial"/>
        </w:rPr>
      </w:pPr>
      <w:r w:rsidRPr="00180DCB">
        <w:rPr>
          <w:rFonts w:ascii="Arial" w:hAnsi="Arial" w:cs="Arial"/>
        </w:rPr>
        <w:t>According to Turner (2020), people are more willing to innovate when they feel that the organisation stands for something meaningful. Amabile (1998) makes a similar point: creativity grows where work feels intrinsically worthwhile.</w:t>
      </w:r>
    </w:p>
    <w:p w14:paraId="2AEAC9FB" w14:textId="221422E6" w:rsidR="001958C0" w:rsidRPr="00180DCB" w:rsidRDefault="001958C0" w:rsidP="00180DCB">
      <w:pPr>
        <w:spacing w:line="360" w:lineRule="auto"/>
        <w:jc w:val="both"/>
        <w:rPr>
          <w:rFonts w:ascii="Arial" w:hAnsi="Arial" w:cs="Arial"/>
        </w:rPr>
      </w:pPr>
      <w:r w:rsidRPr="00180DCB">
        <w:rPr>
          <w:rFonts w:ascii="Arial" w:hAnsi="Arial" w:cs="Arial"/>
        </w:rPr>
        <w:t xml:space="preserve"> There are also signs of openness. The coffee shop atmosphere suggests a workplace where ideas, stories, and local culture matter. </w:t>
      </w:r>
      <w:r w:rsidR="002A3FFB" w:rsidRPr="00180DCB">
        <w:rPr>
          <w:rFonts w:ascii="Arial" w:hAnsi="Arial" w:cs="Arial"/>
        </w:rPr>
        <w:t>Anderson and West (1998)</w:t>
      </w:r>
      <w:r w:rsidR="006F4B67" w:rsidRPr="00180DCB">
        <w:rPr>
          <w:rFonts w:ascii="Arial" w:hAnsi="Arial" w:cs="Arial"/>
        </w:rPr>
        <w:t xml:space="preserve"> found that terms are more supportive of innovation when there is a shared vision, participative safety, and support for new ideas. Seren Coffi appears to be in discussion. West and Andreson 1996) similarly note that innovation is more likely when people feel a sense of ownership over change rather than feeling it is imposed.</w:t>
      </w:r>
    </w:p>
    <w:p w14:paraId="47824724" w14:textId="6F477BD2" w:rsidR="006F4B67" w:rsidRPr="00180DCB" w:rsidRDefault="006F4B67" w:rsidP="00180DCB">
      <w:pPr>
        <w:spacing w:line="360" w:lineRule="auto"/>
        <w:jc w:val="both"/>
        <w:rPr>
          <w:rFonts w:ascii="Arial" w:hAnsi="Arial" w:cs="Arial"/>
        </w:rPr>
      </w:pPr>
      <w:r w:rsidRPr="00180DCB">
        <w:rPr>
          <w:rFonts w:ascii="Arial" w:hAnsi="Arial" w:cs="Arial"/>
        </w:rPr>
        <w:t>At the same time, the climate has clear weaknesses. It appears better at producing discussion than action. Important issues were revisited too often and solved too slowly. No servicing contract was arranged. Stuffing problems dragged on. Founder energy fell. Kanter (1983) says that innovative organisations need not only imagination but also structures that convert ideas into practical movement.</w:t>
      </w:r>
    </w:p>
    <w:p w14:paraId="3667BD1E" w14:textId="50F84F8A" w:rsidR="006F4B67" w:rsidRPr="00180DCB" w:rsidRDefault="006F4B67" w:rsidP="00180DCB">
      <w:pPr>
        <w:spacing w:line="360" w:lineRule="auto"/>
        <w:jc w:val="both"/>
        <w:rPr>
          <w:rFonts w:ascii="Arial" w:hAnsi="Arial" w:cs="Arial"/>
        </w:rPr>
      </w:pPr>
      <w:r w:rsidRPr="00180DCB">
        <w:rPr>
          <w:rFonts w:ascii="Arial" w:hAnsi="Arial" w:cs="Arial"/>
        </w:rPr>
        <w:t>Damanpour (1991) likewise found that the internal conditions surrounding implementation are as important as the novelty of the idea itself, and here Seren Coffi is weak.</w:t>
      </w:r>
    </w:p>
    <w:p w14:paraId="48C9DC13" w14:textId="350B84B5" w:rsidR="006F4B67" w:rsidRPr="00180DCB" w:rsidRDefault="006F4B67" w:rsidP="00180DCB">
      <w:pPr>
        <w:spacing w:line="360" w:lineRule="auto"/>
        <w:jc w:val="both"/>
        <w:rPr>
          <w:rFonts w:ascii="Arial" w:hAnsi="Arial" w:cs="Arial"/>
        </w:rPr>
      </w:pPr>
      <w:r w:rsidRPr="00180DCB">
        <w:rPr>
          <w:rFonts w:ascii="Arial" w:hAnsi="Arial" w:cs="Arial"/>
        </w:rPr>
        <w:t xml:space="preserve">This means the organisation will probably support innovation that feels aligned with its </w:t>
      </w:r>
      <w:r w:rsidR="00D7183C" w:rsidRPr="00180DCB">
        <w:rPr>
          <w:rFonts w:ascii="Arial" w:hAnsi="Arial" w:cs="Arial"/>
        </w:rPr>
        <w:t>values but</w:t>
      </w:r>
      <w:r w:rsidRPr="00180DCB">
        <w:rPr>
          <w:rFonts w:ascii="Arial" w:hAnsi="Arial" w:cs="Arial"/>
        </w:rPr>
        <w:t xml:space="preserve"> resist innovation that feels too commercial or too externally imposed. That has </w:t>
      </w:r>
      <w:r w:rsidR="00D7183C" w:rsidRPr="00180DCB">
        <w:rPr>
          <w:rFonts w:ascii="Arial" w:hAnsi="Arial" w:cs="Arial"/>
        </w:rPr>
        <w:t>direct implications for the proposed solution. Delivery platforms, digital ordering screens, and partnerships with a hospitality group may all be commercially sensible, but they can also feel culturally awkward inside a business that defines itself through authenticity and community.</w:t>
      </w:r>
    </w:p>
    <w:p w14:paraId="0AC46A65" w14:textId="5F031D75" w:rsidR="00D7183C" w:rsidRPr="00180DCB" w:rsidRDefault="00D7183C" w:rsidP="00180DCB">
      <w:pPr>
        <w:spacing w:line="360" w:lineRule="auto"/>
        <w:jc w:val="both"/>
        <w:rPr>
          <w:rFonts w:ascii="Arial" w:hAnsi="Arial" w:cs="Arial"/>
        </w:rPr>
      </w:pPr>
      <w:r w:rsidRPr="00180DCB">
        <w:rPr>
          <w:rFonts w:ascii="Arial" w:hAnsi="Arial" w:cs="Arial"/>
        </w:rPr>
        <w:lastRenderedPageBreak/>
        <w:t>The climate is therefore not anti-innovation; it is selectively pro-innovation. It supports value-led adaptation more readily than rapid capitalist transformation. For that reason, the proposal is realistic only if changes are framed as protecting Seren Coffi’s purpose rather than replacing it.</w:t>
      </w:r>
    </w:p>
    <w:p w14:paraId="028D2274" w14:textId="77777777" w:rsidR="006D35F3" w:rsidRPr="00180DCB" w:rsidRDefault="006D35F3" w:rsidP="00180DCB">
      <w:pPr>
        <w:spacing w:line="360" w:lineRule="auto"/>
        <w:jc w:val="both"/>
        <w:rPr>
          <w:rFonts w:ascii="Arial" w:hAnsi="Arial" w:cs="Arial"/>
        </w:rPr>
      </w:pPr>
    </w:p>
    <w:p w14:paraId="7A11B4FD" w14:textId="77777777" w:rsidR="006D35F3" w:rsidRPr="00180DCB" w:rsidRDefault="006D35F3" w:rsidP="00180DCB">
      <w:pPr>
        <w:spacing w:line="360" w:lineRule="auto"/>
        <w:jc w:val="both"/>
        <w:rPr>
          <w:rFonts w:ascii="Arial" w:hAnsi="Arial" w:cs="Arial"/>
        </w:rPr>
      </w:pPr>
    </w:p>
    <w:p w14:paraId="6412C521" w14:textId="7E8A40EA" w:rsidR="00CE2072" w:rsidRPr="00180DCB" w:rsidRDefault="006D35F3" w:rsidP="00180DCB">
      <w:pPr>
        <w:pStyle w:val="Heading1"/>
        <w:spacing w:line="360" w:lineRule="auto"/>
        <w:jc w:val="both"/>
        <w:rPr>
          <w:rFonts w:ascii="Arial" w:hAnsi="Arial" w:cs="Arial"/>
          <w:sz w:val="24"/>
          <w:szCs w:val="24"/>
        </w:rPr>
      </w:pPr>
      <w:r w:rsidRPr="00180DCB">
        <w:rPr>
          <w:rFonts w:ascii="Arial" w:hAnsi="Arial" w:cs="Arial"/>
          <w:sz w:val="24"/>
          <w:szCs w:val="24"/>
        </w:rPr>
        <w:t xml:space="preserve">                                          </w:t>
      </w:r>
    </w:p>
    <w:p w14:paraId="3F216ECF" w14:textId="77777777" w:rsidR="00CE2072" w:rsidRPr="00180DCB" w:rsidRDefault="00CE2072" w:rsidP="00180DCB">
      <w:pPr>
        <w:spacing w:line="360" w:lineRule="auto"/>
        <w:jc w:val="both"/>
        <w:rPr>
          <w:rFonts w:ascii="Arial" w:eastAsiaTheme="minorHAnsi" w:hAnsi="Arial" w:cs="Arial"/>
        </w:rPr>
      </w:pPr>
    </w:p>
    <w:p w14:paraId="00A4E3A7" w14:textId="77777777" w:rsidR="00CE2072" w:rsidRPr="00180DCB" w:rsidRDefault="00CE2072" w:rsidP="00180DCB">
      <w:pPr>
        <w:spacing w:line="360" w:lineRule="auto"/>
        <w:jc w:val="both"/>
        <w:rPr>
          <w:rFonts w:ascii="Arial" w:eastAsiaTheme="minorHAnsi" w:hAnsi="Arial" w:cs="Arial"/>
        </w:rPr>
      </w:pPr>
    </w:p>
    <w:p w14:paraId="50BE3916" w14:textId="77777777" w:rsidR="00CE2072" w:rsidRPr="00180DCB" w:rsidRDefault="00CE2072" w:rsidP="00180DCB">
      <w:pPr>
        <w:spacing w:line="360" w:lineRule="auto"/>
        <w:jc w:val="both"/>
        <w:rPr>
          <w:rFonts w:ascii="Arial" w:eastAsiaTheme="minorHAnsi" w:hAnsi="Arial" w:cs="Arial"/>
        </w:rPr>
      </w:pPr>
    </w:p>
    <w:p w14:paraId="7A847CBA" w14:textId="77777777" w:rsidR="00CE2072" w:rsidRPr="00180DCB" w:rsidRDefault="00CE2072" w:rsidP="00180DCB">
      <w:pPr>
        <w:spacing w:line="360" w:lineRule="auto"/>
        <w:jc w:val="both"/>
        <w:rPr>
          <w:rFonts w:ascii="Arial" w:hAnsi="Arial" w:cs="Arial"/>
        </w:rPr>
      </w:pPr>
    </w:p>
    <w:p w14:paraId="620794A4" w14:textId="77777777" w:rsidR="008A1A96" w:rsidRPr="00180DCB" w:rsidRDefault="008A1A96" w:rsidP="00180DCB">
      <w:pPr>
        <w:pStyle w:val="Heading1"/>
        <w:spacing w:line="360" w:lineRule="auto"/>
        <w:jc w:val="both"/>
        <w:rPr>
          <w:rFonts w:ascii="Arial" w:hAnsi="Arial" w:cs="Arial"/>
          <w:sz w:val="24"/>
          <w:szCs w:val="24"/>
        </w:rPr>
      </w:pPr>
    </w:p>
    <w:p w14:paraId="058D1FD8" w14:textId="77777777" w:rsidR="008A1A96" w:rsidRPr="00180DCB" w:rsidRDefault="008A1A96" w:rsidP="00180DCB">
      <w:pPr>
        <w:pStyle w:val="Heading1"/>
        <w:spacing w:line="360" w:lineRule="auto"/>
        <w:jc w:val="both"/>
        <w:rPr>
          <w:rFonts w:ascii="Arial" w:hAnsi="Arial" w:cs="Arial"/>
          <w:sz w:val="24"/>
          <w:szCs w:val="24"/>
        </w:rPr>
      </w:pPr>
    </w:p>
    <w:p w14:paraId="57D4F8F0" w14:textId="77777777" w:rsidR="008A1A96" w:rsidRPr="00180DCB" w:rsidRDefault="008A1A96" w:rsidP="00180DCB">
      <w:pPr>
        <w:pStyle w:val="Heading1"/>
        <w:spacing w:line="360" w:lineRule="auto"/>
        <w:jc w:val="both"/>
        <w:rPr>
          <w:rFonts w:ascii="Arial" w:hAnsi="Arial" w:cs="Arial"/>
          <w:sz w:val="24"/>
          <w:szCs w:val="24"/>
        </w:rPr>
      </w:pPr>
    </w:p>
    <w:p w14:paraId="76B68556" w14:textId="77777777" w:rsidR="008A1A96" w:rsidRPr="00180DCB" w:rsidRDefault="008A1A96" w:rsidP="00180DCB">
      <w:pPr>
        <w:pStyle w:val="Heading1"/>
        <w:spacing w:line="360" w:lineRule="auto"/>
        <w:jc w:val="both"/>
        <w:rPr>
          <w:rFonts w:ascii="Arial" w:hAnsi="Arial" w:cs="Arial"/>
          <w:sz w:val="24"/>
          <w:szCs w:val="24"/>
        </w:rPr>
      </w:pPr>
    </w:p>
    <w:p w14:paraId="7CB69F93" w14:textId="77777777" w:rsidR="008A1A96" w:rsidRPr="00180DCB" w:rsidRDefault="008A1A96" w:rsidP="00180DCB">
      <w:pPr>
        <w:pStyle w:val="Heading1"/>
        <w:spacing w:line="360" w:lineRule="auto"/>
        <w:jc w:val="both"/>
        <w:rPr>
          <w:rFonts w:ascii="Arial" w:hAnsi="Arial" w:cs="Arial"/>
          <w:sz w:val="24"/>
          <w:szCs w:val="24"/>
        </w:rPr>
      </w:pPr>
    </w:p>
    <w:p w14:paraId="06633407" w14:textId="77777777" w:rsidR="008A1A96" w:rsidRPr="00180DCB" w:rsidRDefault="008A1A96" w:rsidP="00180DCB">
      <w:pPr>
        <w:pStyle w:val="Heading1"/>
        <w:spacing w:line="360" w:lineRule="auto"/>
        <w:jc w:val="both"/>
        <w:rPr>
          <w:rFonts w:ascii="Arial" w:hAnsi="Arial" w:cs="Arial"/>
          <w:sz w:val="24"/>
          <w:szCs w:val="24"/>
        </w:rPr>
      </w:pPr>
    </w:p>
    <w:p w14:paraId="5CE336F5" w14:textId="77777777" w:rsidR="008A1A96" w:rsidRPr="00180DCB" w:rsidRDefault="008A1A96" w:rsidP="00180DCB">
      <w:pPr>
        <w:pStyle w:val="Heading1"/>
        <w:spacing w:line="360" w:lineRule="auto"/>
        <w:jc w:val="both"/>
        <w:rPr>
          <w:rFonts w:ascii="Arial" w:hAnsi="Arial" w:cs="Arial"/>
          <w:sz w:val="24"/>
          <w:szCs w:val="24"/>
        </w:rPr>
      </w:pPr>
    </w:p>
    <w:p w14:paraId="53A30EA9" w14:textId="77777777" w:rsidR="008A1A96" w:rsidRPr="00180DCB" w:rsidRDefault="008A1A96" w:rsidP="00180DCB">
      <w:pPr>
        <w:spacing w:line="360" w:lineRule="auto"/>
        <w:jc w:val="both"/>
        <w:rPr>
          <w:rFonts w:ascii="Arial" w:hAnsi="Arial" w:cs="Arial"/>
        </w:rPr>
      </w:pPr>
    </w:p>
    <w:p w14:paraId="228CD970" w14:textId="77777777" w:rsidR="00180DCB" w:rsidRPr="00180DCB" w:rsidRDefault="006D35F3" w:rsidP="00180DCB">
      <w:pPr>
        <w:pStyle w:val="Heading1"/>
        <w:spacing w:line="360" w:lineRule="auto"/>
        <w:jc w:val="both"/>
        <w:rPr>
          <w:rFonts w:ascii="Arial" w:hAnsi="Arial" w:cs="Arial"/>
          <w:sz w:val="24"/>
          <w:szCs w:val="24"/>
        </w:rPr>
      </w:pPr>
      <w:r w:rsidRPr="00180DCB">
        <w:rPr>
          <w:rFonts w:ascii="Arial" w:hAnsi="Arial" w:cs="Arial"/>
          <w:sz w:val="24"/>
          <w:szCs w:val="24"/>
        </w:rPr>
        <w:t xml:space="preserve">     </w:t>
      </w:r>
    </w:p>
    <w:p w14:paraId="476D9281" w14:textId="77777777" w:rsidR="00180DCB" w:rsidRPr="00180DCB" w:rsidRDefault="00180DCB" w:rsidP="00180DCB">
      <w:pPr>
        <w:spacing w:line="360" w:lineRule="auto"/>
        <w:jc w:val="both"/>
        <w:rPr>
          <w:rFonts w:ascii="Arial" w:hAnsi="Arial" w:cs="Arial"/>
        </w:rPr>
      </w:pPr>
    </w:p>
    <w:p w14:paraId="3B3D1FF9" w14:textId="77777777" w:rsidR="00505553" w:rsidRDefault="00505553" w:rsidP="00180DCB">
      <w:pPr>
        <w:spacing w:line="360" w:lineRule="auto"/>
        <w:jc w:val="both"/>
        <w:rPr>
          <w:rFonts w:ascii="Arial" w:hAnsi="Arial" w:cs="Arial"/>
        </w:rPr>
      </w:pPr>
    </w:p>
    <w:p w14:paraId="6E40FC4E" w14:textId="49C77CC4" w:rsidR="00EA7EFD" w:rsidRPr="00EA7EFD" w:rsidRDefault="006D35F3" w:rsidP="00EA7EFD">
      <w:pPr>
        <w:pStyle w:val="Heading1"/>
      </w:pPr>
      <w:r w:rsidRPr="00180DCB">
        <w:lastRenderedPageBreak/>
        <w:t xml:space="preserve"> </w:t>
      </w:r>
      <w:bookmarkStart w:id="6" w:name="_Toc225779178"/>
      <w:r w:rsidR="00505553">
        <w:t>Part 2</w:t>
      </w:r>
      <w:bookmarkEnd w:id="6"/>
    </w:p>
    <w:p w14:paraId="5CD62630" w14:textId="133C3B31" w:rsidR="00D7183C" w:rsidRPr="00180DCB" w:rsidRDefault="006D35F3" w:rsidP="00180DCB">
      <w:pPr>
        <w:spacing w:line="360" w:lineRule="auto"/>
        <w:jc w:val="both"/>
        <w:rPr>
          <w:rFonts w:ascii="Arial" w:hAnsi="Arial" w:cs="Arial"/>
        </w:rPr>
      </w:pPr>
      <w:r w:rsidRPr="00180DCB">
        <w:rPr>
          <w:rFonts w:ascii="Arial" w:hAnsi="Arial" w:cs="Arial"/>
        </w:rPr>
        <w:t xml:space="preserve">This supplement critically evaluates my use of an AI large language model to develop the innovation proposed for Seren Coffi. I did not use the tool to replace my original thinking or to produce the final solution on its own. Instead, I used it to challenge my initial proposal, generate alternatives, expose weaknesses, and test whether my chosen innovation was genuinely viable. </w:t>
      </w:r>
    </w:p>
    <w:p w14:paraId="742A3B92" w14:textId="2352C379" w:rsidR="006D35F3" w:rsidRPr="00180DCB" w:rsidRDefault="006D35F3" w:rsidP="00180DCB">
      <w:pPr>
        <w:spacing w:line="360" w:lineRule="auto"/>
        <w:jc w:val="both"/>
        <w:rPr>
          <w:rFonts w:ascii="Arial" w:hAnsi="Arial" w:cs="Arial"/>
        </w:rPr>
      </w:pPr>
      <w:r w:rsidRPr="00180DCB">
        <w:rPr>
          <w:rFonts w:ascii="Arial" w:hAnsi="Arial" w:cs="Arial"/>
        </w:rPr>
        <w:t xml:space="preserve">The process showed that AI can be useful in expanding options quickly, identifying operational </w:t>
      </w:r>
      <w:r w:rsidR="00C952AE" w:rsidRPr="00180DCB">
        <w:rPr>
          <w:rFonts w:ascii="Arial" w:hAnsi="Arial" w:cs="Arial"/>
        </w:rPr>
        <w:t>tensions,</w:t>
      </w:r>
      <w:r w:rsidRPr="00180DCB">
        <w:rPr>
          <w:rFonts w:ascii="Arial" w:hAnsi="Arial" w:cs="Arial"/>
        </w:rPr>
        <w:t xml:space="preserve"> and sharpening </w:t>
      </w:r>
      <w:r w:rsidR="00FC64F8" w:rsidRPr="00180DCB">
        <w:rPr>
          <w:rFonts w:ascii="Arial" w:hAnsi="Arial" w:cs="Arial"/>
        </w:rPr>
        <w:t>arguments</w:t>
      </w:r>
      <w:r w:rsidRPr="00180DCB">
        <w:rPr>
          <w:rFonts w:ascii="Arial" w:hAnsi="Arial" w:cs="Arial"/>
        </w:rPr>
        <w:t>. However, it also revealed serious limits. The AI often produced generic and commercially biased suggestions, struggled with the social and cultural values at the heart of the case, and sometimes blurred the distinction between operational efficiency and meaningful innovation.</w:t>
      </w:r>
    </w:p>
    <w:p w14:paraId="4C5B8CA4" w14:textId="798A221A" w:rsidR="006D35F3" w:rsidRPr="00180DCB" w:rsidRDefault="006D35F3" w:rsidP="00180DCB">
      <w:pPr>
        <w:spacing w:line="360" w:lineRule="auto"/>
        <w:jc w:val="both"/>
        <w:rPr>
          <w:rFonts w:ascii="Arial" w:hAnsi="Arial" w:cs="Arial"/>
        </w:rPr>
      </w:pPr>
      <w:r w:rsidRPr="00180DCB">
        <w:rPr>
          <w:rFonts w:ascii="Arial" w:hAnsi="Arial" w:cs="Arial"/>
        </w:rPr>
        <w:t xml:space="preserve">In </w:t>
      </w:r>
      <w:r w:rsidR="00FC64F8" w:rsidRPr="00180DCB">
        <w:rPr>
          <w:rFonts w:ascii="Arial" w:hAnsi="Arial" w:cs="Arial"/>
        </w:rPr>
        <w:t>this case, its most useful role was as a critical sparring partner rather than a source of originality. Overall, I conclude that AI added value to the development of the report, but only when tightly controlled, corrected, and interpreted through human judgment. Used uncritically, it would have weakened the quality of the solution rather than improved it.</w:t>
      </w:r>
    </w:p>
    <w:p w14:paraId="382EDC8E" w14:textId="460C1FD0" w:rsidR="00FC64F8" w:rsidRPr="00180DCB" w:rsidRDefault="00FC64F8" w:rsidP="00180DCB">
      <w:pPr>
        <w:spacing w:line="360" w:lineRule="auto"/>
        <w:jc w:val="both"/>
        <w:rPr>
          <w:rFonts w:ascii="Arial" w:hAnsi="Arial" w:cs="Arial"/>
        </w:rPr>
      </w:pPr>
      <w:r w:rsidRPr="00180DCB">
        <w:rPr>
          <w:rFonts w:ascii="Arial" w:hAnsi="Arial" w:cs="Arial"/>
        </w:rPr>
        <w:t xml:space="preserve">I used AI only after completing Part 1, which meant I already had a clear position on the case before asking for any machine-generated input. </w:t>
      </w:r>
    </w:p>
    <w:p w14:paraId="18F14A0E" w14:textId="6C0340AF" w:rsidR="00FC64F8" w:rsidRPr="00180DCB" w:rsidRDefault="00FC64F8" w:rsidP="00180DCB">
      <w:pPr>
        <w:spacing w:line="360" w:lineRule="auto"/>
        <w:jc w:val="both"/>
        <w:rPr>
          <w:rFonts w:ascii="Arial" w:hAnsi="Arial" w:cs="Arial"/>
        </w:rPr>
      </w:pPr>
      <w:r w:rsidRPr="00180DCB">
        <w:rPr>
          <w:rFonts w:ascii="Arial" w:hAnsi="Arial" w:cs="Arial"/>
        </w:rPr>
        <w:t>This was important because it reduced the risk of letting the tool determine the direction of the analysis too early.</w:t>
      </w:r>
      <w:r w:rsidR="00760DBA" w:rsidRPr="00180DCB">
        <w:rPr>
          <w:rFonts w:ascii="Arial" w:hAnsi="Arial" w:cs="Arial"/>
        </w:rPr>
        <w:t xml:space="preserve"> My original solution argued that Seren Coffi should accept a tightly controlled partnership with the hospitality group while protecting the identity of the Cardiff coffee shop and should separately consider measures such as lease-hire equipment, delivery platforms, digital ordering, and an alcohol licence.</w:t>
      </w:r>
    </w:p>
    <w:p w14:paraId="5C85B2C5" w14:textId="0B21B481" w:rsidR="00760DBA" w:rsidRPr="00180DCB" w:rsidRDefault="00760DBA" w:rsidP="00180DCB">
      <w:pPr>
        <w:spacing w:line="360" w:lineRule="auto"/>
        <w:jc w:val="both"/>
        <w:rPr>
          <w:rFonts w:ascii="Arial" w:hAnsi="Arial" w:cs="Arial"/>
        </w:rPr>
      </w:pPr>
      <w:r w:rsidRPr="00180DCB">
        <w:rPr>
          <w:rFonts w:ascii="Arial" w:hAnsi="Arial" w:cs="Arial"/>
        </w:rPr>
        <w:t xml:space="preserve">When I used </w:t>
      </w:r>
      <w:r w:rsidR="00A75A48" w:rsidRPr="00180DCB">
        <w:rPr>
          <w:rFonts w:ascii="Arial" w:hAnsi="Arial" w:cs="Arial"/>
        </w:rPr>
        <w:t>LLM</w:t>
      </w:r>
      <w:r w:rsidRPr="00180DCB">
        <w:rPr>
          <w:rFonts w:ascii="Arial" w:hAnsi="Arial" w:cs="Arial"/>
        </w:rPr>
        <w:t>, I mainly asked it to challenge these solutions, identify mistakes, and suggest better alternatives. In that sense</w:t>
      </w:r>
      <w:r w:rsidR="00113A56" w:rsidRPr="00180DCB">
        <w:rPr>
          <w:rFonts w:ascii="Arial" w:hAnsi="Arial" w:cs="Arial"/>
        </w:rPr>
        <w:t>,</w:t>
      </w:r>
      <w:r w:rsidRPr="00180DCB">
        <w:rPr>
          <w:rFonts w:ascii="Arial" w:hAnsi="Arial" w:cs="Arial"/>
        </w:rPr>
        <w:t xml:space="preserve"> I </w:t>
      </w:r>
      <w:r w:rsidR="00113A56" w:rsidRPr="00180DCB">
        <w:rPr>
          <w:rFonts w:ascii="Arial" w:hAnsi="Arial" w:cs="Arial"/>
        </w:rPr>
        <w:t>use</w:t>
      </w:r>
      <w:r w:rsidRPr="00180DCB">
        <w:rPr>
          <w:rFonts w:ascii="Arial" w:hAnsi="Arial" w:cs="Arial"/>
        </w:rPr>
        <w:t xml:space="preserve"> AI as a critic rather than a creator. This approach </w:t>
      </w:r>
      <w:r w:rsidR="00A75A48" w:rsidRPr="00180DCB">
        <w:rPr>
          <w:rFonts w:ascii="Arial" w:hAnsi="Arial" w:cs="Arial"/>
        </w:rPr>
        <w:t>aligns with recent literature arguing that generative AI is most valuable when used within a human-centred process in which</w:t>
      </w:r>
      <w:r w:rsidRPr="00180DCB">
        <w:rPr>
          <w:rFonts w:ascii="Arial" w:hAnsi="Arial" w:cs="Arial"/>
        </w:rPr>
        <w:t xml:space="preserve"> human</w:t>
      </w:r>
      <w:r w:rsidR="00113A56" w:rsidRPr="00180DCB">
        <w:rPr>
          <w:rFonts w:ascii="Arial" w:hAnsi="Arial" w:cs="Arial"/>
        </w:rPr>
        <w:t>s remain dominant (Corvello, 2025</w:t>
      </w:r>
      <w:r w:rsidR="00C952AE" w:rsidRPr="00180DCB">
        <w:rPr>
          <w:rFonts w:ascii="Arial" w:hAnsi="Arial" w:cs="Arial"/>
        </w:rPr>
        <w:t>;</w:t>
      </w:r>
      <w:r w:rsidR="00113A56" w:rsidRPr="00180DCB">
        <w:rPr>
          <w:rFonts w:ascii="Arial" w:hAnsi="Arial" w:cs="Arial"/>
        </w:rPr>
        <w:t xml:space="preserve"> Knochel et al., 2025).</w:t>
      </w:r>
    </w:p>
    <w:p w14:paraId="5D9E7BF3" w14:textId="30FF37EA" w:rsidR="00C952AE" w:rsidRPr="00180DCB" w:rsidRDefault="00C952AE" w:rsidP="00180DCB">
      <w:pPr>
        <w:spacing w:line="360" w:lineRule="auto"/>
        <w:jc w:val="both"/>
        <w:rPr>
          <w:rFonts w:ascii="Arial" w:hAnsi="Arial" w:cs="Arial"/>
        </w:rPr>
      </w:pPr>
      <w:r w:rsidRPr="00180DCB">
        <w:rPr>
          <w:rFonts w:ascii="Arial" w:hAnsi="Arial" w:cs="Arial"/>
        </w:rPr>
        <w:t>One of the clear strengths of the AI was speed</w:t>
      </w:r>
      <w:r w:rsidR="00A5747B" w:rsidRPr="00180DCB">
        <w:rPr>
          <w:rFonts w:ascii="Arial" w:hAnsi="Arial" w:cs="Arial"/>
        </w:rPr>
        <w:t xml:space="preserve">. It could produce objections, alternative scenarios, and counterarguments in seconds. This helped me test whether my recommendation was too optimistic, too risky, or too commercially driven. The tool was </w:t>
      </w:r>
      <w:r w:rsidR="00A5747B" w:rsidRPr="00180DCB">
        <w:rPr>
          <w:rFonts w:ascii="Arial" w:hAnsi="Arial" w:cs="Arial"/>
        </w:rPr>
        <w:lastRenderedPageBreak/>
        <w:t>particularly useful in identifying tensions between increased demand and weak operation. That mattered in Seren Coffi because the case is not about a coffee shop lacking demand, it is about a values-led business whose systems have become fragile.</w:t>
      </w:r>
    </w:p>
    <w:p w14:paraId="05EF8044" w14:textId="4980597F" w:rsidR="00A5747B" w:rsidRPr="00180DCB" w:rsidRDefault="00A5747B" w:rsidP="00180DCB">
      <w:pPr>
        <w:spacing w:line="360" w:lineRule="auto"/>
        <w:jc w:val="both"/>
        <w:rPr>
          <w:rFonts w:ascii="Arial" w:hAnsi="Arial" w:cs="Arial"/>
        </w:rPr>
      </w:pPr>
      <w:r w:rsidRPr="00180DCB">
        <w:rPr>
          <w:rFonts w:ascii="Arial" w:hAnsi="Arial" w:cs="Arial"/>
        </w:rPr>
        <w:t xml:space="preserve">The AI also helped surface an important point </w:t>
      </w:r>
      <w:r w:rsidR="00A75A48" w:rsidRPr="00180DCB">
        <w:rPr>
          <w:rFonts w:ascii="Arial" w:hAnsi="Arial" w:cs="Arial"/>
        </w:rPr>
        <w:t xml:space="preserve">I had to confront more clearly: if the coffee shop is already struggling with queues, equipment problems, and founder disengagement, </w:t>
      </w:r>
      <w:r w:rsidRPr="00180DCB">
        <w:rPr>
          <w:rFonts w:ascii="Arial" w:hAnsi="Arial" w:cs="Arial"/>
        </w:rPr>
        <w:t>some growth-oriented ideas could worsen the problem before they solve it.</w:t>
      </w:r>
      <w:r w:rsidR="00A75A48" w:rsidRPr="00180DCB">
        <w:rPr>
          <w:rFonts w:ascii="Arial" w:hAnsi="Arial" w:cs="Arial"/>
        </w:rPr>
        <w:t xml:space="preserve"> In that respect, the AI did not give me a better final idea, but it helped me pressure-text my own. This is consistent with work arguing that generative AI can support idea exploration and innovation management, but that its usefulness </w:t>
      </w:r>
      <w:r w:rsidR="001C2123" w:rsidRPr="00180DCB">
        <w:rPr>
          <w:rFonts w:ascii="Arial" w:hAnsi="Arial" w:cs="Arial"/>
        </w:rPr>
        <w:t>depends heavily on how humans appropriate and direct it (Mariani and Dwivedi, 2024; Heigl, 2026).</w:t>
      </w:r>
    </w:p>
    <w:p w14:paraId="24E841F7" w14:textId="5BC5E007" w:rsidR="001C2123" w:rsidRPr="00180DCB" w:rsidRDefault="001C2123" w:rsidP="00180DCB">
      <w:pPr>
        <w:spacing w:line="360" w:lineRule="auto"/>
        <w:jc w:val="both"/>
        <w:rPr>
          <w:rFonts w:ascii="Arial" w:hAnsi="Arial" w:cs="Arial"/>
        </w:rPr>
      </w:pPr>
      <w:r w:rsidRPr="00180DCB">
        <w:rPr>
          <w:rFonts w:ascii="Arial" w:hAnsi="Arial" w:cs="Arial"/>
        </w:rPr>
        <w:t>However, the weaknesses were more revealing than the strengths. The first major problem was that AI often defaulted to generic business optimisation logic.</w:t>
      </w:r>
    </w:p>
    <w:p w14:paraId="46B230A0" w14:textId="27FD6686" w:rsidR="001C2123" w:rsidRPr="00180DCB" w:rsidRDefault="001C2123" w:rsidP="00180DCB">
      <w:pPr>
        <w:spacing w:line="360" w:lineRule="auto"/>
        <w:jc w:val="both"/>
        <w:rPr>
          <w:rFonts w:ascii="Arial" w:hAnsi="Arial" w:cs="Arial"/>
        </w:rPr>
      </w:pPr>
      <w:r w:rsidRPr="00180DCB">
        <w:rPr>
          <w:rFonts w:ascii="Arial" w:hAnsi="Arial" w:cs="Arial"/>
        </w:rPr>
        <w:t xml:space="preserve">It repeatedly leaned toward solutions centred on expansion, efficiency, and standardisation, even though the case deliberately raises doubts about capitalist growth as the only measure of success. That bias matters. Seren Coffi is not just a commercial unit; it is a community-based coffee shop with Welsh identity, ethical sourcing, and cultural value at its core. The AI struggled to treat those features as central rather than decorative. In practice, this meant it could sound persuasive while subtly pushing the analysis away from the case’s real tension. Literature on generative AI in creative fields makes a similar point: AI often works more </w:t>
      </w:r>
      <w:r w:rsidR="00FF1324" w:rsidRPr="00180DCB">
        <w:rPr>
          <w:rFonts w:ascii="Arial" w:hAnsi="Arial" w:cs="Arial"/>
        </w:rPr>
        <w:t>comfortably in commercially oriented settings than in contexts where authenticity, tacit judgment, and cultural meaning are central (Tsao et al., 2025). In this case, this meant I had to keep correcting the tool back toward the values of the organisation rather than the logic of scale.</w:t>
      </w:r>
    </w:p>
    <w:p w14:paraId="1CEA3135" w14:textId="201CE1C4" w:rsidR="00FF1324" w:rsidRPr="00180DCB" w:rsidRDefault="00FF1324" w:rsidP="00180DCB">
      <w:pPr>
        <w:spacing w:line="360" w:lineRule="auto"/>
        <w:jc w:val="both"/>
        <w:rPr>
          <w:rFonts w:ascii="Arial" w:hAnsi="Arial" w:cs="Arial"/>
        </w:rPr>
      </w:pPr>
      <w:r w:rsidRPr="00180DCB">
        <w:rPr>
          <w:rFonts w:ascii="Arial" w:hAnsi="Arial" w:cs="Arial"/>
        </w:rPr>
        <w:t xml:space="preserve">A second weakness was simplification. The AI collapsed several separate ideas into one blended package, as if controlled partnership, delivery platforms, lease-hire equipment, digital ordering, and menu extensions were all one single innovation. That was analytically unhelpful because those measures carry different levels of risk, cost and strategic meaning. A lease-hire coffee machine is mainly an operational resilience measure. Delivery platforms are a channel decision. Digital ordering affects service </w:t>
      </w:r>
      <w:r w:rsidRPr="00180DCB">
        <w:rPr>
          <w:rFonts w:ascii="Arial" w:hAnsi="Arial" w:cs="Arial"/>
        </w:rPr>
        <w:lastRenderedPageBreak/>
        <w:t>design and staffing. An alcohol licence is a revenue diversification move. A controlled partnership is a strategic governance decision.</w:t>
      </w:r>
    </w:p>
    <w:p w14:paraId="11810372" w14:textId="3C0E0627" w:rsidR="00FF1324" w:rsidRPr="00180DCB" w:rsidRDefault="004731A2" w:rsidP="00180DCB">
      <w:pPr>
        <w:spacing w:line="360" w:lineRule="auto"/>
        <w:jc w:val="both"/>
        <w:rPr>
          <w:rFonts w:ascii="Arial" w:hAnsi="Arial" w:cs="Arial"/>
        </w:rPr>
      </w:pPr>
      <w:r w:rsidRPr="00180DCB">
        <w:rPr>
          <w:rFonts w:ascii="Arial" w:hAnsi="Arial" w:cs="Arial"/>
        </w:rPr>
        <w:t>Treating them as one thing made the output look neat, but less precise. This showed me that AI can improve fluency while reducing conceptual sharpness. Recent work on responsible use of generative AI warns against accepting polished outputs at face value, because coherence can hide weak categorisation, borrowed assumptions, and false structure (Lorenz et al., 2024).</w:t>
      </w:r>
    </w:p>
    <w:p w14:paraId="65A9B8CF" w14:textId="0B68008B" w:rsidR="004731A2" w:rsidRPr="00180DCB" w:rsidRDefault="004731A2" w:rsidP="00180DCB">
      <w:pPr>
        <w:spacing w:line="360" w:lineRule="auto"/>
        <w:jc w:val="both"/>
        <w:rPr>
          <w:rFonts w:ascii="Arial" w:hAnsi="Arial" w:cs="Arial"/>
        </w:rPr>
      </w:pPr>
      <w:r w:rsidRPr="00180DCB">
        <w:rPr>
          <w:rFonts w:ascii="Arial" w:hAnsi="Arial" w:cs="Arial"/>
        </w:rPr>
        <w:t xml:space="preserve">A third issue was reliability. The problem was not that AI was always obviously wrong. The more difficult issue was that it often sounded right even when it was incomplete, overconfident, or insufficiently grounded in the facts of the case. That is exactly why language models need careful human oversight. Research on </w:t>
      </w:r>
      <w:r w:rsidR="00683FFF" w:rsidRPr="00180DCB">
        <w:rPr>
          <w:rFonts w:ascii="Arial" w:hAnsi="Arial" w:cs="Arial"/>
        </w:rPr>
        <w:t>LLM hallucinations shows that these systems can generate plausible but incorrect or weakly grounded statements, and that truthfulness remains only partially solved (Farquhar et al., 2024). In academia and managerial work, this is dangerous because it creates a false sense of certainty. I found that AI could produce strong-sounding criticisms without always recognising the full context, which I had already built into the report. Because of that, I treated every recommendation as provisional and something to be tested, not trusted.</w:t>
      </w:r>
    </w:p>
    <w:p w14:paraId="02955875" w14:textId="70668FF1" w:rsidR="00683FFF" w:rsidRPr="00180DCB" w:rsidRDefault="00683FFF" w:rsidP="00180DCB">
      <w:pPr>
        <w:spacing w:line="360" w:lineRule="auto"/>
        <w:jc w:val="both"/>
        <w:rPr>
          <w:rFonts w:ascii="Arial" w:hAnsi="Arial" w:cs="Arial"/>
        </w:rPr>
      </w:pPr>
      <w:r w:rsidRPr="00180DCB">
        <w:rPr>
          <w:rFonts w:ascii="Arial" w:hAnsi="Arial" w:cs="Arial"/>
        </w:rPr>
        <w:t>Bias was another important concern</w:t>
      </w:r>
      <w:r w:rsidR="00644A4E" w:rsidRPr="00180DCB">
        <w:rPr>
          <w:rFonts w:ascii="Arial" w:hAnsi="Arial" w:cs="Arial"/>
        </w:rPr>
        <w:t xml:space="preserve">. Even when the topic was a small coffee shop rather than a protected social group, the issue of bias still mattered because the model reflected dominant assumptions about what counts as a “good” business decision. Much of its reasoning privileged productivity, consistency, and growth, which are not neutral criteria. They are shaped by the data and managerial discourses that such systems absorb. More broadly, published evidence shows that language models can reproduce or even amplify harmful social biases hidden within their training environments (Hofmann et al., 2024). </w:t>
      </w:r>
    </w:p>
    <w:p w14:paraId="6DB66A67" w14:textId="749F3C53" w:rsidR="00644A4E" w:rsidRPr="00180DCB" w:rsidRDefault="00644A4E" w:rsidP="00180DCB">
      <w:pPr>
        <w:spacing w:line="360" w:lineRule="auto"/>
        <w:jc w:val="both"/>
        <w:rPr>
          <w:rFonts w:ascii="Arial" w:hAnsi="Arial" w:cs="Arial"/>
        </w:rPr>
      </w:pPr>
      <w:r w:rsidRPr="00180DCB">
        <w:rPr>
          <w:rFonts w:ascii="Arial" w:hAnsi="Arial" w:cs="Arial"/>
        </w:rPr>
        <w:t>For this case, this mattered less in a demographic sense and more in an ideological one; the AI tended to privilege efficiency over identity, scale over place, and standardisation over community. That pushed me to be more critical of the model’s worldview, not just its facts.</w:t>
      </w:r>
    </w:p>
    <w:p w14:paraId="384A6F0A" w14:textId="72A40C22" w:rsidR="00644A4E" w:rsidRPr="00180DCB" w:rsidRDefault="00644A4E" w:rsidP="00180DCB">
      <w:pPr>
        <w:spacing w:line="360" w:lineRule="auto"/>
        <w:jc w:val="both"/>
        <w:rPr>
          <w:rFonts w:ascii="Arial" w:hAnsi="Arial" w:cs="Arial"/>
        </w:rPr>
      </w:pPr>
      <w:r w:rsidRPr="00180DCB">
        <w:rPr>
          <w:rFonts w:ascii="Arial" w:hAnsi="Arial" w:cs="Arial"/>
        </w:rPr>
        <w:t xml:space="preserve">Despite this, I would not say the AI had no value. Its best contribution was to act as a structured opponent. It challenged my first solution, questioned my assumptions about delivery and digital ordering, and </w:t>
      </w:r>
      <w:r w:rsidR="00AD124B" w:rsidRPr="00180DCB">
        <w:rPr>
          <w:rFonts w:ascii="Arial" w:hAnsi="Arial" w:cs="Arial"/>
        </w:rPr>
        <w:t>forced</w:t>
      </w:r>
      <w:r w:rsidRPr="00180DCB">
        <w:rPr>
          <w:rFonts w:ascii="Arial" w:hAnsi="Arial" w:cs="Arial"/>
        </w:rPr>
        <w:t xml:space="preserve"> me to separate short-term </w:t>
      </w:r>
      <w:r w:rsidR="00AD124B" w:rsidRPr="00180DCB">
        <w:rPr>
          <w:rFonts w:ascii="Arial" w:hAnsi="Arial" w:cs="Arial"/>
        </w:rPr>
        <w:t xml:space="preserve">operational repair </w:t>
      </w:r>
      <w:r w:rsidR="00AD124B" w:rsidRPr="00180DCB">
        <w:rPr>
          <w:rFonts w:ascii="Arial" w:hAnsi="Arial" w:cs="Arial"/>
        </w:rPr>
        <w:lastRenderedPageBreak/>
        <w:t>from longer-term innovation. In that way, it improved the quality of my reasoning by making me defend my choices more clearly. This aligns with research showing that algorithmic systems can sometimes reduce certain human judgment errors or improve decision support, but only when their input is timely, relevant, and subject to human control (Chacon and Kaufmann, 2025). I therefore found the tool most useful not when it “gave me the answer”, but when it forced me to explain why some of its answers were too simplistic.</w:t>
      </w:r>
    </w:p>
    <w:p w14:paraId="274A48EC" w14:textId="2FACC7DB" w:rsidR="00AD124B" w:rsidRPr="00180DCB" w:rsidRDefault="00AD124B" w:rsidP="00180DCB">
      <w:pPr>
        <w:spacing w:line="360" w:lineRule="auto"/>
        <w:jc w:val="both"/>
        <w:rPr>
          <w:rFonts w:ascii="Arial" w:hAnsi="Arial" w:cs="Arial"/>
        </w:rPr>
      </w:pPr>
      <w:r w:rsidRPr="00180DCB">
        <w:rPr>
          <w:rFonts w:ascii="Arial" w:hAnsi="Arial" w:cs="Arial"/>
        </w:rPr>
        <w:t xml:space="preserve">When I asked broad questions, I got broad and predictable answers. When I constrained the tool and </w:t>
      </w:r>
      <w:r w:rsidR="00127F9F" w:rsidRPr="00180DCB">
        <w:rPr>
          <w:rFonts w:ascii="Arial" w:hAnsi="Arial" w:cs="Arial"/>
        </w:rPr>
        <w:t>asked to critique</w:t>
      </w:r>
      <w:r w:rsidRPr="00180DCB">
        <w:rPr>
          <w:rFonts w:ascii="Arial" w:hAnsi="Arial" w:cs="Arial"/>
        </w:rPr>
        <w:t xml:space="preserve"> specific parts of my solution, the output improved. That does not mean the AI becomes reliable on its own. It means human framing did most of the work. Research suggests that people are more willing to use imperfect systems when they can retain some control over them (Dietvorst, Simmons, and Massey, 2018).</w:t>
      </w:r>
    </w:p>
    <w:p w14:paraId="33F3B2F1" w14:textId="6F2957E5" w:rsidR="00127F9F" w:rsidRPr="00180DCB" w:rsidRDefault="00127F9F" w:rsidP="00180DCB">
      <w:pPr>
        <w:spacing w:line="360" w:lineRule="auto"/>
        <w:jc w:val="both"/>
        <w:rPr>
          <w:rFonts w:ascii="Arial" w:hAnsi="Arial" w:cs="Arial"/>
        </w:rPr>
      </w:pPr>
      <w:r w:rsidRPr="00180DCB">
        <w:rPr>
          <w:rFonts w:ascii="Arial" w:hAnsi="Arial" w:cs="Arial"/>
        </w:rPr>
        <w:t xml:space="preserve"> I used </w:t>
      </w:r>
      <w:r w:rsidR="00B0771F">
        <w:rPr>
          <w:rFonts w:ascii="Arial" w:hAnsi="Arial" w:cs="Arial"/>
        </w:rPr>
        <w:t>the AI</w:t>
      </w:r>
      <w:r w:rsidRPr="00180DCB">
        <w:rPr>
          <w:rFonts w:ascii="Arial" w:hAnsi="Arial" w:cs="Arial"/>
        </w:rPr>
        <w:t xml:space="preserve"> wisely and kept final control over what counted as relevant or valid. This strengthens the view that human-AI performance is not a simple question of whether AI is better or worse than people; it depends on trust, transparency, control, and the quality of collaboration (Gondocs, Horvath, and Dorfler, 2025).</w:t>
      </w:r>
    </w:p>
    <w:p w14:paraId="06EFB330" w14:textId="3B418D7D" w:rsidR="00127F9F" w:rsidRPr="00180DCB" w:rsidRDefault="00127F9F" w:rsidP="00180DCB">
      <w:pPr>
        <w:spacing w:line="360" w:lineRule="auto"/>
        <w:jc w:val="both"/>
        <w:rPr>
          <w:rFonts w:ascii="Arial" w:hAnsi="Arial" w:cs="Arial"/>
        </w:rPr>
      </w:pPr>
      <w:r w:rsidRPr="00180DCB">
        <w:rPr>
          <w:rFonts w:ascii="Arial" w:hAnsi="Arial" w:cs="Arial"/>
        </w:rPr>
        <w:t>Overall, the process made me more critical of the idea that AI naturally produces creativity. In this case, the AI did not originate the central innovation. My main idea already existed before I used it. What the tool really did was expose blind spots, push back against weak logic, and generate competing framings. That is useful, but it is not the same as genuine creative insight.</w:t>
      </w:r>
      <w:r w:rsidR="00084875" w:rsidRPr="00180DCB">
        <w:rPr>
          <w:rFonts w:ascii="Arial" w:hAnsi="Arial" w:cs="Arial"/>
        </w:rPr>
        <w:t xml:space="preserve"> In fact, there were moments when overreliance on the LLM would probably have made the report weaker, more generic, and less faithful to the case.</w:t>
      </w:r>
    </w:p>
    <w:p w14:paraId="3B9062F0" w14:textId="52620125" w:rsidR="00084875" w:rsidRPr="00180DCB" w:rsidRDefault="00084875" w:rsidP="00180DCB">
      <w:pPr>
        <w:spacing w:line="360" w:lineRule="auto"/>
        <w:jc w:val="both"/>
        <w:rPr>
          <w:rFonts w:ascii="Arial" w:hAnsi="Arial" w:cs="Arial"/>
        </w:rPr>
      </w:pPr>
      <w:r w:rsidRPr="00180DCB">
        <w:rPr>
          <w:rFonts w:ascii="Arial" w:hAnsi="Arial" w:cs="Arial"/>
        </w:rPr>
        <w:t xml:space="preserve">For a values-led business like Seren Coffi, originality depended on judgment, interpretation, and sensitivity to context more than on rapid idea generation. That supports the argument that AI should be treated as a support mechanism within innovation work, not as an autonomous </w:t>
      </w:r>
      <w:r w:rsidR="00B0771F" w:rsidRPr="00180DCB">
        <w:rPr>
          <w:rFonts w:ascii="Arial" w:hAnsi="Arial" w:cs="Arial"/>
        </w:rPr>
        <w:t>inventor</w:t>
      </w:r>
      <w:r w:rsidRPr="00180DCB">
        <w:rPr>
          <w:rFonts w:ascii="Arial" w:hAnsi="Arial" w:cs="Arial"/>
        </w:rPr>
        <w:t xml:space="preserve"> (Canhoto and Clear, 2020).</w:t>
      </w:r>
    </w:p>
    <w:p w14:paraId="71D9BAD1" w14:textId="4594D81A" w:rsidR="00084875" w:rsidRPr="00180DCB" w:rsidRDefault="00084875" w:rsidP="00180DCB">
      <w:pPr>
        <w:spacing w:line="360" w:lineRule="auto"/>
        <w:jc w:val="both"/>
        <w:rPr>
          <w:rFonts w:ascii="Arial" w:hAnsi="Arial" w:cs="Arial"/>
        </w:rPr>
      </w:pPr>
      <w:r w:rsidRPr="00180DCB">
        <w:rPr>
          <w:rFonts w:ascii="Arial" w:hAnsi="Arial" w:cs="Arial"/>
        </w:rPr>
        <w:t xml:space="preserve">In conclusion, my use of AI was helpful but only in a limited and carefully managed way. It improved the work when it challenged me, not when it tried to think for me. The LLM helped me identify tensions within my original solution, especially around growth, operational strain, and mission drift. It made the final argument more robust because </w:t>
      </w:r>
      <w:r w:rsidRPr="00180DCB">
        <w:rPr>
          <w:rFonts w:ascii="Arial" w:hAnsi="Arial" w:cs="Arial"/>
        </w:rPr>
        <w:lastRenderedPageBreak/>
        <w:t>it forced me to justify why a controlled partnership was preferable to either full expansion or full resistance to change.</w:t>
      </w:r>
    </w:p>
    <w:p w14:paraId="3453A425" w14:textId="138ACADC" w:rsidR="00084875" w:rsidRPr="00180DCB" w:rsidRDefault="00084875" w:rsidP="00180DCB">
      <w:pPr>
        <w:spacing w:line="360" w:lineRule="auto"/>
        <w:jc w:val="both"/>
        <w:rPr>
          <w:rFonts w:ascii="Arial" w:hAnsi="Arial" w:cs="Arial"/>
        </w:rPr>
      </w:pPr>
      <w:r w:rsidRPr="00180DCB">
        <w:rPr>
          <w:rFonts w:ascii="Arial" w:hAnsi="Arial" w:cs="Arial"/>
        </w:rPr>
        <w:t>At the same time</w:t>
      </w:r>
      <w:r w:rsidR="008A1A96" w:rsidRPr="00180DCB">
        <w:rPr>
          <w:rFonts w:ascii="Arial" w:hAnsi="Arial" w:cs="Arial"/>
        </w:rPr>
        <w:t xml:space="preserve">, the process exposed serious flaws in AI use: generic commercial reasoning, conceptual simplification, hidden ideological bias, and the constant risk of polished but unreliable outputs. For that reason, my critical appraisal is that AI contributed more to evaluation than to invention. </w:t>
      </w:r>
    </w:p>
    <w:p w14:paraId="7465FE3A" w14:textId="163DD427" w:rsidR="008A1A96" w:rsidRPr="00180DCB" w:rsidRDefault="008A1A96" w:rsidP="00180DCB">
      <w:pPr>
        <w:spacing w:line="360" w:lineRule="auto"/>
        <w:jc w:val="both"/>
        <w:rPr>
          <w:rFonts w:ascii="Arial" w:hAnsi="Arial" w:cs="Arial"/>
        </w:rPr>
      </w:pPr>
      <w:r w:rsidRPr="00180DCB">
        <w:rPr>
          <w:rFonts w:ascii="Arial" w:hAnsi="Arial" w:cs="Arial"/>
        </w:rPr>
        <w:t>It was a useful tool for testing and refining the innovation, but it could not replace human judgment, contextual understanding, or responsibility for the final decision. AI can strengthen creative and innovative work, but only when the human user remains the real decision-maker.</w:t>
      </w:r>
    </w:p>
    <w:p w14:paraId="7E983EE1" w14:textId="77777777" w:rsidR="00AD7288" w:rsidRPr="00180DCB" w:rsidRDefault="00AD7288" w:rsidP="00180DCB">
      <w:pPr>
        <w:spacing w:line="360" w:lineRule="auto"/>
        <w:jc w:val="both"/>
        <w:rPr>
          <w:rFonts w:ascii="Arial" w:hAnsi="Arial" w:cs="Arial"/>
        </w:rPr>
      </w:pPr>
    </w:p>
    <w:p w14:paraId="798AC24F" w14:textId="77777777" w:rsidR="00AD7288" w:rsidRPr="00180DCB" w:rsidRDefault="00AD7288" w:rsidP="00180DCB">
      <w:pPr>
        <w:spacing w:line="360" w:lineRule="auto"/>
        <w:jc w:val="both"/>
        <w:rPr>
          <w:rFonts w:ascii="Arial" w:hAnsi="Arial" w:cs="Arial"/>
        </w:rPr>
      </w:pPr>
    </w:p>
    <w:p w14:paraId="3F9E65AB" w14:textId="77777777" w:rsidR="00AD7288" w:rsidRPr="00180DCB" w:rsidRDefault="00AD7288" w:rsidP="00180DCB">
      <w:pPr>
        <w:spacing w:line="360" w:lineRule="auto"/>
        <w:jc w:val="both"/>
        <w:rPr>
          <w:rFonts w:ascii="Arial" w:hAnsi="Arial" w:cs="Arial"/>
        </w:rPr>
      </w:pPr>
    </w:p>
    <w:p w14:paraId="6D468E94" w14:textId="77777777" w:rsidR="00AD7288" w:rsidRPr="00180DCB" w:rsidRDefault="00AD7288" w:rsidP="00180DCB">
      <w:pPr>
        <w:spacing w:line="360" w:lineRule="auto"/>
        <w:jc w:val="both"/>
        <w:rPr>
          <w:rFonts w:ascii="Arial" w:hAnsi="Arial" w:cs="Arial"/>
        </w:rPr>
      </w:pPr>
    </w:p>
    <w:p w14:paraId="04953643" w14:textId="77777777" w:rsidR="00AD7288" w:rsidRPr="00180DCB" w:rsidRDefault="00AD7288" w:rsidP="00180DCB">
      <w:pPr>
        <w:spacing w:line="360" w:lineRule="auto"/>
        <w:jc w:val="both"/>
        <w:rPr>
          <w:rFonts w:ascii="Arial" w:hAnsi="Arial" w:cs="Arial"/>
        </w:rPr>
      </w:pPr>
    </w:p>
    <w:p w14:paraId="5DDE59F8" w14:textId="77777777" w:rsidR="00AD7288" w:rsidRPr="00180DCB" w:rsidRDefault="00AD7288" w:rsidP="00180DCB">
      <w:pPr>
        <w:spacing w:line="360" w:lineRule="auto"/>
        <w:jc w:val="both"/>
        <w:rPr>
          <w:rFonts w:ascii="Arial" w:hAnsi="Arial" w:cs="Arial"/>
        </w:rPr>
      </w:pPr>
    </w:p>
    <w:p w14:paraId="2BBD52FF" w14:textId="77777777" w:rsidR="00AD7288" w:rsidRPr="00180DCB" w:rsidRDefault="00AD7288" w:rsidP="00180DCB">
      <w:pPr>
        <w:spacing w:line="360" w:lineRule="auto"/>
        <w:jc w:val="both"/>
        <w:rPr>
          <w:rFonts w:ascii="Arial" w:hAnsi="Arial" w:cs="Arial"/>
        </w:rPr>
      </w:pPr>
    </w:p>
    <w:p w14:paraId="5AD6DC07" w14:textId="77777777" w:rsidR="00AD7288" w:rsidRPr="00180DCB" w:rsidRDefault="00AD7288" w:rsidP="00180DCB">
      <w:pPr>
        <w:spacing w:line="360" w:lineRule="auto"/>
        <w:jc w:val="both"/>
        <w:rPr>
          <w:rFonts w:ascii="Arial" w:hAnsi="Arial" w:cs="Arial"/>
        </w:rPr>
      </w:pPr>
    </w:p>
    <w:p w14:paraId="1830F6D8" w14:textId="77777777" w:rsidR="00AD7288" w:rsidRPr="00180DCB" w:rsidRDefault="00AD7288" w:rsidP="00180DCB">
      <w:pPr>
        <w:spacing w:line="360" w:lineRule="auto"/>
        <w:jc w:val="both"/>
        <w:rPr>
          <w:rFonts w:ascii="Arial" w:hAnsi="Arial" w:cs="Arial"/>
        </w:rPr>
      </w:pPr>
    </w:p>
    <w:p w14:paraId="593C678D" w14:textId="77777777" w:rsidR="00AD7288" w:rsidRPr="00180DCB" w:rsidRDefault="00AD7288" w:rsidP="00180DCB">
      <w:pPr>
        <w:spacing w:line="360" w:lineRule="auto"/>
        <w:jc w:val="both"/>
        <w:rPr>
          <w:rFonts w:ascii="Arial" w:hAnsi="Arial" w:cs="Arial"/>
        </w:rPr>
      </w:pPr>
    </w:p>
    <w:p w14:paraId="4C2EF531" w14:textId="77777777" w:rsidR="00180DCB" w:rsidRDefault="00180DCB" w:rsidP="00084875">
      <w:pPr>
        <w:rPr>
          <w:rFonts w:ascii="Arial" w:hAnsi="Arial" w:cs="Arial"/>
        </w:rPr>
      </w:pPr>
    </w:p>
    <w:p w14:paraId="7B52DDE1" w14:textId="77777777" w:rsidR="003044D2" w:rsidRDefault="003044D2" w:rsidP="00084875">
      <w:pPr>
        <w:rPr>
          <w:rFonts w:ascii="Arial" w:hAnsi="Arial" w:cs="Arial"/>
        </w:rPr>
      </w:pPr>
    </w:p>
    <w:p w14:paraId="4FC82112" w14:textId="77777777" w:rsidR="003044D2" w:rsidRDefault="003044D2" w:rsidP="00084875">
      <w:pPr>
        <w:rPr>
          <w:rFonts w:ascii="Arial" w:hAnsi="Arial" w:cs="Arial"/>
        </w:rPr>
      </w:pPr>
    </w:p>
    <w:p w14:paraId="2BD2A472" w14:textId="77777777" w:rsidR="003044D2" w:rsidRDefault="003044D2" w:rsidP="00084875">
      <w:pPr>
        <w:rPr>
          <w:rFonts w:ascii="Arial" w:hAnsi="Arial" w:cs="Arial"/>
        </w:rPr>
      </w:pPr>
    </w:p>
    <w:p w14:paraId="73F90F66" w14:textId="77777777" w:rsidR="00EA7EFD" w:rsidRDefault="00EA7EFD" w:rsidP="00084875">
      <w:pPr>
        <w:rPr>
          <w:rFonts w:ascii="Arial" w:hAnsi="Arial" w:cs="Arial"/>
        </w:rPr>
      </w:pPr>
    </w:p>
    <w:p w14:paraId="4360895A" w14:textId="77777777" w:rsidR="00EA7EFD" w:rsidRDefault="00EA7EFD" w:rsidP="00084875">
      <w:pPr>
        <w:rPr>
          <w:rFonts w:ascii="Arial" w:hAnsi="Arial" w:cs="Arial"/>
        </w:rPr>
      </w:pPr>
    </w:p>
    <w:p w14:paraId="1BA0F299" w14:textId="357AAF93" w:rsidR="00AD7288" w:rsidRDefault="00180DCB" w:rsidP="00180DCB">
      <w:pPr>
        <w:pStyle w:val="Heading1"/>
      </w:pPr>
      <w:bookmarkStart w:id="7" w:name="_Toc225779179"/>
      <w:r>
        <w:lastRenderedPageBreak/>
        <w:t>References</w:t>
      </w:r>
      <w:bookmarkEnd w:id="7"/>
      <w:r>
        <w:t xml:space="preserve"> </w:t>
      </w:r>
    </w:p>
    <w:p w14:paraId="5AA9B046" w14:textId="77777777" w:rsidR="003044D2" w:rsidRDefault="003044D2" w:rsidP="003044D2"/>
    <w:p w14:paraId="32A39157" w14:textId="77777777" w:rsidR="003044D2" w:rsidRPr="003044D2" w:rsidRDefault="003044D2" w:rsidP="003044D2"/>
    <w:p w14:paraId="172CD984" w14:textId="77777777" w:rsidR="003044D2" w:rsidRDefault="00935DB4" w:rsidP="00935DB4">
      <w:pPr>
        <w:spacing w:before="100" w:beforeAutospacing="1" w:after="100" w:afterAutospacing="1" w:line="240" w:lineRule="auto"/>
        <w:rPr>
          <w:rFonts w:ascii="Times New Roman" w:eastAsia="Times New Roman" w:hAnsi="Times New Roman"/>
          <w:kern w:val="0"/>
          <w:lang w:eastAsia="en-GB"/>
          <w14:ligatures w14:val="none"/>
        </w:rPr>
      </w:pPr>
      <w:r w:rsidRPr="00935DB4">
        <w:rPr>
          <w:rFonts w:ascii="Times New Roman" w:eastAsia="Times New Roman" w:hAnsi="Times New Roman"/>
          <w:kern w:val="0"/>
          <w:lang w:eastAsia="en-GB"/>
          <w14:ligatures w14:val="none"/>
        </w:rPr>
        <w:t xml:space="preserve">Amabile, T.M. (1988) ‘A model of creativity and innovation in organizations’, in Staw, B.M. and Cummings, L.L. (eds.) </w:t>
      </w:r>
      <w:r w:rsidRPr="00935DB4">
        <w:rPr>
          <w:rFonts w:ascii="Times New Roman" w:eastAsia="Times New Roman" w:hAnsi="Times New Roman"/>
          <w:i/>
          <w:iCs/>
          <w:kern w:val="0"/>
          <w:lang w:eastAsia="en-GB"/>
          <w14:ligatures w14:val="none"/>
        </w:rPr>
        <w:t>Research in Organizational Behavior</w:t>
      </w:r>
      <w:r w:rsidRPr="00935DB4">
        <w:rPr>
          <w:rFonts w:ascii="Times New Roman" w:eastAsia="Times New Roman" w:hAnsi="Times New Roman"/>
          <w:kern w:val="0"/>
          <w:lang w:eastAsia="en-GB"/>
          <w14:ligatures w14:val="none"/>
        </w:rPr>
        <w:t xml:space="preserve">. Vol. 10. Greenwich, CT: JAI Press, pp. 123–167. Available at: </w:t>
      </w:r>
    </w:p>
    <w:p w14:paraId="3BA677FC" w14:textId="2333389A" w:rsidR="00935DB4" w:rsidRPr="00935DB4" w:rsidRDefault="003044D2" w:rsidP="00935DB4">
      <w:pPr>
        <w:spacing w:before="100" w:beforeAutospacing="1" w:after="100" w:afterAutospacing="1" w:line="240" w:lineRule="auto"/>
        <w:rPr>
          <w:rFonts w:ascii="Times New Roman" w:eastAsia="Times New Roman" w:hAnsi="Times New Roman"/>
          <w:kern w:val="0"/>
          <w:lang w:eastAsia="en-GB"/>
          <w14:ligatures w14:val="none"/>
        </w:rPr>
      </w:pPr>
      <w:hyperlink r:id="rId9" w:history="1">
        <w:r w:rsidRPr="008C1B99">
          <w:rPr>
            <w:rStyle w:val="Hyperlink"/>
            <w:rFonts w:ascii="Times New Roman" w:eastAsia="Times New Roman" w:hAnsi="Times New Roman"/>
            <w:kern w:val="0"/>
            <w:lang w:eastAsia="en-GB"/>
            <w14:ligatures w14:val="none"/>
          </w:rPr>
          <w:t>https://web.mit.edu/curhan/www/docs/Articles/15341_Readings/Group_Performance/Amabile_A_Model_of_CreativityOrg.Beh_v10_pp123-167.pdf</w:t>
        </w:r>
      </w:hyperlink>
      <w:r w:rsidR="00935DB4" w:rsidRPr="00935DB4">
        <w:rPr>
          <w:rFonts w:ascii="Times New Roman" w:eastAsia="Times New Roman" w:hAnsi="Times New Roman"/>
          <w:kern w:val="0"/>
          <w:lang w:eastAsia="en-GB"/>
          <w14:ligatures w14:val="none"/>
        </w:rPr>
        <w:t xml:space="preserve"> (Accessed: </w:t>
      </w:r>
      <w:r w:rsidR="005054A4">
        <w:rPr>
          <w:rFonts w:ascii="Times New Roman" w:eastAsia="Times New Roman" w:hAnsi="Times New Roman"/>
          <w:kern w:val="0"/>
          <w:lang w:eastAsia="en-GB"/>
          <w14:ligatures w14:val="none"/>
        </w:rPr>
        <w:t>19</w:t>
      </w:r>
      <w:r w:rsidR="00935DB4" w:rsidRPr="00935DB4">
        <w:rPr>
          <w:rFonts w:ascii="Times New Roman" w:eastAsia="Times New Roman" w:hAnsi="Times New Roman"/>
          <w:kern w:val="0"/>
          <w:lang w:eastAsia="en-GB"/>
          <w14:ligatures w14:val="none"/>
        </w:rPr>
        <w:t xml:space="preserve"> March 2026).</w:t>
      </w:r>
    </w:p>
    <w:p w14:paraId="7C55C773" w14:textId="0423ADAB" w:rsidR="00935DB4" w:rsidRPr="00935DB4" w:rsidRDefault="00935DB4" w:rsidP="00935DB4">
      <w:pPr>
        <w:spacing w:before="100" w:beforeAutospacing="1" w:after="100" w:afterAutospacing="1" w:line="240" w:lineRule="auto"/>
        <w:rPr>
          <w:rFonts w:ascii="Times New Roman" w:eastAsia="Times New Roman" w:hAnsi="Times New Roman"/>
          <w:kern w:val="0"/>
          <w:lang w:eastAsia="en-GB"/>
          <w14:ligatures w14:val="none"/>
        </w:rPr>
      </w:pPr>
      <w:r w:rsidRPr="00935DB4">
        <w:rPr>
          <w:rFonts w:ascii="Times New Roman" w:eastAsia="Times New Roman" w:hAnsi="Times New Roman"/>
          <w:kern w:val="0"/>
          <w:lang w:eastAsia="en-GB"/>
          <w14:ligatures w14:val="none"/>
        </w:rPr>
        <w:t xml:space="preserve">Amabile, T.M., Conti, R., Coon, H., Lazenby, J. and Herron, M. (1996) ‘Assessing the work environment for creativity’, </w:t>
      </w:r>
      <w:r w:rsidRPr="00935DB4">
        <w:rPr>
          <w:rFonts w:ascii="Times New Roman" w:eastAsia="Times New Roman" w:hAnsi="Times New Roman"/>
          <w:i/>
          <w:iCs/>
          <w:kern w:val="0"/>
          <w:lang w:eastAsia="en-GB"/>
          <w14:ligatures w14:val="none"/>
        </w:rPr>
        <w:t>Academy of Management Journal</w:t>
      </w:r>
      <w:r w:rsidRPr="00935DB4">
        <w:rPr>
          <w:rFonts w:ascii="Times New Roman" w:eastAsia="Times New Roman" w:hAnsi="Times New Roman"/>
          <w:kern w:val="0"/>
          <w:lang w:eastAsia="en-GB"/>
          <w14:ligatures w14:val="none"/>
        </w:rPr>
        <w:t xml:space="preserve">, 39(5), pp. 1154–1184. Available at: </w:t>
      </w:r>
      <w:hyperlink r:id="rId10" w:history="1">
        <w:r w:rsidRPr="00935DB4">
          <w:rPr>
            <w:rFonts w:ascii="Times New Roman" w:eastAsia="Times New Roman" w:hAnsi="Times New Roman"/>
            <w:color w:val="0000FF"/>
            <w:kern w:val="0"/>
            <w:u w:val="single"/>
            <w:lang w:eastAsia="en-GB"/>
            <w14:ligatures w14:val="none"/>
          </w:rPr>
          <w:t>https://doi.org/10.5465/256995</w:t>
        </w:r>
      </w:hyperlink>
      <w:r w:rsidRPr="00935DB4">
        <w:rPr>
          <w:rFonts w:ascii="Times New Roman" w:eastAsia="Times New Roman" w:hAnsi="Times New Roman"/>
          <w:kern w:val="0"/>
          <w:lang w:eastAsia="en-GB"/>
          <w14:ligatures w14:val="none"/>
        </w:rPr>
        <w:t xml:space="preserve"> (Accessed: 2</w:t>
      </w:r>
      <w:r w:rsidR="005054A4">
        <w:rPr>
          <w:rFonts w:ascii="Times New Roman" w:eastAsia="Times New Roman" w:hAnsi="Times New Roman"/>
          <w:kern w:val="0"/>
          <w:lang w:eastAsia="en-GB"/>
          <w14:ligatures w14:val="none"/>
        </w:rPr>
        <w:t>3</w:t>
      </w:r>
      <w:r w:rsidRPr="00935DB4">
        <w:rPr>
          <w:rFonts w:ascii="Times New Roman" w:eastAsia="Times New Roman" w:hAnsi="Times New Roman"/>
          <w:kern w:val="0"/>
          <w:lang w:eastAsia="en-GB"/>
          <w14:ligatures w14:val="none"/>
        </w:rPr>
        <w:t xml:space="preserve"> March 2026).</w:t>
      </w:r>
    </w:p>
    <w:p w14:paraId="722C6FE9" w14:textId="77777777" w:rsidR="00935DB4" w:rsidRPr="00935DB4" w:rsidRDefault="00935DB4" w:rsidP="00935DB4"/>
    <w:p w14:paraId="74E6D964" w14:textId="5BD12155"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 xml:space="preserve">Anderson, N.R. and West, M.A. (1998) ‘Measuring climate for work group innovation: development and validation of the Team Climate Inventory’, Journal of Organizational Behavior, 19(3), pp. 235–258. Available at: </w:t>
      </w:r>
      <w:hyperlink r:id="rId11" w:history="1">
        <w:r w:rsidRPr="0068326C">
          <w:rPr>
            <w:rStyle w:val="Hyperlink"/>
            <w:rFonts w:asciiTheme="minorHAnsi" w:eastAsiaTheme="minorHAnsi" w:hAnsiTheme="minorHAnsi" w:cstheme="minorBidi"/>
            <w:lang w:val="en-US"/>
          </w:rPr>
          <w:t>https://research.lancaster-university.uk/en/publications/measuring-climate-for-work-group-innovation-development-and-valid/</w:t>
        </w:r>
      </w:hyperlink>
      <w:r w:rsidRPr="00CE2072">
        <w:rPr>
          <w:rFonts w:asciiTheme="minorHAnsi" w:eastAsiaTheme="minorHAnsi" w:hAnsiTheme="minorHAnsi" w:cstheme="minorBidi"/>
          <w:lang w:val="en-US"/>
        </w:rPr>
        <w:t xml:space="preserve"> (Accessed: </w:t>
      </w:r>
      <w:r w:rsidR="000C2768">
        <w:rPr>
          <w:rFonts w:asciiTheme="minorHAnsi" w:eastAsiaTheme="minorHAnsi" w:hAnsiTheme="minorHAnsi" w:cstheme="minorBidi"/>
          <w:lang w:val="en-US"/>
        </w:rPr>
        <w:t>22</w:t>
      </w:r>
      <w:r w:rsidRPr="00CE2072">
        <w:rPr>
          <w:rFonts w:asciiTheme="minorHAnsi" w:eastAsiaTheme="minorHAnsi" w:hAnsiTheme="minorHAnsi" w:cstheme="minorBidi"/>
          <w:lang w:val="en-US"/>
        </w:rPr>
        <w:t xml:space="preserve"> March 2026).</w:t>
      </w:r>
    </w:p>
    <w:p w14:paraId="05F4C3DE" w14:textId="2495CD68"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Bhidé, A. (</w:t>
      </w:r>
      <w:r w:rsidR="003044D2" w:rsidRPr="00CE2072">
        <w:rPr>
          <w:rFonts w:asciiTheme="minorHAnsi" w:eastAsiaTheme="minorHAnsi" w:hAnsiTheme="minorHAnsi" w:cstheme="minorBidi"/>
          <w:lang w:val="en-US"/>
        </w:rPr>
        <w:t xml:space="preserve">2009) </w:t>
      </w:r>
      <w:r w:rsidRPr="00CE2072">
        <w:rPr>
          <w:rFonts w:asciiTheme="minorHAnsi" w:eastAsiaTheme="minorHAnsi" w:hAnsiTheme="minorHAnsi" w:cstheme="minorBidi"/>
          <w:lang w:val="en-US"/>
        </w:rPr>
        <w:t xml:space="preserve">Where innovation creates value’, McKinsey Quarterly, February. Available at: </w:t>
      </w:r>
      <w:hyperlink r:id="rId12">
        <w:r w:rsidRPr="00CE2072">
          <w:rPr>
            <w:rFonts w:asciiTheme="minorHAnsi" w:eastAsiaTheme="minorHAnsi" w:hAnsiTheme="minorHAnsi" w:cstheme="minorBidi"/>
            <w:color w:val="467886" w:themeColor="hyperlink"/>
            <w:u w:val="single"/>
            <w:lang w:val="en-US"/>
          </w:rPr>
          <w:t>https://www.mckinsey.com/capabilities/strategy-and-corporate-finance/our-insights/where-innovation-creates-value</w:t>
        </w:r>
      </w:hyperlink>
      <w:r w:rsidRPr="00CE2072">
        <w:rPr>
          <w:rFonts w:asciiTheme="minorHAnsi" w:eastAsiaTheme="minorHAnsi" w:hAnsiTheme="minorHAnsi" w:cstheme="minorBidi"/>
          <w:lang w:val="en-US"/>
        </w:rPr>
        <w:t xml:space="preserve"> (Accessed: 1</w:t>
      </w:r>
      <w:r w:rsidR="000C2768">
        <w:rPr>
          <w:rFonts w:asciiTheme="minorHAnsi" w:eastAsiaTheme="minorHAnsi" w:hAnsiTheme="minorHAnsi" w:cstheme="minorBidi"/>
          <w:lang w:val="en-US"/>
        </w:rPr>
        <w:t>7</w:t>
      </w:r>
      <w:r w:rsidRPr="00CE2072">
        <w:rPr>
          <w:rFonts w:asciiTheme="minorHAnsi" w:eastAsiaTheme="minorHAnsi" w:hAnsiTheme="minorHAnsi" w:cstheme="minorBidi"/>
          <w:lang w:val="en-US"/>
        </w:rPr>
        <w:t xml:space="preserve"> March 2026).</w:t>
      </w:r>
    </w:p>
    <w:p w14:paraId="2477DE1D" w14:textId="7B47CB65" w:rsidR="00AD7288" w:rsidRPr="00AD7288" w:rsidRDefault="00AD7288" w:rsidP="00AD7288">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Canhoto, A.I. and Clear, F. (2020) ‘Artificial intelligence and machine learning as business tools: A framework for diagnosing value destruction potential’, Business Horizons, 63(2), pp. 183–193. Available at: </w:t>
      </w:r>
      <w:hyperlink r:id="rId13" w:history="1">
        <w:r w:rsidRPr="00AD7288">
          <w:rPr>
            <w:rFonts w:ascii="Times New Roman" w:eastAsia="Times New Roman" w:hAnsi="Times New Roman"/>
            <w:color w:val="0000FF"/>
            <w:kern w:val="0"/>
            <w:szCs w:val="22"/>
            <w:u w:val="single"/>
            <w:lang w:val="en-US"/>
            <w14:ligatures w14:val="none"/>
          </w:rPr>
          <w:t>https://doi.org/10.1016/j.bushor.2019.11.003</w:t>
        </w:r>
      </w:hyperlink>
      <w:r w:rsidRPr="00AD7288">
        <w:rPr>
          <w:rFonts w:ascii="Times New Roman" w:eastAsia="Times New Roman" w:hAnsi="Times New Roman"/>
          <w:kern w:val="0"/>
          <w:szCs w:val="22"/>
          <w:lang w:val="en-US"/>
          <w14:ligatures w14:val="none"/>
        </w:rPr>
        <w:t xml:space="preserve"> (Accessed: </w:t>
      </w:r>
      <w:r w:rsidR="000C2768">
        <w:rPr>
          <w:rFonts w:ascii="Times New Roman" w:eastAsia="Times New Roman" w:hAnsi="Times New Roman"/>
          <w:kern w:val="0"/>
          <w:szCs w:val="22"/>
          <w:lang w:val="en-US"/>
          <w14:ligatures w14:val="none"/>
        </w:rPr>
        <w:t>19</w:t>
      </w:r>
      <w:r w:rsidRPr="00AD7288">
        <w:rPr>
          <w:rFonts w:ascii="Times New Roman" w:eastAsia="Times New Roman" w:hAnsi="Times New Roman"/>
          <w:kern w:val="0"/>
          <w:szCs w:val="22"/>
          <w:lang w:val="en-US"/>
          <w14:ligatures w14:val="none"/>
        </w:rPr>
        <w:t xml:space="preserve"> March 2026).</w:t>
      </w:r>
    </w:p>
    <w:p w14:paraId="63B1FBA4" w14:textId="6B3C0A6D" w:rsidR="00AD7288" w:rsidRPr="00AD7288" w:rsidRDefault="00AD7288" w:rsidP="00AD7288">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Chacon, A. and Kaufmann, E. (2025) ‘An overview of the effects of algorithm use on judgmental biases affecting forecasting’, International Journal of Forecasting, 41(2), pp. 424–439. Available at: </w:t>
      </w:r>
      <w:hyperlink r:id="rId14" w:history="1">
        <w:r w:rsidRPr="00AD7288">
          <w:rPr>
            <w:rFonts w:ascii="Times New Roman" w:eastAsia="Times New Roman" w:hAnsi="Times New Roman"/>
            <w:color w:val="0000FF"/>
            <w:kern w:val="0"/>
            <w:szCs w:val="22"/>
            <w:u w:val="single"/>
            <w:lang w:val="en-US"/>
            <w14:ligatures w14:val="none"/>
          </w:rPr>
          <w:t>https://doi.org/10.1016/j.ijforecast.2024.09.007</w:t>
        </w:r>
      </w:hyperlink>
      <w:r w:rsidRPr="00AD7288">
        <w:rPr>
          <w:rFonts w:ascii="Times New Roman" w:eastAsia="Times New Roman" w:hAnsi="Times New Roman"/>
          <w:kern w:val="0"/>
          <w:szCs w:val="22"/>
          <w:lang w:val="en-US"/>
          <w14:ligatures w14:val="none"/>
        </w:rPr>
        <w:t xml:space="preserve"> (Accessed: </w:t>
      </w:r>
      <w:r w:rsidR="000C2768">
        <w:rPr>
          <w:rFonts w:ascii="Times New Roman" w:eastAsia="Times New Roman" w:hAnsi="Times New Roman"/>
          <w:kern w:val="0"/>
          <w:szCs w:val="22"/>
          <w:lang w:val="en-US"/>
          <w14:ligatures w14:val="none"/>
        </w:rPr>
        <w:t>1</w:t>
      </w:r>
      <w:r w:rsidR="00697147">
        <w:rPr>
          <w:rFonts w:ascii="Times New Roman" w:eastAsia="Times New Roman" w:hAnsi="Times New Roman"/>
          <w:kern w:val="0"/>
          <w:szCs w:val="22"/>
          <w:lang w:val="en-US"/>
          <w14:ligatures w14:val="none"/>
        </w:rPr>
        <w:t>8</w:t>
      </w:r>
      <w:r w:rsidRPr="00AD7288">
        <w:rPr>
          <w:rFonts w:ascii="Times New Roman" w:eastAsia="Times New Roman" w:hAnsi="Times New Roman"/>
          <w:kern w:val="0"/>
          <w:szCs w:val="22"/>
          <w:lang w:val="en-US"/>
          <w14:ligatures w14:val="none"/>
        </w:rPr>
        <w:t xml:space="preserve"> March 2026).</w:t>
      </w:r>
    </w:p>
    <w:p w14:paraId="7AC89281" w14:textId="77777777" w:rsidR="00AD7288" w:rsidRPr="00CE2072" w:rsidRDefault="00AD7288" w:rsidP="00AD7288">
      <w:pPr>
        <w:spacing w:line="278" w:lineRule="auto"/>
        <w:rPr>
          <w:rFonts w:asciiTheme="minorHAnsi" w:eastAsiaTheme="minorHAnsi" w:hAnsiTheme="minorHAnsi" w:cstheme="minorBidi"/>
          <w:lang w:val="en-US"/>
        </w:rPr>
      </w:pPr>
    </w:p>
    <w:p w14:paraId="1A0AD68B" w14:textId="3A1C9622"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 xml:space="preserve">Chen, G., Liu, C. and Tjosvold, D. (2005) ‘Conflict management for effective top management teams and innovation in China’, Journal of Management Studies, 42(2), pp. 277–300. Available at: </w:t>
      </w:r>
      <w:hyperlink r:id="rId15">
        <w:r w:rsidRPr="00CE2072">
          <w:rPr>
            <w:rFonts w:asciiTheme="minorHAnsi" w:eastAsiaTheme="minorHAnsi" w:hAnsiTheme="minorHAnsi" w:cstheme="minorBidi"/>
            <w:color w:val="467886" w:themeColor="hyperlink"/>
            <w:u w:val="single"/>
            <w:lang w:val="en-US"/>
          </w:rPr>
          <w:t>https://scholars.ln.edu.hk/en/publications/conflict-management-for-effective-top-management-teams-and-innova/</w:t>
        </w:r>
      </w:hyperlink>
      <w:r w:rsidRPr="00CE2072">
        <w:rPr>
          <w:rFonts w:asciiTheme="minorHAnsi" w:eastAsiaTheme="minorHAnsi" w:hAnsiTheme="minorHAnsi" w:cstheme="minorBidi"/>
          <w:lang w:val="en-US"/>
        </w:rPr>
        <w:t xml:space="preserve"> (Accessed: 1</w:t>
      </w:r>
      <w:r w:rsidR="000C2768">
        <w:rPr>
          <w:rFonts w:asciiTheme="minorHAnsi" w:eastAsiaTheme="minorHAnsi" w:hAnsiTheme="minorHAnsi" w:cstheme="minorBidi"/>
          <w:lang w:val="en-US"/>
        </w:rPr>
        <w:t>8</w:t>
      </w:r>
      <w:r w:rsidRPr="00CE2072">
        <w:rPr>
          <w:rFonts w:asciiTheme="minorHAnsi" w:eastAsiaTheme="minorHAnsi" w:hAnsiTheme="minorHAnsi" w:cstheme="minorBidi"/>
          <w:lang w:val="en-US"/>
        </w:rPr>
        <w:t xml:space="preserve"> March 2026).</w:t>
      </w:r>
    </w:p>
    <w:p w14:paraId="2CD5637F" w14:textId="77777777"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lastRenderedPageBreak/>
        <w:t>Chesbrough, H.W. (2003)</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Open Innovation: The New Imperative for Creating and Profiting from Technology. Boston, MA: Harvard Business School Press.</w:t>
      </w:r>
    </w:p>
    <w:p w14:paraId="1156C02D" w14:textId="1FCCD934"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 xml:space="preserve">Chesbrough, H.W., Vanhaverbeke, W. and West, J. (eds.) (2014) New Frontiers in Open Innovation. Oxford: Oxford University Press. Available at: </w:t>
      </w:r>
      <w:hyperlink r:id="rId16">
        <w:r w:rsidRPr="00CE2072">
          <w:rPr>
            <w:rFonts w:asciiTheme="minorHAnsi" w:eastAsiaTheme="minorHAnsi" w:hAnsiTheme="minorHAnsi" w:cstheme="minorBidi"/>
            <w:color w:val="467886" w:themeColor="hyperlink"/>
            <w:u w:val="single"/>
            <w:lang w:val="en-US"/>
          </w:rPr>
          <w:t>https://academic.oup.com/book/5676</w:t>
        </w:r>
      </w:hyperlink>
      <w:r w:rsidRPr="00CE2072">
        <w:rPr>
          <w:rFonts w:asciiTheme="minorHAnsi" w:eastAsiaTheme="minorHAnsi" w:hAnsiTheme="minorHAnsi" w:cstheme="minorBidi"/>
          <w:lang w:val="en-US"/>
        </w:rPr>
        <w:t xml:space="preserve"> (Accessed: </w:t>
      </w:r>
      <w:r w:rsidR="00697147">
        <w:rPr>
          <w:rFonts w:asciiTheme="minorHAnsi" w:eastAsiaTheme="minorHAnsi" w:hAnsiTheme="minorHAnsi" w:cstheme="minorBidi"/>
          <w:lang w:val="en-US"/>
        </w:rPr>
        <w:t>17</w:t>
      </w:r>
      <w:r w:rsidRPr="00CE2072">
        <w:rPr>
          <w:rFonts w:asciiTheme="minorHAnsi" w:eastAsiaTheme="minorHAnsi" w:hAnsiTheme="minorHAnsi" w:cstheme="minorBidi"/>
          <w:lang w:val="en-US"/>
        </w:rPr>
        <w:t xml:space="preserve"> March 2026).</w:t>
      </w:r>
    </w:p>
    <w:p w14:paraId="48174B4D" w14:textId="42030E2B"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 xml:space="preserve">Christensen, C.M., Cook, S. and Hall, T. (2006) What customers want from your products’, HBS Working Knowledge, 16 January. Available at: </w:t>
      </w:r>
      <w:hyperlink r:id="rId17">
        <w:r w:rsidRPr="00CE2072">
          <w:rPr>
            <w:rFonts w:asciiTheme="minorHAnsi" w:eastAsiaTheme="minorHAnsi" w:hAnsiTheme="minorHAnsi" w:cstheme="minorBidi"/>
            <w:color w:val="467886" w:themeColor="hyperlink"/>
            <w:u w:val="single"/>
            <w:lang w:val="en-US"/>
          </w:rPr>
          <w:t>https://www.library.hbs.edu/working-knowledge/what-customers-want-from-your-products</w:t>
        </w:r>
      </w:hyperlink>
      <w:r w:rsidRPr="00CE2072">
        <w:rPr>
          <w:rFonts w:asciiTheme="minorHAnsi" w:eastAsiaTheme="minorHAnsi" w:hAnsiTheme="minorHAnsi" w:cstheme="minorBidi"/>
          <w:lang w:val="en-US"/>
        </w:rPr>
        <w:t xml:space="preserve"> (Accessed: </w:t>
      </w:r>
      <w:r w:rsidR="000C2768">
        <w:rPr>
          <w:rFonts w:asciiTheme="minorHAnsi" w:eastAsiaTheme="minorHAnsi" w:hAnsiTheme="minorHAnsi" w:cstheme="minorBidi"/>
          <w:lang w:val="en-US"/>
        </w:rPr>
        <w:t>23</w:t>
      </w:r>
      <w:r w:rsidRPr="00CE2072">
        <w:rPr>
          <w:rFonts w:asciiTheme="minorHAnsi" w:eastAsiaTheme="minorHAnsi" w:hAnsiTheme="minorHAnsi" w:cstheme="minorBidi"/>
          <w:lang w:val="en-US"/>
        </w:rPr>
        <w:t xml:space="preserve"> March 2026).</w:t>
      </w:r>
    </w:p>
    <w:p w14:paraId="40B0915B" w14:textId="28AD6851" w:rsidR="00AD7288" w:rsidRDefault="00AD7288" w:rsidP="002310BF">
      <w:pPr>
        <w:spacing w:line="278" w:lineRule="auto"/>
        <w:jc w:val="both"/>
        <w:rPr>
          <w:rFonts w:asciiTheme="minorHAnsi" w:eastAsiaTheme="minorHAnsi" w:hAnsiTheme="minorHAnsi" w:cstheme="minorBidi"/>
          <w:lang w:val="en-US"/>
        </w:rPr>
      </w:pPr>
      <w:r w:rsidRPr="00CE2072">
        <w:rPr>
          <w:rFonts w:asciiTheme="minorHAnsi" w:eastAsiaTheme="minorHAnsi" w:hAnsiTheme="minorHAnsi" w:cstheme="minorBidi"/>
          <w:lang w:val="en-US"/>
        </w:rPr>
        <w:t xml:space="preserve">Christensen, C.M., Raynor, M.E. and McDonald, R. (2015) ‘What is disruptive innovation?’, Harvard Business Review, 93(12), pp. 44–53. Available at: </w:t>
      </w:r>
      <w:hyperlink r:id="rId18">
        <w:r w:rsidRPr="00CE2072">
          <w:rPr>
            <w:rFonts w:asciiTheme="minorHAnsi" w:eastAsiaTheme="minorHAnsi" w:hAnsiTheme="minorHAnsi" w:cstheme="minorBidi"/>
            <w:color w:val="467886" w:themeColor="hyperlink"/>
            <w:u w:val="single"/>
            <w:lang w:val="en-US"/>
          </w:rPr>
          <w:t>https://hbr.org/2015/12/what-is-disruptive-innovation</w:t>
        </w:r>
      </w:hyperlink>
      <w:r w:rsidRPr="00CE2072">
        <w:rPr>
          <w:rFonts w:asciiTheme="minorHAnsi" w:eastAsiaTheme="minorHAnsi" w:hAnsiTheme="minorHAnsi" w:cstheme="minorBidi"/>
          <w:lang w:val="en-US"/>
        </w:rPr>
        <w:t xml:space="preserve"> (Accessed: </w:t>
      </w:r>
      <w:r w:rsidR="000C2768">
        <w:rPr>
          <w:rFonts w:asciiTheme="minorHAnsi" w:eastAsiaTheme="minorHAnsi" w:hAnsiTheme="minorHAnsi" w:cstheme="minorBidi"/>
          <w:lang w:val="en-US"/>
        </w:rPr>
        <w:t>20</w:t>
      </w:r>
      <w:r w:rsidRPr="00CE2072">
        <w:rPr>
          <w:rFonts w:asciiTheme="minorHAnsi" w:eastAsiaTheme="minorHAnsi" w:hAnsiTheme="minorHAnsi" w:cstheme="minorBidi"/>
          <w:lang w:val="en-US"/>
        </w:rPr>
        <w:t xml:space="preserve"> March 2026).</w:t>
      </w:r>
    </w:p>
    <w:p w14:paraId="066E1687" w14:textId="0FD54FF9" w:rsidR="00AD7288" w:rsidRPr="00AD7288" w:rsidRDefault="00AD7288" w:rsidP="00AD7288">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Corvello, V. (2025)</w:t>
      </w:r>
      <w:r w:rsidR="000C2768">
        <w:rPr>
          <w:rFonts w:ascii="Times New Roman" w:eastAsia="Times New Roman" w:hAnsi="Times New Roman"/>
          <w:kern w:val="0"/>
          <w:szCs w:val="22"/>
          <w:lang w:val="en-US"/>
          <w14:ligatures w14:val="none"/>
        </w:rPr>
        <w:t>.</w:t>
      </w:r>
      <w:r w:rsidRPr="00AD7288">
        <w:rPr>
          <w:rFonts w:ascii="Times New Roman" w:eastAsia="Times New Roman" w:hAnsi="Times New Roman"/>
          <w:kern w:val="0"/>
          <w:szCs w:val="22"/>
          <w:lang w:val="en-US"/>
          <w14:ligatures w14:val="none"/>
        </w:rPr>
        <w:t xml:space="preserve"> Generative AI and the future of innovation management: A </w:t>
      </w:r>
      <w:r w:rsidR="000C2768">
        <w:rPr>
          <w:rFonts w:ascii="Times New Roman" w:eastAsia="Times New Roman" w:hAnsi="Times New Roman"/>
          <w:kern w:val="0"/>
          <w:szCs w:val="22"/>
          <w:lang w:val="en-US"/>
          <w14:ligatures w14:val="none"/>
        </w:rPr>
        <w:t>human-centered</w:t>
      </w:r>
      <w:r w:rsidRPr="00AD7288">
        <w:rPr>
          <w:rFonts w:ascii="Times New Roman" w:eastAsia="Times New Roman" w:hAnsi="Times New Roman"/>
          <w:kern w:val="0"/>
          <w:szCs w:val="22"/>
          <w:lang w:val="en-US"/>
          <w14:ligatures w14:val="none"/>
        </w:rPr>
        <w:t xml:space="preserve"> perspective and an agenda for future research, Journal of Open Innovation: Technology, Market, and Complexity, 11(1), art. 100456. Available at: </w:t>
      </w:r>
      <w:hyperlink r:id="rId19" w:history="1">
        <w:r w:rsidRPr="00AD7288">
          <w:rPr>
            <w:rFonts w:ascii="Times New Roman" w:eastAsia="Times New Roman" w:hAnsi="Times New Roman"/>
            <w:color w:val="0000FF"/>
            <w:kern w:val="0"/>
            <w:szCs w:val="22"/>
            <w:u w:val="single"/>
            <w:lang w:val="en-US"/>
            <w14:ligatures w14:val="none"/>
          </w:rPr>
          <w:t>https://doi.org/10.1016/j.joitmc.2024.100456</w:t>
        </w:r>
      </w:hyperlink>
      <w:r w:rsidRPr="00AD7288">
        <w:rPr>
          <w:rFonts w:ascii="Times New Roman" w:eastAsia="Times New Roman" w:hAnsi="Times New Roman"/>
          <w:kern w:val="0"/>
          <w:szCs w:val="22"/>
          <w:lang w:val="en-US"/>
          <w14:ligatures w14:val="none"/>
        </w:rPr>
        <w:t xml:space="preserve"> (Accessed: 2</w:t>
      </w:r>
      <w:r w:rsidR="000C2768">
        <w:rPr>
          <w:rFonts w:ascii="Times New Roman" w:eastAsia="Times New Roman" w:hAnsi="Times New Roman"/>
          <w:kern w:val="0"/>
          <w:szCs w:val="22"/>
          <w:lang w:val="en-US"/>
          <w14:ligatures w14:val="none"/>
        </w:rPr>
        <w:t>6</w:t>
      </w:r>
      <w:r w:rsidRPr="00AD7288">
        <w:rPr>
          <w:rFonts w:ascii="Times New Roman" w:eastAsia="Times New Roman" w:hAnsi="Times New Roman"/>
          <w:kern w:val="0"/>
          <w:szCs w:val="22"/>
          <w:lang w:val="en-US"/>
          <w14:ligatures w14:val="none"/>
        </w:rPr>
        <w:t xml:space="preserve"> March 2026).</w:t>
      </w:r>
    </w:p>
    <w:p w14:paraId="69293F4A" w14:textId="0C24F04E" w:rsidR="00935DB4" w:rsidRPr="00935DB4" w:rsidRDefault="00935DB4" w:rsidP="00935DB4">
      <w:r w:rsidRPr="00935DB4">
        <w:t xml:space="preserve">Damanpour, F. (1991) ‘Organizational innovation: a meta-analysis of effects of determinants and moderators’, </w:t>
      </w:r>
      <w:r w:rsidRPr="00935DB4">
        <w:rPr>
          <w:i/>
          <w:iCs/>
        </w:rPr>
        <w:t>Academy of Management Journal</w:t>
      </w:r>
      <w:r w:rsidRPr="00935DB4">
        <w:t xml:space="preserve">, 34(3), pp. 555–590. Available at: </w:t>
      </w:r>
      <w:hyperlink r:id="rId20" w:history="1">
        <w:r w:rsidRPr="00935DB4">
          <w:rPr>
            <w:color w:val="0000FF"/>
            <w:u w:val="single"/>
          </w:rPr>
          <w:t>https://journals.aom.org/doi/10.5465/256406</w:t>
        </w:r>
      </w:hyperlink>
      <w:r w:rsidRPr="00935DB4">
        <w:t xml:space="preserve"> (Accessed: 2</w:t>
      </w:r>
      <w:r w:rsidR="005054A4">
        <w:t>5</w:t>
      </w:r>
      <w:r w:rsidRPr="00935DB4">
        <w:t xml:space="preserve"> March 2026). </w:t>
      </w:r>
    </w:p>
    <w:p w14:paraId="0DDF8800" w14:textId="77777777" w:rsidR="00AD7288" w:rsidRPr="00CE2072" w:rsidRDefault="00AD7288" w:rsidP="00AD7288">
      <w:pPr>
        <w:spacing w:line="278" w:lineRule="auto"/>
        <w:rPr>
          <w:rFonts w:asciiTheme="minorHAnsi" w:eastAsiaTheme="minorHAnsi" w:hAnsiTheme="minorHAnsi" w:cstheme="minorBidi"/>
          <w:lang w:val="en-US"/>
        </w:rPr>
      </w:pPr>
    </w:p>
    <w:p w14:paraId="33D191AA" w14:textId="77777777"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De Bono, E. (1992)</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Serious Creativity: Using the Power of Lateral Thinking to Create New Ideas. London: HarperCollins.</w:t>
      </w:r>
    </w:p>
    <w:p w14:paraId="0EF65630" w14:textId="55892B09" w:rsidR="00AD7288" w:rsidRPr="00AD7288" w:rsidRDefault="00AD7288" w:rsidP="00AD7288">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Dietvorst, B.J., Simmons, J.P. and Massey, C. (2018) ‘Overcoming algorithm aversion: People will use imperfect algorithms if they can (even slightly) modify them’, Management Science, 64(3), pp. 1155–1170. Available at: </w:t>
      </w:r>
      <w:hyperlink r:id="rId21" w:history="1">
        <w:r w:rsidRPr="00AD7288">
          <w:rPr>
            <w:rFonts w:ascii="Times New Roman" w:eastAsia="Times New Roman" w:hAnsi="Times New Roman"/>
            <w:color w:val="0000FF"/>
            <w:kern w:val="0"/>
            <w:szCs w:val="22"/>
            <w:u w:val="single"/>
            <w:lang w:val="en-US"/>
            <w14:ligatures w14:val="none"/>
          </w:rPr>
          <w:t>https://doi.org/10.1287/mnsc.2016.2643</w:t>
        </w:r>
      </w:hyperlink>
      <w:r w:rsidRPr="00AD7288">
        <w:rPr>
          <w:rFonts w:ascii="Times New Roman" w:eastAsia="Times New Roman" w:hAnsi="Times New Roman"/>
          <w:kern w:val="0"/>
          <w:szCs w:val="22"/>
          <w:lang w:val="en-US"/>
          <w14:ligatures w14:val="none"/>
        </w:rPr>
        <w:t xml:space="preserve"> (Accessed: </w:t>
      </w:r>
      <w:r w:rsidR="000C2768">
        <w:rPr>
          <w:rFonts w:ascii="Times New Roman" w:eastAsia="Times New Roman" w:hAnsi="Times New Roman"/>
          <w:kern w:val="0"/>
          <w:szCs w:val="22"/>
          <w:lang w:val="en-US"/>
          <w14:ligatures w14:val="none"/>
        </w:rPr>
        <w:t>22</w:t>
      </w:r>
      <w:r w:rsidRPr="00AD7288">
        <w:rPr>
          <w:rFonts w:ascii="Times New Roman" w:eastAsia="Times New Roman" w:hAnsi="Times New Roman"/>
          <w:kern w:val="0"/>
          <w:szCs w:val="22"/>
          <w:lang w:val="en-US"/>
          <w14:ligatures w14:val="none"/>
        </w:rPr>
        <w:t xml:space="preserve"> March 2026).</w:t>
      </w:r>
    </w:p>
    <w:p w14:paraId="22196FE5" w14:textId="77777777" w:rsidR="00AD7288" w:rsidRPr="00CE2072" w:rsidRDefault="00AD7288" w:rsidP="00AD7288">
      <w:pPr>
        <w:spacing w:line="278" w:lineRule="auto"/>
        <w:rPr>
          <w:rFonts w:asciiTheme="minorHAnsi" w:eastAsiaTheme="minorHAnsi" w:hAnsiTheme="minorHAnsi" w:cstheme="minorBidi"/>
          <w:lang w:val="en-US"/>
        </w:rPr>
      </w:pPr>
    </w:p>
    <w:p w14:paraId="09CDEA6C" w14:textId="77777777"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Drucker, P.F. (1985)</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Innovation and Entrepreneurship. New York: Harper &amp; Row.</w:t>
      </w:r>
    </w:p>
    <w:p w14:paraId="3BA6E589" w14:textId="26BBF38C"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 xml:space="preserve">Edmondson, A.C. (2011) ‘Strategies for learning from failure’, Harvard Business Review, 89(4), pp. 48–55. Available at: </w:t>
      </w:r>
      <w:hyperlink r:id="rId22">
        <w:r w:rsidRPr="00CE2072">
          <w:rPr>
            <w:rFonts w:asciiTheme="minorHAnsi" w:eastAsiaTheme="minorHAnsi" w:hAnsiTheme="minorHAnsi" w:cstheme="minorBidi"/>
            <w:color w:val="467886" w:themeColor="hyperlink"/>
            <w:u w:val="single"/>
            <w:lang w:val="en-US"/>
          </w:rPr>
          <w:t>https://hbr.org/2011/04/strategies-for-learning-from-failure</w:t>
        </w:r>
      </w:hyperlink>
      <w:r w:rsidRPr="00CE2072">
        <w:rPr>
          <w:rFonts w:asciiTheme="minorHAnsi" w:eastAsiaTheme="minorHAnsi" w:hAnsiTheme="minorHAnsi" w:cstheme="minorBidi"/>
          <w:lang w:val="en-US"/>
        </w:rPr>
        <w:t xml:space="preserve"> (Accessed: 1</w:t>
      </w:r>
      <w:r w:rsidR="000C2768">
        <w:rPr>
          <w:rFonts w:asciiTheme="minorHAnsi" w:eastAsiaTheme="minorHAnsi" w:hAnsiTheme="minorHAnsi" w:cstheme="minorBidi"/>
          <w:lang w:val="en-US"/>
        </w:rPr>
        <w:t>8</w:t>
      </w:r>
      <w:r w:rsidRPr="00CE2072">
        <w:rPr>
          <w:rFonts w:asciiTheme="minorHAnsi" w:eastAsiaTheme="minorHAnsi" w:hAnsiTheme="minorHAnsi" w:cstheme="minorBidi"/>
          <w:lang w:val="en-US"/>
        </w:rPr>
        <w:t xml:space="preserve"> March 2026).</w:t>
      </w:r>
    </w:p>
    <w:p w14:paraId="271D6C99" w14:textId="1971161F" w:rsidR="008E03E6" w:rsidRPr="00AD7288" w:rsidRDefault="008E03E6" w:rsidP="008E03E6">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Farquhar, S., Kossen, J., Kuhn, L. and Gal, Y. (2024) ‘Detecting hallucinations in large language models using semantic entropy’, Nature, 630, pp. 625–630. Available at: </w:t>
      </w:r>
      <w:hyperlink r:id="rId23" w:history="1">
        <w:r w:rsidRPr="00AD7288">
          <w:rPr>
            <w:rFonts w:ascii="Times New Roman" w:eastAsia="Times New Roman" w:hAnsi="Times New Roman"/>
            <w:color w:val="0000FF"/>
            <w:kern w:val="0"/>
            <w:szCs w:val="22"/>
            <w:u w:val="single"/>
            <w:lang w:val="en-US"/>
            <w14:ligatures w14:val="none"/>
          </w:rPr>
          <w:t>https://doi.org/10.1038/s41586-024-07421-0</w:t>
        </w:r>
      </w:hyperlink>
      <w:r w:rsidRPr="00AD7288">
        <w:rPr>
          <w:rFonts w:ascii="Times New Roman" w:eastAsia="Times New Roman" w:hAnsi="Times New Roman"/>
          <w:kern w:val="0"/>
          <w:szCs w:val="22"/>
          <w:lang w:val="en-US"/>
          <w14:ligatures w14:val="none"/>
        </w:rPr>
        <w:t xml:space="preserve"> (Accessed: </w:t>
      </w:r>
      <w:r w:rsidR="000C2768">
        <w:rPr>
          <w:rFonts w:ascii="Times New Roman" w:eastAsia="Times New Roman" w:hAnsi="Times New Roman"/>
          <w:kern w:val="0"/>
          <w:szCs w:val="22"/>
          <w:lang w:val="en-US"/>
          <w14:ligatures w14:val="none"/>
        </w:rPr>
        <w:t>2</w:t>
      </w:r>
      <w:r w:rsidR="00697147">
        <w:rPr>
          <w:rFonts w:ascii="Times New Roman" w:eastAsia="Times New Roman" w:hAnsi="Times New Roman"/>
          <w:kern w:val="0"/>
          <w:szCs w:val="22"/>
          <w:lang w:val="en-US"/>
          <w14:ligatures w14:val="none"/>
        </w:rPr>
        <w:t>2</w:t>
      </w:r>
      <w:r w:rsidRPr="00AD7288">
        <w:rPr>
          <w:rFonts w:ascii="Times New Roman" w:eastAsia="Times New Roman" w:hAnsi="Times New Roman"/>
          <w:kern w:val="0"/>
          <w:szCs w:val="22"/>
          <w:lang w:val="en-US"/>
          <w14:ligatures w14:val="none"/>
        </w:rPr>
        <w:t xml:space="preserve"> March 2026).</w:t>
      </w:r>
    </w:p>
    <w:p w14:paraId="10A5AC97" w14:textId="77777777" w:rsidR="008E03E6" w:rsidRPr="00CE2072" w:rsidRDefault="008E03E6" w:rsidP="00AD7288">
      <w:pPr>
        <w:spacing w:line="278" w:lineRule="auto"/>
        <w:rPr>
          <w:rFonts w:asciiTheme="minorHAnsi" w:eastAsiaTheme="minorHAnsi" w:hAnsiTheme="minorHAnsi" w:cstheme="minorBidi"/>
          <w:lang w:val="en-US"/>
        </w:rPr>
      </w:pPr>
    </w:p>
    <w:p w14:paraId="0CC08A5F" w14:textId="4AAF6887"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lastRenderedPageBreak/>
        <w:t xml:space="preserve">Foss, N.J. and Saebi, T. (eds.) (2015) Business Model Innovation: The Organizational Dimension. Oxford: Oxford University Press. Available at: </w:t>
      </w:r>
      <w:hyperlink r:id="rId24">
        <w:r w:rsidRPr="00CE2072">
          <w:rPr>
            <w:rFonts w:asciiTheme="minorHAnsi" w:eastAsiaTheme="minorHAnsi" w:hAnsiTheme="minorHAnsi" w:cstheme="minorBidi"/>
            <w:color w:val="467886" w:themeColor="hyperlink"/>
            <w:u w:val="single"/>
            <w:lang w:val="en-US"/>
          </w:rPr>
          <w:t>https://academic.oup.com/book/11032</w:t>
        </w:r>
      </w:hyperlink>
      <w:r w:rsidRPr="00CE2072">
        <w:rPr>
          <w:rFonts w:asciiTheme="minorHAnsi" w:eastAsiaTheme="minorHAnsi" w:hAnsiTheme="minorHAnsi" w:cstheme="minorBidi"/>
          <w:lang w:val="en-US"/>
        </w:rPr>
        <w:t xml:space="preserve"> (Accessed: 1</w:t>
      </w:r>
      <w:r w:rsidR="00697147">
        <w:rPr>
          <w:rFonts w:asciiTheme="minorHAnsi" w:eastAsiaTheme="minorHAnsi" w:hAnsiTheme="minorHAnsi" w:cstheme="minorBidi"/>
          <w:lang w:val="en-US"/>
        </w:rPr>
        <w:t>9</w:t>
      </w:r>
      <w:r w:rsidRPr="00CE2072">
        <w:rPr>
          <w:rFonts w:asciiTheme="minorHAnsi" w:eastAsiaTheme="minorHAnsi" w:hAnsiTheme="minorHAnsi" w:cstheme="minorBidi"/>
          <w:lang w:val="en-US"/>
        </w:rPr>
        <w:t xml:space="preserve"> March 2026).</w:t>
      </w:r>
    </w:p>
    <w:p w14:paraId="33ED2859" w14:textId="6743232A" w:rsidR="008E03E6" w:rsidRPr="00AD7288" w:rsidRDefault="008E03E6" w:rsidP="008E03E6">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Göndöcs, D., Horváth, S. and Dörfler, V. (2025) ‘Uncovering the dynamics of human-AI hybrid performance: A qualitative meta-analysis of empirical studies’, International Journal of Human-Computer Studies, 205, art. 103622. Available at: </w:t>
      </w:r>
      <w:hyperlink r:id="rId25" w:history="1">
        <w:r w:rsidRPr="00AD7288">
          <w:rPr>
            <w:rFonts w:ascii="Times New Roman" w:eastAsia="Times New Roman" w:hAnsi="Times New Roman"/>
            <w:color w:val="0000FF"/>
            <w:kern w:val="0"/>
            <w:szCs w:val="22"/>
            <w:u w:val="single"/>
            <w:lang w:val="en-US"/>
            <w14:ligatures w14:val="none"/>
          </w:rPr>
          <w:t>https://doi.org/10.1016/j.ijhcs.2025.103622</w:t>
        </w:r>
      </w:hyperlink>
      <w:r w:rsidRPr="00AD7288">
        <w:rPr>
          <w:rFonts w:ascii="Times New Roman" w:eastAsia="Times New Roman" w:hAnsi="Times New Roman"/>
          <w:kern w:val="0"/>
          <w:szCs w:val="22"/>
          <w:lang w:val="en-US"/>
          <w14:ligatures w14:val="none"/>
        </w:rPr>
        <w:t xml:space="preserve"> (Accessed: 2</w:t>
      </w:r>
      <w:r w:rsidR="00697147">
        <w:rPr>
          <w:rFonts w:ascii="Times New Roman" w:eastAsia="Times New Roman" w:hAnsi="Times New Roman"/>
          <w:kern w:val="0"/>
          <w:szCs w:val="22"/>
          <w:lang w:val="en-US"/>
          <w14:ligatures w14:val="none"/>
        </w:rPr>
        <w:t>4</w:t>
      </w:r>
      <w:r w:rsidRPr="00AD7288">
        <w:rPr>
          <w:rFonts w:ascii="Times New Roman" w:eastAsia="Times New Roman" w:hAnsi="Times New Roman"/>
          <w:kern w:val="0"/>
          <w:szCs w:val="22"/>
          <w:lang w:val="en-US"/>
          <w14:ligatures w14:val="none"/>
        </w:rPr>
        <w:t xml:space="preserve"> March 2026).</w:t>
      </w:r>
    </w:p>
    <w:p w14:paraId="5B05ED73" w14:textId="77777777" w:rsidR="008E03E6" w:rsidRPr="00CE2072" w:rsidRDefault="008E03E6" w:rsidP="00AD7288">
      <w:pPr>
        <w:spacing w:line="278" w:lineRule="auto"/>
        <w:rPr>
          <w:rFonts w:asciiTheme="minorHAnsi" w:eastAsiaTheme="minorHAnsi" w:hAnsiTheme="minorHAnsi" w:cstheme="minorBidi"/>
          <w:lang w:val="en-US"/>
        </w:rPr>
      </w:pPr>
    </w:p>
    <w:p w14:paraId="51890A92" w14:textId="1AE51931"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 xml:space="preserve">Hamel, G. (1996) ‘Strategy as revolution’, Harvard Business Review, 74(4), pp. 69–82. Available at: </w:t>
      </w:r>
      <w:hyperlink r:id="rId26">
        <w:r w:rsidRPr="00CE2072">
          <w:rPr>
            <w:rFonts w:asciiTheme="minorHAnsi" w:eastAsiaTheme="minorHAnsi" w:hAnsiTheme="minorHAnsi" w:cstheme="minorBidi"/>
            <w:color w:val="467886" w:themeColor="hyperlink"/>
            <w:u w:val="single"/>
            <w:lang w:val="en-US"/>
          </w:rPr>
          <w:t>https://hbr.org/1996/07/strategy-as-revolution</w:t>
        </w:r>
      </w:hyperlink>
      <w:r w:rsidRPr="00CE2072">
        <w:rPr>
          <w:rFonts w:asciiTheme="minorHAnsi" w:eastAsiaTheme="minorHAnsi" w:hAnsiTheme="minorHAnsi" w:cstheme="minorBidi"/>
          <w:lang w:val="en-US"/>
        </w:rPr>
        <w:t xml:space="preserve"> (Accessed: 1</w:t>
      </w:r>
      <w:r w:rsidR="00697147">
        <w:rPr>
          <w:rFonts w:asciiTheme="minorHAnsi" w:eastAsiaTheme="minorHAnsi" w:hAnsiTheme="minorHAnsi" w:cstheme="minorBidi"/>
          <w:lang w:val="en-US"/>
        </w:rPr>
        <w:t>9</w:t>
      </w:r>
      <w:r w:rsidRPr="00CE2072">
        <w:rPr>
          <w:rFonts w:asciiTheme="minorHAnsi" w:eastAsiaTheme="minorHAnsi" w:hAnsiTheme="minorHAnsi" w:cstheme="minorBidi"/>
          <w:lang w:val="en-US"/>
        </w:rPr>
        <w:t xml:space="preserve"> March 2026).</w:t>
      </w:r>
    </w:p>
    <w:p w14:paraId="542F9977" w14:textId="307E1426" w:rsidR="008E03E6" w:rsidRPr="00AD7288" w:rsidRDefault="008E03E6" w:rsidP="008E03E6">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Heigl, R. (2026) ‘Generative artificial intelligence in creative contexts: A systematic review and future research agenda’, Management Review Quarterly, 76, pp. 955–992. Available at: </w:t>
      </w:r>
      <w:hyperlink r:id="rId27" w:history="1">
        <w:r w:rsidRPr="00AD7288">
          <w:rPr>
            <w:rFonts w:ascii="Times New Roman" w:eastAsia="Times New Roman" w:hAnsi="Times New Roman"/>
            <w:color w:val="0000FF"/>
            <w:kern w:val="0"/>
            <w:szCs w:val="22"/>
            <w:u w:val="single"/>
            <w:lang w:val="en-US"/>
            <w14:ligatures w14:val="none"/>
          </w:rPr>
          <w:t>https://doi.org/10.1007/s11301-025-00494-9</w:t>
        </w:r>
      </w:hyperlink>
      <w:r w:rsidRPr="00AD7288">
        <w:rPr>
          <w:rFonts w:ascii="Times New Roman" w:eastAsia="Times New Roman" w:hAnsi="Times New Roman"/>
          <w:kern w:val="0"/>
          <w:szCs w:val="22"/>
          <w:lang w:val="en-US"/>
          <w14:ligatures w14:val="none"/>
        </w:rPr>
        <w:t xml:space="preserve"> (Accessed: </w:t>
      </w:r>
      <w:r w:rsidR="000C2768">
        <w:rPr>
          <w:rFonts w:ascii="Times New Roman" w:eastAsia="Times New Roman" w:hAnsi="Times New Roman"/>
          <w:kern w:val="0"/>
          <w:szCs w:val="22"/>
          <w:lang w:val="en-US"/>
          <w14:ligatures w14:val="none"/>
        </w:rPr>
        <w:t>19</w:t>
      </w:r>
      <w:r w:rsidRPr="00AD7288">
        <w:rPr>
          <w:rFonts w:ascii="Times New Roman" w:eastAsia="Times New Roman" w:hAnsi="Times New Roman"/>
          <w:kern w:val="0"/>
          <w:szCs w:val="22"/>
          <w:lang w:val="en-US"/>
          <w14:ligatures w14:val="none"/>
        </w:rPr>
        <w:t xml:space="preserve"> March 2026).</w:t>
      </w:r>
    </w:p>
    <w:p w14:paraId="44591130" w14:textId="177B62FE" w:rsidR="008E03E6" w:rsidRPr="00AD7288" w:rsidRDefault="008E03E6" w:rsidP="008E03E6">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Hofmann, V., Kalluri, P.R., Jurafsky, D. and King, S. (2024) ‘AI generates covertly racist decisions about people based on their dialect’, Nature, 633, pp. 147–154. Available at: </w:t>
      </w:r>
      <w:hyperlink r:id="rId28" w:history="1">
        <w:r w:rsidRPr="00AD7288">
          <w:rPr>
            <w:rFonts w:ascii="Times New Roman" w:eastAsia="Times New Roman" w:hAnsi="Times New Roman"/>
            <w:color w:val="0000FF"/>
            <w:kern w:val="0"/>
            <w:szCs w:val="22"/>
            <w:u w:val="single"/>
            <w:lang w:val="en-US"/>
            <w14:ligatures w14:val="none"/>
          </w:rPr>
          <w:t>https://doi.org/10.1038/s41586-024-07856-5</w:t>
        </w:r>
      </w:hyperlink>
      <w:r w:rsidRPr="00AD7288">
        <w:rPr>
          <w:rFonts w:ascii="Times New Roman" w:eastAsia="Times New Roman" w:hAnsi="Times New Roman"/>
          <w:kern w:val="0"/>
          <w:szCs w:val="22"/>
          <w:lang w:val="en-US"/>
          <w14:ligatures w14:val="none"/>
        </w:rPr>
        <w:t xml:space="preserve"> (Accessed: </w:t>
      </w:r>
      <w:r w:rsidR="000C2768">
        <w:rPr>
          <w:rFonts w:ascii="Times New Roman" w:eastAsia="Times New Roman" w:hAnsi="Times New Roman"/>
          <w:kern w:val="0"/>
          <w:szCs w:val="22"/>
          <w:lang w:val="en-US"/>
          <w14:ligatures w14:val="none"/>
        </w:rPr>
        <w:t>19</w:t>
      </w:r>
      <w:r w:rsidRPr="00AD7288">
        <w:rPr>
          <w:rFonts w:ascii="Times New Roman" w:eastAsia="Times New Roman" w:hAnsi="Times New Roman"/>
          <w:kern w:val="0"/>
          <w:szCs w:val="22"/>
          <w:lang w:val="en-US"/>
          <w14:ligatures w14:val="none"/>
        </w:rPr>
        <w:t xml:space="preserve"> March 2026).</w:t>
      </w:r>
    </w:p>
    <w:p w14:paraId="76CB593D" w14:textId="77777777" w:rsidR="008E03E6" w:rsidRPr="00CE2072" w:rsidRDefault="008E03E6" w:rsidP="00AD7288">
      <w:pPr>
        <w:spacing w:line="278" w:lineRule="auto"/>
        <w:rPr>
          <w:rFonts w:asciiTheme="minorHAnsi" w:eastAsiaTheme="minorHAnsi" w:hAnsiTheme="minorHAnsi" w:cstheme="minorBidi"/>
          <w:lang w:val="en-US"/>
        </w:rPr>
      </w:pPr>
    </w:p>
    <w:p w14:paraId="11675563" w14:textId="77777777"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Kanter, R.M. (1983)</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The Change Masters: Innovation for Productivity in the American Corporation. New York: Simon &amp; Schuster.</w:t>
      </w:r>
    </w:p>
    <w:p w14:paraId="44438258" w14:textId="77777777"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Kim, W.C. and Mauborgne, R. (2005) Blue Ocean Strategy: How to Create Uncontested Market Space and Make the Competition Irrelevant. Boston, MA: Harvard Business School Press.</w:t>
      </w:r>
    </w:p>
    <w:p w14:paraId="1AF0AB77" w14:textId="17EF3BD9" w:rsidR="008E03E6" w:rsidRPr="00AD7288" w:rsidRDefault="008E03E6" w:rsidP="008E03E6">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Knöchel, T.-D., Schweizer, K.J., Acar, O.A. et al. (2025) ‘Core principles of responsible generative AI usage in research’, AI and Ethics, 5, pp. 6371–6377. Available at: </w:t>
      </w:r>
      <w:hyperlink r:id="rId29" w:history="1">
        <w:r w:rsidRPr="00AD7288">
          <w:rPr>
            <w:rFonts w:ascii="Times New Roman" w:eastAsia="Times New Roman" w:hAnsi="Times New Roman"/>
            <w:color w:val="0000FF"/>
            <w:kern w:val="0"/>
            <w:szCs w:val="22"/>
            <w:u w:val="single"/>
            <w:lang w:val="en-US"/>
            <w14:ligatures w14:val="none"/>
          </w:rPr>
          <w:t>https://doi.org/10.1007/s43681-025-00768-8</w:t>
        </w:r>
      </w:hyperlink>
      <w:r w:rsidRPr="00AD7288">
        <w:rPr>
          <w:rFonts w:ascii="Times New Roman" w:eastAsia="Times New Roman" w:hAnsi="Times New Roman"/>
          <w:kern w:val="0"/>
          <w:szCs w:val="22"/>
          <w:lang w:val="en-US"/>
          <w14:ligatures w14:val="none"/>
        </w:rPr>
        <w:t xml:space="preserve"> (Accessed: 2</w:t>
      </w:r>
      <w:r w:rsidR="000C2768">
        <w:rPr>
          <w:rFonts w:ascii="Times New Roman" w:eastAsia="Times New Roman" w:hAnsi="Times New Roman"/>
          <w:kern w:val="0"/>
          <w:szCs w:val="22"/>
          <w:lang w:val="en-US"/>
          <w14:ligatures w14:val="none"/>
        </w:rPr>
        <w:t>1</w:t>
      </w:r>
      <w:r w:rsidRPr="00AD7288">
        <w:rPr>
          <w:rFonts w:ascii="Times New Roman" w:eastAsia="Times New Roman" w:hAnsi="Times New Roman"/>
          <w:kern w:val="0"/>
          <w:szCs w:val="22"/>
          <w:lang w:val="en-US"/>
          <w14:ligatures w14:val="none"/>
        </w:rPr>
        <w:t xml:space="preserve"> March 2026).</w:t>
      </w:r>
    </w:p>
    <w:p w14:paraId="3DC0C4C1" w14:textId="77777777" w:rsidR="008E03E6" w:rsidRPr="00CE2072" w:rsidRDefault="008E03E6" w:rsidP="00AD7288">
      <w:pPr>
        <w:spacing w:line="278" w:lineRule="auto"/>
        <w:rPr>
          <w:rFonts w:asciiTheme="minorHAnsi" w:eastAsiaTheme="minorHAnsi" w:hAnsiTheme="minorHAnsi" w:cstheme="minorBidi"/>
          <w:lang w:val="en-US"/>
        </w:rPr>
      </w:pPr>
    </w:p>
    <w:p w14:paraId="6CEC3977" w14:textId="77777777"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Kotler, P. and Keller, K.L. (2016) Marketing Management. 15th edn. Harlow: Pearson.</w:t>
      </w:r>
    </w:p>
    <w:p w14:paraId="3D657FB8" w14:textId="77777777"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Lewin, K. (1947) ‘Frontiers in group dynamics’, Human Relations, 1(1), pp. 5–41.</w:t>
      </w:r>
    </w:p>
    <w:p w14:paraId="5C05D3F8" w14:textId="306DD6B1" w:rsidR="008E03E6" w:rsidRPr="00AD7288" w:rsidRDefault="008E03E6" w:rsidP="008E03E6">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Lorenz, F., Lorenzen, S., Franco, M., Velz, J. and Clauß, T. (2026) ‘Generative artificial intelligence in management research: A practical guide on mistakes to avoid’, Management Review Quarterly, 76, pp. 157–177. Available at: </w:t>
      </w:r>
      <w:hyperlink r:id="rId30" w:history="1">
        <w:r w:rsidRPr="00AD7288">
          <w:rPr>
            <w:rFonts w:ascii="Times New Roman" w:eastAsia="Times New Roman" w:hAnsi="Times New Roman"/>
            <w:color w:val="0000FF"/>
            <w:kern w:val="0"/>
            <w:szCs w:val="22"/>
            <w:u w:val="single"/>
            <w:lang w:val="en-US"/>
            <w14:ligatures w14:val="none"/>
          </w:rPr>
          <w:t>https://doi.org/10.1007/s11301-024-00469-2</w:t>
        </w:r>
      </w:hyperlink>
      <w:r w:rsidRPr="00AD7288">
        <w:rPr>
          <w:rFonts w:ascii="Times New Roman" w:eastAsia="Times New Roman" w:hAnsi="Times New Roman"/>
          <w:kern w:val="0"/>
          <w:szCs w:val="22"/>
          <w:lang w:val="en-US"/>
          <w14:ligatures w14:val="none"/>
        </w:rPr>
        <w:t xml:space="preserve"> (Accessed: 2</w:t>
      </w:r>
      <w:r w:rsidR="000C2768">
        <w:rPr>
          <w:rFonts w:ascii="Times New Roman" w:eastAsia="Times New Roman" w:hAnsi="Times New Roman"/>
          <w:kern w:val="0"/>
          <w:szCs w:val="22"/>
          <w:lang w:val="en-US"/>
          <w14:ligatures w14:val="none"/>
        </w:rPr>
        <w:t>0</w:t>
      </w:r>
      <w:r w:rsidRPr="00AD7288">
        <w:rPr>
          <w:rFonts w:ascii="Times New Roman" w:eastAsia="Times New Roman" w:hAnsi="Times New Roman"/>
          <w:kern w:val="0"/>
          <w:szCs w:val="22"/>
          <w:lang w:val="en-US"/>
          <w14:ligatures w14:val="none"/>
        </w:rPr>
        <w:t xml:space="preserve"> March 2026).</w:t>
      </w:r>
    </w:p>
    <w:p w14:paraId="5221AEB7" w14:textId="77777777" w:rsidR="008E03E6" w:rsidRPr="00CE2072" w:rsidRDefault="008E03E6" w:rsidP="00AD7288">
      <w:pPr>
        <w:spacing w:line="278" w:lineRule="auto"/>
        <w:rPr>
          <w:rFonts w:asciiTheme="minorHAnsi" w:eastAsiaTheme="minorHAnsi" w:hAnsiTheme="minorHAnsi" w:cstheme="minorBidi"/>
          <w:lang w:val="en-US"/>
        </w:rPr>
      </w:pPr>
    </w:p>
    <w:p w14:paraId="5D438FBC" w14:textId="598CA45C" w:rsidR="00935DB4" w:rsidRDefault="00AD7288" w:rsidP="00935DB4">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lastRenderedPageBreak/>
        <w:t>Manners-Bell, J. and Lyon, K. (2022)</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Logistics and Supply Chain Innovation: A Practical Guide to Disruptive Technologies and New Business Models. 2nd edn. London: Kogan Page. Available at: </w:t>
      </w:r>
      <w:hyperlink r:id="rId31">
        <w:r w:rsidRPr="00CE2072">
          <w:rPr>
            <w:rFonts w:asciiTheme="minorHAnsi" w:eastAsiaTheme="minorHAnsi" w:hAnsiTheme="minorHAnsi" w:cstheme="minorBidi"/>
            <w:color w:val="467886" w:themeColor="hyperlink"/>
            <w:u w:val="single"/>
            <w:lang w:val="en-US"/>
          </w:rPr>
          <w:t>https://www.koganpage.com/logistics-supplychain-operations/logistics-and-supply-chain-innovation-9781398607484</w:t>
        </w:r>
      </w:hyperlink>
      <w:r w:rsidRPr="00CE2072">
        <w:rPr>
          <w:rFonts w:asciiTheme="minorHAnsi" w:eastAsiaTheme="minorHAnsi" w:hAnsiTheme="minorHAnsi" w:cstheme="minorBidi"/>
          <w:lang w:val="en-US"/>
        </w:rPr>
        <w:t xml:space="preserve"> (Accessed: </w:t>
      </w:r>
      <w:r w:rsidR="00697147">
        <w:rPr>
          <w:rFonts w:asciiTheme="minorHAnsi" w:eastAsiaTheme="minorHAnsi" w:hAnsiTheme="minorHAnsi" w:cstheme="minorBidi"/>
          <w:lang w:val="en-US"/>
        </w:rPr>
        <w:t>21</w:t>
      </w:r>
      <w:r w:rsidRPr="00CE2072">
        <w:rPr>
          <w:rFonts w:asciiTheme="minorHAnsi" w:eastAsiaTheme="minorHAnsi" w:hAnsiTheme="minorHAnsi" w:cstheme="minorBidi"/>
          <w:lang w:val="en-US"/>
        </w:rPr>
        <w:t xml:space="preserve"> March 2026).</w:t>
      </w:r>
    </w:p>
    <w:p w14:paraId="3D79C212" w14:textId="325E17F6" w:rsidR="00935DB4" w:rsidRPr="00935DB4" w:rsidRDefault="00935DB4" w:rsidP="00935DB4">
      <w:r w:rsidRPr="00935DB4">
        <w:t xml:space="preserve">March, J.G. (1991) ‘Exploration and exploitation in organizational learning’, </w:t>
      </w:r>
      <w:r w:rsidRPr="00935DB4">
        <w:rPr>
          <w:i/>
          <w:iCs/>
        </w:rPr>
        <w:t>Organization Science</w:t>
      </w:r>
      <w:r w:rsidRPr="00935DB4">
        <w:t xml:space="preserve">, 2(1), pp. 71–87. Available at: </w:t>
      </w:r>
      <w:hyperlink r:id="rId32" w:history="1">
        <w:r w:rsidRPr="00935DB4">
          <w:rPr>
            <w:color w:val="0000FF"/>
            <w:u w:val="single"/>
          </w:rPr>
          <w:t>https://pubsonline.informs.org/doi/10.1287/orsc.2.1.71</w:t>
        </w:r>
      </w:hyperlink>
      <w:r w:rsidRPr="00935DB4">
        <w:t xml:space="preserve"> (Accessed: 2</w:t>
      </w:r>
      <w:r w:rsidR="005054A4">
        <w:t>5</w:t>
      </w:r>
      <w:r w:rsidRPr="00935DB4">
        <w:t xml:space="preserve"> March 2026). </w:t>
      </w:r>
    </w:p>
    <w:p w14:paraId="5F0D9C42" w14:textId="77777777" w:rsidR="00935DB4" w:rsidRDefault="00935DB4" w:rsidP="00935DB4">
      <w:pPr>
        <w:spacing w:line="278" w:lineRule="auto"/>
        <w:rPr>
          <w:rFonts w:asciiTheme="minorHAnsi" w:eastAsiaTheme="minorHAnsi" w:hAnsiTheme="minorHAnsi" w:cstheme="minorBidi"/>
          <w:lang w:val="en-US"/>
        </w:rPr>
      </w:pPr>
    </w:p>
    <w:p w14:paraId="5581DE58" w14:textId="5D9CA3C4" w:rsidR="008E03E6" w:rsidRDefault="008E03E6" w:rsidP="00935DB4">
      <w:pPr>
        <w:spacing w:line="278" w:lineRule="auto"/>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 xml:space="preserve">Mariani, M. and Dwivedi, Y.K. (2024) Generative artificial intelligence in innovation management: A preview of future research developments, Journal of Business Research, 175, art. 114542. Available at: </w:t>
      </w:r>
      <w:hyperlink r:id="rId33" w:history="1">
        <w:r w:rsidRPr="00AD7288">
          <w:rPr>
            <w:rFonts w:ascii="Times New Roman" w:eastAsia="Times New Roman" w:hAnsi="Times New Roman"/>
            <w:color w:val="0000FF"/>
            <w:kern w:val="0"/>
            <w:szCs w:val="22"/>
            <w:u w:val="single"/>
            <w:lang w:val="en-US"/>
            <w14:ligatures w14:val="none"/>
          </w:rPr>
          <w:t>https://doi.org/10.1016/j.jbusres.2024.114542</w:t>
        </w:r>
      </w:hyperlink>
      <w:r w:rsidRPr="00AD7288">
        <w:rPr>
          <w:rFonts w:ascii="Times New Roman" w:eastAsia="Times New Roman" w:hAnsi="Times New Roman"/>
          <w:kern w:val="0"/>
          <w:szCs w:val="22"/>
          <w:lang w:val="en-US"/>
          <w14:ligatures w14:val="none"/>
        </w:rPr>
        <w:t xml:space="preserve"> (Accessed: </w:t>
      </w:r>
      <w:r w:rsidR="000C2768">
        <w:rPr>
          <w:rFonts w:ascii="Times New Roman" w:eastAsia="Times New Roman" w:hAnsi="Times New Roman"/>
          <w:kern w:val="0"/>
          <w:szCs w:val="22"/>
          <w:lang w:val="en-US"/>
          <w14:ligatures w14:val="none"/>
        </w:rPr>
        <w:t>1</w:t>
      </w:r>
      <w:r w:rsidRPr="00AD7288">
        <w:rPr>
          <w:rFonts w:ascii="Times New Roman" w:eastAsia="Times New Roman" w:hAnsi="Times New Roman"/>
          <w:kern w:val="0"/>
          <w:szCs w:val="22"/>
          <w:lang w:val="en-US"/>
          <w14:ligatures w14:val="none"/>
        </w:rPr>
        <w:t>7 March 2026).</w:t>
      </w:r>
    </w:p>
    <w:p w14:paraId="7D5A6426" w14:textId="09294CEE" w:rsidR="00935DB4" w:rsidRPr="00935DB4" w:rsidRDefault="00935DB4" w:rsidP="00935DB4">
      <w:r w:rsidRPr="00935DB4">
        <w:t xml:space="preserve">Oldham, G.R. and Cummings, A. (1996) ‘Employee creativity: personal and contextual factors at work’, </w:t>
      </w:r>
      <w:r w:rsidRPr="00935DB4">
        <w:rPr>
          <w:i/>
          <w:iCs/>
        </w:rPr>
        <w:t>Academy of Management Journal</w:t>
      </w:r>
      <w:r w:rsidRPr="00935DB4">
        <w:t xml:space="preserve">, 39(3), pp. 607–634. Available at: </w:t>
      </w:r>
      <w:hyperlink r:id="rId34" w:history="1">
        <w:r w:rsidRPr="00935DB4">
          <w:rPr>
            <w:color w:val="0000FF"/>
            <w:u w:val="single"/>
          </w:rPr>
          <w:t>https://journals.aom.org/doi/10.5465/256657</w:t>
        </w:r>
      </w:hyperlink>
      <w:r w:rsidRPr="00935DB4">
        <w:t xml:space="preserve"> (Accessed: 2</w:t>
      </w:r>
      <w:r w:rsidR="005054A4">
        <w:t>3</w:t>
      </w:r>
      <w:r w:rsidRPr="00935DB4">
        <w:t xml:space="preserve"> March 2026). </w:t>
      </w:r>
    </w:p>
    <w:p w14:paraId="0FC10D21" w14:textId="0AA31629" w:rsidR="00935DB4" w:rsidRPr="00935DB4" w:rsidRDefault="00935DB4" w:rsidP="00935DB4">
      <w:r w:rsidRPr="00935DB4">
        <w:t xml:space="preserve">O’Reilly III, C.A. and Tushman, M.L. (2004) ‘The ambidextrous organization’, </w:t>
      </w:r>
      <w:r w:rsidRPr="00935DB4">
        <w:rPr>
          <w:i/>
          <w:iCs/>
        </w:rPr>
        <w:t>Harvard Business Review</w:t>
      </w:r>
      <w:r w:rsidRPr="00935DB4">
        <w:t xml:space="preserve">, 82(4), pp. 74–81. Available at: </w:t>
      </w:r>
      <w:hyperlink r:id="rId35" w:history="1">
        <w:r w:rsidRPr="00935DB4">
          <w:rPr>
            <w:color w:val="0000FF"/>
            <w:u w:val="single"/>
          </w:rPr>
          <w:t>https://hbr.org/2004/04/the-ambidextrous-organization</w:t>
        </w:r>
      </w:hyperlink>
      <w:r w:rsidRPr="00935DB4">
        <w:t xml:space="preserve"> (Accessed: 2</w:t>
      </w:r>
      <w:r w:rsidR="00697147">
        <w:t>4</w:t>
      </w:r>
      <w:r w:rsidRPr="00935DB4">
        <w:t xml:space="preserve"> March 2026). </w:t>
      </w:r>
    </w:p>
    <w:p w14:paraId="7B6D5D88" w14:textId="77777777" w:rsidR="00935DB4" w:rsidRPr="00935DB4" w:rsidRDefault="00935DB4" w:rsidP="00935DB4">
      <w:pPr>
        <w:spacing w:line="278" w:lineRule="auto"/>
        <w:rPr>
          <w:rFonts w:asciiTheme="minorHAnsi" w:eastAsiaTheme="minorHAnsi" w:hAnsiTheme="minorHAnsi" w:cstheme="minorBidi"/>
          <w:lang w:val="en-US"/>
        </w:rPr>
      </w:pPr>
    </w:p>
    <w:p w14:paraId="77E615EC" w14:textId="77777777"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Osterwalder, A. and Pigneur, Y. (2010) Business Model Generation: A Handbook for Visionaries, Game Changers, and Challengers. Hoboken, NJ: Wiley.</w:t>
      </w:r>
    </w:p>
    <w:p w14:paraId="50E40767" w14:textId="77777777"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Schumpeter, J.A. (1934)</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The Theory of Economic Development: An Inquiry into Profits, Capital, Credit, Interest, and Business Cycle. Cambridge, MA: Harvard University Press.</w:t>
      </w:r>
    </w:p>
    <w:p w14:paraId="7DFA2299" w14:textId="58D3BC12" w:rsidR="00935DB4" w:rsidRDefault="00935DB4" w:rsidP="00935DB4">
      <w:r w:rsidRPr="00935DB4">
        <w:t xml:space="preserve">Scott, S.G. and Bruce, R.A. (1994) ‘Determinants of innovative behavior: a path model of individual innovation in the workplace’, </w:t>
      </w:r>
      <w:r w:rsidRPr="00935DB4">
        <w:rPr>
          <w:i/>
          <w:iCs/>
        </w:rPr>
        <w:t>Academy of Management Journal</w:t>
      </w:r>
      <w:r w:rsidRPr="00935DB4">
        <w:t xml:space="preserve">, 37(3), pp. 580–607. Available at: </w:t>
      </w:r>
      <w:hyperlink r:id="rId36" w:history="1">
        <w:r w:rsidRPr="00935DB4">
          <w:rPr>
            <w:color w:val="0000FF"/>
            <w:u w:val="single"/>
          </w:rPr>
          <w:t>https://journals.aom.org/doi/10.5465/256701</w:t>
        </w:r>
      </w:hyperlink>
      <w:r w:rsidRPr="00935DB4">
        <w:t xml:space="preserve"> (Accessed: 2</w:t>
      </w:r>
      <w:r w:rsidR="005054A4">
        <w:t>0</w:t>
      </w:r>
      <w:r w:rsidRPr="00935DB4">
        <w:t xml:space="preserve"> March 2026). </w:t>
      </w:r>
    </w:p>
    <w:p w14:paraId="78252E3A" w14:textId="13A206C2" w:rsidR="00935DB4" w:rsidRPr="00935DB4" w:rsidRDefault="00935DB4" w:rsidP="00935DB4">
      <w:r w:rsidRPr="00935DB4">
        <w:t xml:space="preserve">Teece, D.J. (2007) ‘Explicating dynamic capabilities: the nature and microfoundations of (sustainable) enterprise performance’, </w:t>
      </w:r>
      <w:r w:rsidRPr="00935DB4">
        <w:rPr>
          <w:i/>
          <w:iCs/>
        </w:rPr>
        <w:t>Strategic Management Journal</w:t>
      </w:r>
      <w:r w:rsidRPr="00935DB4">
        <w:t xml:space="preserve">, 28(13), pp. 1319–1350. Available at: </w:t>
      </w:r>
      <w:hyperlink r:id="rId37" w:history="1">
        <w:r w:rsidRPr="00935DB4">
          <w:rPr>
            <w:color w:val="0000FF"/>
            <w:u w:val="single"/>
          </w:rPr>
          <w:t>https://sms.onlinelibrary.wiley.com/doi/10.1002/smj.640</w:t>
        </w:r>
      </w:hyperlink>
      <w:r w:rsidRPr="00935DB4">
        <w:t xml:space="preserve"> (Accessed: 2</w:t>
      </w:r>
      <w:r w:rsidR="005054A4">
        <w:t>1</w:t>
      </w:r>
      <w:r w:rsidRPr="00935DB4">
        <w:t xml:space="preserve"> March 2026). </w:t>
      </w:r>
    </w:p>
    <w:p w14:paraId="456B52C3" w14:textId="2E9FB08E" w:rsidR="00935DB4" w:rsidRPr="00935DB4" w:rsidRDefault="00935DB4" w:rsidP="00935DB4">
      <w:r w:rsidRPr="00935DB4">
        <w:t xml:space="preserve">Teece, D.J., Pisano, G. and Shuen, A. (1997) ‘Dynamic capabilities and strategic management’, </w:t>
      </w:r>
      <w:r w:rsidRPr="00935DB4">
        <w:rPr>
          <w:i/>
          <w:iCs/>
        </w:rPr>
        <w:t>Strategic Management Journal</w:t>
      </w:r>
      <w:r w:rsidRPr="00935DB4">
        <w:t xml:space="preserve">, 18(7), pp. 509–533. Available at: </w:t>
      </w:r>
      <w:hyperlink r:id="rId38" w:history="1">
        <w:r w:rsidRPr="00935DB4">
          <w:rPr>
            <w:color w:val="0000FF"/>
            <w:u w:val="single"/>
          </w:rPr>
          <w:t>https://sms.onlinelibrary.wiley.com/doi/10.1002/%28SICI%291097-</w:t>
        </w:r>
        <w:r w:rsidRPr="00935DB4">
          <w:rPr>
            <w:color w:val="0000FF"/>
            <w:u w:val="single"/>
          </w:rPr>
          <w:lastRenderedPageBreak/>
          <w:t>0266%28199708%2918%3A7%3C509%3A%3AAID-SMJ882%3E3.0.CO%3B2-Z</w:t>
        </w:r>
      </w:hyperlink>
      <w:r w:rsidRPr="00935DB4">
        <w:t xml:space="preserve"> (Accessed: 2</w:t>
      </w:r>
      <w:r w:rsidR="005054A4">
        <w:t>6</w:t>
      </w:r>
      <w:r w:rsidRPr="00935DB4">
        <w:t xml:space="preserve"> March 2026). </w:t>
      </w:r>
    </w:p>
    <w:p w14:paraId="3FCAB16C" w14:textId="77777777" w:rsidR="00935DB4" w:rsidRDefault="00935DB4" w:rsidP="00935DB4"/>
    <w:p w14:paraId="29091155" w14:textId="2740DA0E" w:rsidR="00AD7288" w:rsidRPr="00935DB4" w:rsidRDefault="00AD7288" w:rsidP="00935DB4">
      <w:r w:rsidRPr="00CE2072">
        <w:rPr>
          <w:rFonts w:asciiTheme="minorHAnsi" w:eastAsiaTheme="minorHAnsi" w:hAnsiTheme="minorHAnsi" w:cstheme="minorBidi"/>
          <w:lang w:val="en-US"/>
        </w:rPr>
        <w:t>Tidd, J. and Bessant, J. (2018)</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Managing Innovation: Integrating Technological, Market and Organizational Change. 6th edn. Chichester: Wiley.</w:t>
      </w:r>
    </w:p>
    <w:p w14:paraId="5BEAC19E" w14:textId="77777777" w:rsidR="00AD7288" w:rsidRPr="00CE2072"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Trott, P. (2016)</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Innovation Management and New Product Development. 6th edn. Harlow: Pearson.</w:t>
      </w:r>
    </w:p>
    <w:p w14:paraId="5812BF23" w14:textId="77777777" w:rsidR="00AD7288" w:rsidRDefault="00AD7288" w:rsidP="00AD7288">
      <w:pPr>
        <w:spacing w:line="278" w:lineRule="auto"/>
        <w:rPr>
          <w:rFonts w:asciiTheme="minorHAnsi" w:eastAsiaTheme="minorHAnsi" w:hAnsiTheme="minorHAnsi" w:cstheme="minorBidi"/>
          <w:lang w:val="en-US"/>
        </w:rPr>
      </w:pPr>
      <w:r w:rsidRPr="00CE2072">
        <w:rPr>
          <w:rFonts w:asciiTheme="minorHAnsi" w:eastAsiaTheme="minorHAnsi" w:hAnsiTheme="minorHAnsi" w:cstheme="minorBidi"/>
          <w:lang w:val="en-US"/>
        </w:rPr>
        <w:t>Turner, E. (2020)</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Be Less Zombie: How Great Companies Create Dynamic Innovation, Fearless Leadership</w:t>
      </w:r>
      <w:r>
        <w:rPr>
          <w:rFonts w:asciiTheme="minorHAnsi" w:eastAsiaTheme="minorHAnsi" w:hAnsiTheme="minorHAnsi" w:cstheme="minorBidi"/>
          <w:lang w:val="en-US"/>
        </w:rPr>
        <w:t>,</w:t>
      </w:r>
      <w:r w:rsidRPr="00CE2072">
        <w:rPr>
          <w:rFonts w:asciiTheme="minorHAnsi" w:eastAsiaTheme="minorHAnsi" w:hAnsiTheme="minorHAnsi" w:cstheme="minorBidi"/>
          <w:lang w:val="en-US"/>
        </w:rPr>
        <w:t xml:space="preserve"> and Passionate People. Hoboken, NJ: Wiley.</w:t>
      </w:r>
    </w:p>
    <w:p w14:paraId="27D5972E" w14:textId="5072C1F9" w:rsidR="008E03E6" w:rsidRPr="008E03E6" w:rsidRDefault="008E03E6" w:rsidP="008E03E6">
      <w:pPr>
        <w:spacing w:after="200"/>
        <w:rPr>
          <w:rFonts w:ascii="Times New Roman" w:eastAsia="Times New Roman" w:hAnsi="Times New Roman"/>
          <w:kern w:val="0"/>
          <w:szCs w:val="22"/>
          <w:lang w:val="en-US"/>
          <w14:ligatures w14:val="none"/>
        </w:rPr>
      </w:pPr>
      <w:r w:rsidRPr="00AD7288">
        <w:rPr>
          <w:rFonts w:ascii="Times New Roman" w:eastAsia="Times New Roman" w:hAnsi="Times New Roman"/>
          <w:kern w:val="0"/>
          <w:szCs w:val="22"/>
          <w:lang w:val="en-US"/>
          <w14:ligatures w14:val="none"/>
        </w:rPr>
        <w:t>Tsao, J., Liang, C.X., Nogues, C.</w:t>
      </w:r>
      <w:r w:rsidR="000C2768">
        <w:rPr>
          <w:rFonts w:ascii="Times New Roman" w:eastAsia="Times New Roman" w:hAnsi="Times New Roman"/>
          <w:kern w:val="0"/>
          <w:szCs w:val="22"/>
          <w:lang w:val="en-US"/>
          <w14:ligatures w14:val="none"/>
        </w:rPr>
        <w:t>,</w:t>
      </w:r>
      <w:r w:rsidRPr="00AD7288">
        <w:rPr>
          <w:rFonts w:ascii="Times New Roman" w:eastAsia="Times New Roman" w:hAnsi="Times New Roman"/>
          <w:kern w:val="0"/>
          <w:szCs w:val="22"/>
          <w:lang w:val="en-US"/>
          <w14:ligatures w14:val="none"/>
        </w:rPr>
        <w:t xml:space="preserve"> and Wong, A. (2025)</w:t>
      </w:r>
      <w:r>
        <w:rPr>
          <w:rFonts w:ascii="Times New Roman" w:eastAsia="Times New Roman" w:hAnsi="Times New Roman"/>
          <w:kern w:val="0"/>
          <w:szCs w:val="22"/>
          <w:lang w:val="en-US"/>
          <w14:ligatures w14:val="none"/>
        </w:rPr>
        <w:t>.</w:t>
      </w:r>
      <w:r w:rsidRPr="00AD7288">
        <w:rPr>
          <w:rFonts w:ascii="Times New Roman" w:eastAsia="Times New Roman" w:hAnsi="Times New Roman"/>
          <w:kern w:val="0"/>
          <w:szCs w:val="22"/>
          <w:lang w:val="en-US"/>
          <w14:ligatures w14:val="none"/>
        </w:rPr>
        <w:t xml:space="preserve"> Perceptions and integration of generative artificial intelligence in creative practices and industries: A scoping review and conceptual model, AI &amp; Society. Available at: </w:t>
      </w:r>
      <w:hyperlink r:id="rId39" w:history="1">
        <w:r w:rsidRPr="00AD7288">
          <w:rPr>
            <w:rFonts w:ascii="Times New Roman" w:eastAsia="Times New Roman" w:hAnsi="Times New Roman"/>
            <w:color w:val="0000FF"/>
            <w:kern w:val="0"/>
            <w:szCs w:val="22"/>
            <w:u w:val="single"/>
            <w:lang w:val="en-US"/>
            <w14:ligatures w14:val="none"/>
          </w:rPr>
          <w:t>https://doi.org/10.1007/s00146-025-02667-2</w:t>
        </w:r>
      </w:hyperlink>
      <w:r w:rsidRPr="00AD7288">
        <w:rPr>
          <w:rFonts w:ascii="Times New Roman" w:eastAsia="Times New Roman" w:hAnsi="Times New Roman"/>
          <w:kern w:val="0"/>
          <w:szCs w:val="22"/>
          <w:lang w:val="en-US"/>
          <w14:ligatures w14:val="none"/>
        </w:rPr>
        <w:t xml:space="preserve"> (Accessed: 27 March 2026).</w:t>
      </w:r>
    </w:p>
    <w:p w14:paraId="48B5831D" w14:textId="57C01402" w:rsidR="00935DB4" w:rsidRPr="00935DB4" w:rsidRDefault="00935DB4" w:rsidP="00935DB4">
      <w:r w:rsidRPr="00935DB4">
        <w:t xml:space="preserve">Van de Ven, A.H. (1986) ‘Central problems in the management of innovation’, </w:t>
      </w:r>
      <w:r w:rsidRPr="00935DB4">
        <w:rPr>
          <w:i/>
          <w:iCs/>
        </w:rPr>
        <w:t>Management Science</w:t>
      </w:r>
      <w:r w:rsidRPr="00935DB4">
        <w:t xml:space="preserve">, 32(5), pp. 590–607. Available at: </w:t>
      </w:r>
      <w:hyperlink r:id="rId40" w:history="1">
        <w:r w:rsidRPr="00935DB4">
          <w:rPr>
            <w:color w:val="0000FF"/>
            <w:u w:val="single"/>
          </w:rPr>
          <w:t>https://pubsonline.informs.org/doi/10.1287/mnsc.32.5.590</w:t>
        </w:r>
      </w:hyperlink>
      <w:r w:rsidRPr="00935DB4">
        <w:t xml:space="preserve"> (Accessed: 2</w:t>
      </w:r>
      <w:r w:rsidR="005054A4">
        <w:t>0</w:t>
      </w:r>
      <w:r w:rsidRPr="00935DB4">
        <w:t xml:space="preserve"> March 2026). </w:t>
      </w:r>
    </w:p>
    <w:p w14:paraId="7673D1D7" w14:textId="07935B23" w:rsidR="00935DB4" w:rsidRPr="00935DB4" w:rsidRDefault="00935DB4" w:rsidP="00935DB4">
      <w:r w:rsidRPr="00935DB4">
        <w:t xml:space="preserve">West, M.A. and Anderson, N.R. (1996) ‘Innovation in top management teams’, </w:t>
      </w:r>
      <w:r w:rsidRPr="00935DB4">
        <w:rPr>
          <w:i/>
          <w:iCs/>
        </w:rPr>
        <w:t>Journal of Applied Psychology</w:t>
      </w:r>
      <w:r w:rsidRPr="00935DB4">
        <w:t xml:space="preserve">, 81(6), pp. 680–693. Available at: </w:t>
      </w:r>
      <w:hyperlink r:id="rId41" w:history="1">
        <w:r w:rsidRPr="00935DB4">
          <w:rPr>
            <w:color w:val="0000FF"/>
            <w:u w:val="single"/>
          </w:rPr>
          <w:t>https://doi.org/10.1037/0021-9010.81.6.680</w:t>
        </w:r>
      </w:hyperlink>
      <w:r w:rsidRPr="00935DB4">
        <w:t xml:space="preserve"> (Accessed: 2</w:t>
      </w:r>
      <w:r w:rsidR="005054A4">
        <w:t>2</w:t>
      </w:r>
      <w:r w:rsidRPr="00935DB4">
        <w:t xml:space="preserve"> March 2026). </w:t>
      </w:r>
    </w:p>
    <w:p w14:paraId="54460AEF" w14:textId="77777777" w:rsidR="00935DB4" w:rsidRPr="00935DB4" w:rsidRDefault="00935DB4" w:rsidP="00935DB4"/>
    <w:p w14:paraId="61FF1F45" w14:textId="77777777" w:rsidR="008E03E6" w:rsidRDefault="008E03E6" w:rsidP="00AD7288">
      <w:pPr>
        <w:spacing w:line="278" w:lineRule="auto"/>
        <w:rPr>
          <w:rFonts w:asciiTheme="minorHAnsi" w:eastAsiaTheme="minorHAnsi" w:hAnsiTheme="minorHAnsi" w:cstheme="minorBidi"/>
          <w:lang w:val="en-US"/>
        </w:rPr>
      </w:pPr>
    </w:p>
    <w:p w14:paraId="12EB4EA8" w14:textId="77777777" w:rsidR="00AD7288" w:rsidRDefault="00AD7288" w:rsidP="00084875"/>
    <w:p w14:paraId="4744FA1A" w14:textId="77777777" w:rsidR="00F65927" w:rsidRDefault="00F65927" w:rsidP="00084875"/>
    <w:p w14:paraId="56A2D3C6" w14:textId="77777777" w:rsidR="00F65927" w:rsidRDefault="00F65927" w:rsidP="00084875"/>
    <w:p w14:paraId="73358502" w14:textId="77777777" w:rsidR="00F65927" w:rsidRDefault="00F65927" w:rsidP="00084875"/>
    <w:p w14:paraId="1C8079D4" w14:textId="77777777" w:rsidR="00F65927" w:rsidRDefault="00F65927" w:rsidP="00084875"/>
    <w:p w14:paraId="196A3CFC" w14:textId="77777777" w:rsidR="00F65927" w:rsidRDefault="00F65927" w:rsidP="00084875"/>
    <w:p w14:paraId="2400C97A" w14:textId="77777777" w:rsidR="00F65927" w:rsidRDefault="00F65927" w:rsidP="00084875"/>
    <w:p w14:paraId="641DC551" w14:textId="77777777" w:rsidR="00F65927" w:rsidRDefault="00F65927" w:rsidP="00084875"/>
    <w:p w14:paraId="3A21F185" w14:textId="77777777" w:rsidR="00F65927" w:rsidRDefault="00F65927" w:rsidP="00084875"/>
    <w:p w14:paraId="57F0BDAC" w14:textId="77777777" w:rsidR="00F65927" w:rsidRDefault="00F65927" w:rsidP="00084875"/>
    <w:p w14:paraId="0B5E3878" w14:textId="77777777" w:rsidR="00F65927" w:rsidRDefault="00F65927" w:rsidP="00084875"/>
    <w:p w14:paraId="4ACE2930" w14:textId="77777777" w:rsidR="00F65927" w:rsidRDefault="00F65927" w:rsidP="00084875"/>
    <w:p w14:paraId="747A8A90" w14:textId="33822D47" w:rsidR="00F65927" w:rsidRDefault="00F65927" w:rsidP="00F65927">
      <w:pPr>
        <w:pStyle w:val="Heading1"/>
      </w:pPr>
      <w:r>
        <w:t xml:space="preserve">                                              </w:t>
      </w:r>
      <w:bookmarkStart w:id="8" w:name="_Toc225779180"/>
      <w:r>
        <w:t>Appendix</w:t>
      </w:r>
      <w:bookmarkEnd w:id="8"/>
    </w:p>
    <w:p w14:paraId="6ACBEE65" w14:textId="0F52E913" w:rsidR="00F65927" w:rsidRPr="00F65927" w:rsidRDefault="00F65927" w:rsidP="00F65927">
      <w:r>
        <w:rPr>
          <w:noProof/>
        </w:rPr>
        <w:drawing>
          <wp:inline distT="0" distB="0" distL="0" distR="0" wp14:anchorId="4785F130" wp14:editId="02298EAB">
            <wp:extent cx="5730875" cy="1823085"/>
            <wp:effectExtent l="0" t="0" r="3175" b="5715"/>
            <wp:docPr id="7802196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0875" cy="1823085"/>
                    </a:xfrm>
                    <a:prstGeom prst="rect">
                      <a:avLst/>
                    </a:prstGeom>
                    <a:noFill/>
                  </pic:spPr>
                </pic:pic>
              </a:graphicData>
            </a:graphic>
          </wp:inline>
        </w:drawing>
      </w:r>
    </w:p>
    <w:p w14:paraId="0B3A3E1A" w14:textId="62468E80" w:rsidR="00F65927" w:rsidRPr="00F65927" w:rsidRDefault="00F65927" w:rsidP="00F65927">
      <w:r>
        <w:rPr>
          <w:noProof/>
        </w:rPr>
        <w:drawing>
          <wp:inline distT="0" distB="0" distL="0" distR="0" wp14:anchorId="342FDB74" wp14:editId="2CE75E6D">
            <wp:extent cx="5731510" cy="2972435"/>
            <wp:effectExtent l="0" t="0" r="2540" b="0"/>
            <wp:docPr id="1158202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02371" name="Picture 1158202371"/>
                    <pic:cNvPicPr/>
                  </pic:nvPicPr>
                  <pic:blipFill>
                    <a:blip r:embed="rId43">
                      <a:extLst>
                        <a:ext uri="{28A0092B-C50C-407E-A947-70E740481C1C}">
                          <a14:useLocalDpi xmlns:a14="http://schemas.microsoft.com/office/drawing/2010/main" val="0"/>
                        </a:ext>
                      </a:extLst>
                    </a:blip>
                    <a:stretch>
                      <a:fillRect/>
                    </a:stretch>
                  </pic:blipFill>
                  <pic:spPr>
                    <a:xfrm>
                      <a:off x="0" y="0"/>
                      <a:ext cx="5731510" cy="2972435"/>
                    </a:xfrm>
                    <a:prstGeom prst="rect">
                      <a:avLst/>
                    </a:prstGeom>
                  </pic:spPr>
                </pic:pic>
              </a:graphicData>
            </a:graphic>
          </wp:inline>
        </w:drawing>
      </w:r>
      <w:r>
        <w:rPr>
          <w:noProof/>
        </w:rPr>
        <w:drawing>
          <wp:inline distT="0" distB="0" distL="0" distR="0" wp14:anchorId="5A1D7FA5" wp14:editId="284FF8F1">
            <wp:extent cx="5731510" cy="2310765"/>
            <wp:effectExtent l="0" t="0" r="2540" b="0"/>
            <wp:docPr id="5230113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11322" name="Picture 523011322"/>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310765"/>
                    </a:xfrm>
                    <a:prstGeom prst="rect">
                      <a:avLst/>
                    </a:prstGeom>
                  </pic:spPr>
                </pic:pic>
              </a:graphicData>
            </a:graphic>
          </wp:inline>
        </w:drawing>
      </w:r>
      <w:r>
        <w:rPr>
          <w:noProof/>
        </w:rPr>
        <w:lastRenderedPageBreak/>
        <w:drawing>
          <wp:inline distT="0" distB="0" distL="0" distR="0" wp14:anchorId="114D8261" wp14:editId="3F320A83">
            <wp:extent cx="5731510" cy="3187700"/>
            <wp:effectExtent l="0" t="0" r="2540" b="0"/>
            <wp:docPr id="19631583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58369" name="Picture 1963158369"/>
                    <pic:cNvPicPr/>
                  </pic:nvPicPr>
                  <pic:blipFill>
                    <a:blip r:embed="rId45">
                      <a:extLst>
                        <a:ext uri="{28A0092B-C50C-407E-A947-70E740481C1C}">
                          <a14:useLocalDpi xmlns:a14="http://schemas.microsoft.com/office/drawing/2010/main" val="0"/>
                        </a:ext>
                      </a:extLst>
                    </a:blip>
                    <a:stretch>
                      <a:fillRect/>
                    </a:stretch>
                  </pic:blipFill>
                  <pic:spPr>
                    <a:xfrm>
                      <a:off x="0" y="0"/>
                      <a:ext cx="5731510" cy="3187700"/>
                    </a:xfrm>
                    <a:prstGeom prst="rect">
                      <a:avLst/>
                    </a:prstGeom>
                  </pic:spPr>
                </pic:pic>
              </a:graphicData>
            </a:graphic>
          </wp:inline>
        </w:drawing>
      </w:r>
      <w:r>
        <w:rPr>
          <w:noProof/>
        </w:rPr>
        <w:drawing>
          <wp:inline distT="0" distB="0" distL="0" distR="0" wp14:anchorId="0645B4DB" wp14:editId="4EC66BE6">
            <wp:extent cx="5731510" cy="3589655"/>
            <wp:effectExtent l="0" t="0" r="2540" b="0"/>
            <wp:docPr id="11114606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60613" name="Picture 1111460613"/>
                    <pic:cNvPicPr/>
                  </pic:nvPicPr>
                  <pic:blipFill>
                    <a:blip r:embed="rId46">
                      <a:extLst>
                        <a:ext uri="{28A0092B-C50C-407E-A947-70E740481C1C}">
                          <a14:useLocalDpi xmlns:a14="http://schemas.microsoft.com/office/drawing/2010/main" val="0"/>
                        </a:ext>
                      </a:extLst>
                    </a:blip>
                    <a:stretch>
                      <a:fillRect/>
                    </a:stretch>
                  </pic:blipFill>
                  <pic:spPr>
                    <a:xfrm>
                      <a:off x="0" y="0"/>
                      <a:ext cx="5731510" cy="3589655"/>
                    </a:xfrm>
                    <a:prstGeom prst="rect">
                      <a:avLst/>
                    </a:prstGeom>
                  </pic:spPr>
                </pic:pic>
              </a:graphicData>
            </a:graphic>
          </wp:inline>
        </w:drawing>
      </w:r>
      <w:r>
        <w:rPr>
          <w:noProof/>
        </w:rPr>
        <w:lastRenderedPageBreak/>
        <w:drawing>
          <wp:inline distT="0" distB="0" distL="0" distR="0" wp14:anchorId="5BC90960" wp14:editId="2D889F73">
            <wp:extent cx="5731510" cy="4080510"/>
            <wp:effectExtent l="0" t="0" r="2540" b="0"/>
            <wp:docPr id="2517227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22743" name="Picture 251722743"/>
                    <pic:cNvPicPr/>
                  </pic:nvPicPr>
                  <pic:blipFill>
                    <a:blip r:embed="rId47">
                      <a:extLst>
                        <a:ext uri="{28A0092B-C50C-407E-A947-70E740481C1C}">
                          <a14:useLocalDpi xmlns:a14="http://schemas.microsoft.com/office/drawing/2010/main" val="0"/>
                        </a:ext>
                      </a:extLst>
                    </a:blip>
                    <a:stretch>
                      <a:fillRect/>
                    </a:stretch>
                  </pic:blipFill>
                  <pic:spPr>
                    <a:xfrm>
                      <a:off x="0" y="0"/>
                      <a:ext cx="5731510" cy="4080510"/>
                    </a:xfrm>
                    <a:prstGeom prst="rect">
                      <a:avLst/>
                    </a:prstGeom>
                  </pic:spPr>
                </pic:pic>
              </a:graphicData>
            </a:graphic>
          </wp:inline>
        </w:drawing>
      </w:r>
      <w:r>
        <w:rPr>
          <w:noProof/>
        </w:rPr>
        <w:drawing>
          <wp:inline distT="0" distB="0" distL="0" distR="0" wp14:anchorId="313588B3" wp14:editId="2A4DFD48">
            <wp:extent cx="5731510" cy="3500755"/>
            <wp:effectExtent l="0" t="0" r="2540" b="4445"/>
            <wp:docPr id="19143377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37789" name="Picture 1914337789"/>
                    <pic:cNvPicPr/>
                  </pic:nvPicPr>
                  <pic:blipFill>
                    <a:blip r:embed="rId48">
                      <a:extLst>
                        <a:ext uri="{28A0092B-C50C-407E-A947-70E740481C1C}">
                          <a14:useLocalDpi xmlns:a14="http://schemas.microsoft.com/office/drawing/2010/main" val="0"/>
                        </a:ext>
                      </a:extLst>
                    </a:blip>
                    <a:stretch>
                      <a:fillRect/>
                    </a:stretch>
                  </pic:blipFill>
                  <pic:spPr>
                    <a:xfrm>
                      <a:off x="0" y="0"/>
                      <a:ext cx="5731510" cy="3500755"/>
                    </a:xfrm>
                    <a:prstGeom prst="rect">
                      <a:avLst/>
                    </a:prstGeom>
                  </pic:spPr>
                </pic:pic>
              </a:graphicData>
            </a:graphic>
          </wp:inline>
        </w:drawing>
      </w:r>
      <w:r>
        <w:rPr>
          <w:noProof/>
        </w:rPr>
        <w:lastRenderedPageBreak/>
        <w:drawing>
          <wp:inline distT="0" distB="0" distL="0" distR="0" wp14:anchorId="7B47E0D4" wp14:editId="7E1A9CB1">
            <wp:extent cx="5731510" cy="3026410"/>
            <wp:effectExtent l="0" t="0" r="2540" b="2540"/>
            <wp:docPr id="2392584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58408" name="Picture 239258408"/>
                    <pic:cNvPicPr/>
                  </pic:nvPicPr>
                  <pic:blipFill>
                    <a:blip r:embed="rId49">
                      <a:extLst>
                        <a:ext uri="{28A0092B-C50C-407E-A947-70E740481C1C}">
                          <a14:useLocalDpi xmlns:a14="http://schemas.microsoft.com/office/drawing/2010/main" val="0"/>
                        </a:ext>
                      </a:extLst>
                    </a:blip>
                    <a:stretch>
                      <a:fillRect/>
                    </a:stretch>
                  </pic:blipFill>
                  <pic:spPr>
                    <a:xfrm>
                      <a:off x="0" y="0"/>
                      <a:ext cx="5731510" cy="3026410"/>
                    </a:xfrm>
                    <a:prstGeom prst="rect">
                      <a:avLst/>
                    </a:prstGeom>
                  </pic:spPr>
                </pic:pic>
              </a:graphicData>
            </a:graphic>
          </wp:inline>
        </w:drawing>
      </w:r>
      <w:r>
        <w:rPr>
          <w:noProof/>
        </w:rPr>
        <w:drawing>
          <wp:inline distT="0" distB="0" distL="0" distR="0" wp14:anchorId="17FB4CD7" wp14:editId="616D9C3F">
            <wp:extent cx="5731510" cy="3868420"/>
            <wp:effectExtent l="0" t="0" r="2540" b="0"/>
            <wp:docPr id="5101868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86808" name="Picture 510186808"/>
                    <pic:cNvPicPr/>
                  </pic:nvPicPr>
                  <pic:blipFill>
                    <a:blip r:embed="rId50">
                      <a:extLst>
                        <a:ext uri="{28A0092B-C50C-407E-A947-70E740481C1C}">
                          <a14:useLocalDpi xmlns:a14="http://schemas.microsoft.com/office/drawing/2010/main" val="0"/>
                        </a:ext>
                      </a:extLst>
                    </a:blip>
                    <a:stretch>
                      <a:fillRect/>
                    </a:stretch>
                  </pic:blipFill>
                  <pic:spPr>
                    <a:xfrm>
                      <a:off x="0" y="0"/>
                      <a:ext cx="5731510" cy="3868420"/>
                    </a:xfrm>
                    <a:prstGeom prst="rect">
                      <a:avLst/>
                    </a:prstGeom>
                  </pic:spPr>
                </pic:pic>
              </a:graphicData>
            </a:graphic>
          </wp:inline>
        </w:drawing>
      </w:r>
      <w:r>
        <w:rPr>
          <w:noProof/>
        </w:rPr>
        <w:lastRenderedPageBreak/>
        <w:drawing>
          <wp:inline distT="0" distB="0" distL="0" distR="0" wp14:anchorId="448B7878" wp14:editId="154A37C4">
            <wp:extent cx="5731510" cy="4302760"/>
            <wp:effectExtent l="0" t="0" r="2540" b="2540"/>
            <wp:docPr id="283799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79974" name="Picture 28379974"/>
                    <pic:cNvPicPr/>
                  </pic:nvPicPr>
                  <pic:blipFill>
                    <a:blip r:embed="rId51">
                      <a:extLst>
                        <a:ext uri="{28A0092B-C50C-407E-A947-70E740481C1C}">
                          <a14:useLocalDpi xmlns:a14="http://schemas.microsoft.com/office/drawing/2010/main" val="0"/>
                        </a:ext>
                      </a:extLst>
                    </a:blip>
                    <a:stretch>
                      <a:fillRect/>
                    </a:stretch>
                  </pic:blipFill>
                  <pic:spPr>
                    <a:xfrm>
                      <a:off x="0" y="0"/>
                      <a:ext cx="5731510" cy="4302760"/>
                    </a:xfrm>
                    <a:prstGeom prst="rect">
                      <a:avLst/>
                    </a:prstGeom>
                  </pic:spPr>
                </pic:pic>
              </a:graphicData>
            </a:graphic>
          </wp:inline>
        </w:drawing>
      </w:r>
      <w:r>
        <w:rPr>
          <w:noProof/>
        </w:rPr>
        <w:drawing>
          <wp:inline distT="0" distB="0" distL="0" distR="0" wp14:anchorId="312147F3" wp14:editId="426EC438">
            <wp:extent cx="5731510" cy="3360420"/>
            <wp:effectExtent l="0" t="0" r="2540" b="0"/>
            <wp:docPr id="14082520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52051" name="Picture 1408252051"/>
                    <pic:cNvPicPr/>
                  </pic:nvPicPr>
                  <pic:blipFill>
                    <a:blip r:embed="rId52">
                      <a:extLst>
                        <a:ext uri="{28A0092B-C50C-407E-A947-70E740481C1C}">
                          <a14:useLocalDpi xmlns:a14="http://schemas.microsoft.com/office/drawing/2010/main" val="0"/>
                        </a:ext>
                      </a:extLst>
                    </a:blip>
                    <a:stretch>
                      <a:fillRect/>
                    </a:stretch>
                  </pic:blipFill>
                  <pic:spPr>
                    <a:xfrm>
                      <a:off x="0" y="0"/>
                      <a:ext cx="5731510" cy="3360420"/>
                    </a:xfrm>
                    <a:prstGeom prst="rect">
                      <a:avLst/>
                    </a:prstGeom>
                  </pic:spPr>
                </pic:pic>
              </a:graphicData>
            </a:graphic>
          </wp:inline>
        </w:drawing>
      </w:r>
      <w:r>
        <w:rPr>
          <w:noProof/>
        </w:rPr>
        <w:lastRenderedPageBreak/>
        <w:drawing>
          <wp:inline distT="0" distB="0" distL="0" distR="0" wp14:anchorId="18CCBFFE" wp14:editId="461E1610">
            <wp:extent cx="5731510" cy="2940685"/>
            <wp:effectExtent l="0" t="0" r="2540" b="0"/>
            <wp:docPr id="10245045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04500" name="Picture 1024504500"/>
                    <pic:cNvPicPr/>
                  </pic:nvPicPr>
                  <pic:blipFill>
                    <a:blip r:embed="rId53">
                      <a:extLst>
                        <a:ext uri="{28A0092B-C50C-407E-A947-70E740481C1C}">
                          <a14:useLocalDpi xmlns:a14="http://schemas.microsoft.com/office/drawing/2010/main" val="0"/>
                        </a:ext>
                      </a:extLst>
                    </a:blip>
                    <a:stretch>
                      <a:fillRect/>
                    </a:stretch>
                  </pic:blipFill>
                  <pic:spPr>
                    <a:xfrm>
                      <a:off x="0" y="0"/>
                      <a:ext cx="5731510" cy="2940685"/>
                    </a:xfrm>
                    <a:prstGeom prst="rect">
                      <a:avLst/>
                    </a:prstGeom>
                  </pic:spPr>
                </pic:pic>
              </a:graphicData>
            </a:graphic>
          </wp:inline>
        </w:drawing>
      </w:r>
      <w:r>
        <w:rPr>
          <w:noProof/>
        </w:rPr>
        <w:drawing>
          <wp:inline distT="0" distB="0" distL="0" distR="0" wp14:anchorId="635A4D64" wp14:editId="61A798AC">
            <wp:extent cx="5731510" cy="3051175"/>
            <wp:effectExtent l="0" t="0" r="2540" b="0"/>
            <wp:docPr id="13521865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86594" name="Picture 1352186594"/>
                    <pic:cNvPicPr/>
                  </pic:nvPicPr>
                  <pic:blipFill>
                    <a:blip r:embed="rId54">
                      <a:extLst>
                        <a:ext uri="{28A0092B-C50C-407E-A947-70E740481C1C}">
                          <a14:useLocalDpi xmlns:a14="http://schemas.microsoft.com/office/drawing/2010/main" val="0"/>
                        </a:ext>
                      </a:extLst>
                    </a:blip>
                    <a:stretch>
                      <a:fillRect/>
                    </a:stretch>
                  </pic:blipFill>
                  <pic:spPr>
                    <a:xfrm>
                      <a:off x="0" y="0"/>
                      <a:ext cx="5731510" cy="3051175"/>
                    </a:xfrm>
                    <a:prstGeom prst="rect">
                      <a:avLst/>
                    </a:prstGeom>
                  </pic:spPr>
                </pic:pic>
              </a:graphicData>
            </a:graphic>
          </wp:inline>
        </w:drawing>
      </w:r>
      <w:r>
        <w:rPr>
          <w:noProof/>
        </w:rPr>
        <w:drawing>
          <wp:inline distT="0" distB="0" distL="0" distR="0" wp14:anchorId="7F00B6DA" wp14:editId="613E264B">
            <wp:extent cx="5731510" cy="2588260"/>
            <wp:effectExtent l="0" t="0" r="2540" b="2540"/>
            <wp:docPr id="286360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6030" name="Picture 28636030"/>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588260"/>
                    </a:xfrm>
                    <a:prstGeom prst="rect">
                      <a:avLst/>
                    </a:prstGeom>
                  </pic:spPr>
                </pic:pic>
              </a:graphicData>
            </a:graphic>
          </wp:inline>
        </w:drawing>
      </w:r>
      <w:r>
        <w:rPr>
          <w:noProof/>
        </w:rPr>
        <w:lastRenderedPageBreak/>
        <w:drawing>
          <wp:inline distT="0" distB="0" distL="0" distR="0" wp14:anchorId="0D9769CD" wp14:editId="73510F36">
            <wp:extent cx="5731510" cy="3275330"/>
            <wp:effectExtent l="0" t="0" r="2540" b="1270"/>
            <wp:docPr id="9505811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81167" name="Picture 950581167"/>
                    <pic:cNvPicPr/>
                  </pic:nvPicPr>
                  <pic:blipFill>
                    <a:blip r:embed="rId56">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r>
        <w:rPr>
          <w:noProof/>
        </w:rPr>
        <w:drawing>
          <wp:inline distT="0" distB="0" distL="0" distR="0" wp14:anchorId="6E38737C" wp14:editId="233D16F9">
            <wp:extent cx="5731510" cy="2571115"/>
            <wp:effectExtent l="0" t="0" r="2540" b="635"/>
            <wp:docPr id="14584092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09246" name="Picture 1458409246"/>
                    <pic:cNvPicPr/>
                  </pic:nvPicPr>
                  <pic:blipFill>
                    <a:blip r:embed="rId57">
                      <a:extLst>
                        <a:ext uri="{28A0092B-C50C-407E-A947-70E740481C1C}">
                          <a14:useLocalDpi xmlns:a14="http://schemas.microsoft.com/office/drawing/2010/main" val="0"/>
                        </a:ext>
                      </a:extLst>
                    </a:blip>
                    <a:stretch>
                      <a:fillRect/>
                    </a:stretch>
                  </pic:blipFill>
                  <pic:spPr>
                    <a:xfrm>
                      <a:off x="0" y="0"/>
                      <a:ext cx="5731510" cy="2571115"/>
                    </a:xfrm>
                    <a:prstGeom prst="rect">
                      <a:avLst/>
                    </a:prstGeom>
                  </pic:spPr>
                </pic:pic>
              </a:graphicData>
            </a:graphic>
          </wp:inline>
        </w:drawing>
      </w:r>
      <w:r>
        <w:rPr>
          <w:noProof/>
        </w:rPr>
        <w:drawing>
          <wp:inline distT="0" distB="0" distL="0" distR="0" wp14:anchorId="54C80222" wp14:editId="69684C25">
            <wp:extent cx="5731510" cy="2595880"/>
            <wp:effectExtent l="0" t="0" r="2540" b="0"/>
            <wp:docPr id="11490024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002485" name="Picture 1149002485"/>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2595880"/>
                    </a:xfrm>
                    <a:prstGeom prst="rect">
                      <a:avLst/>
                    </a:prstGeom>
                  </pic:spPr>
                </pic:pic>
              </a:graphicData>
            </a:graphic>
          </wp:inline>
        </w:drawing>
      </w:r>
      <w:r>
        <w:rPr>
          <w:noProof/>
        </w:rPr>
        <w:lastRenderedPageBreak/>
        <w:drawing>
          <wp:inline distT="0" distB="0" distL="0" distR="0" wp14:anchorId="151E4264" wp14:editId="7C3CA3B7">
            <wp:extent cx="5731510" cy="3054985"/>
            <wp:effectExtent l="0" t="0" r="2540" b="0"/>
            <wp:docPr id="19134547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54777" name="Picture 1913454777"/>
                    <pic:cNvPicPr/>
                  </pic:nvPicPr>
                  <pic:blipFill>
                    <a:blip r:embed="rId59">
                      <a:extLst>
                        <a:ext uri="{28A0092B-C50C-407E-A947-70E740481C1C}">
                          <a14:useLocalDpi xmlns:a14="http://schemas.microsoft.com/office/drawing/2010/main" val="0"/>
                        </a:ext>
                      </a:extLst>
                    </a:blip>
                    <a:stretch>
                      <a:fillRect/>
                    </a:stretch>
                  </pic:blipFill>
                  <pic:spPr>
                    <a:xfrm>
                      <a:off x="0" y="0"/>
                      <a:ext cx="5731510" cy="3054985"/>
                    </a:xfrm>
                    <a:prstGeom prst="rect">
                      <a:avLst/>
                    </a:prstGeom>
                  </pic:spPr>
                </pic:pic>
              </a:graphicData>
            </a:graphic>
          </wp:inline>
        </w:drawing>
      </w:r>
      <w:r>
        <w:rPr>
          <w:noProof/>
        </w:rPr>
        <w:drawing>
          <wp:inline distT="0" distB="0" distL="0" distR="0" wp14:anchorId="79BEF6BB" wp14:editId="67B42C98">
            <wp:extent cx="5731510" cy="2556510"/>
            <wp:effectExtent l="0" t="0" r="2540" b="0"/>
            <wp:docPr id="108222623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226236" name="Picture 1082226236"/>
                    <pic:cNvPicPr/>
                  </pic:nvPicPr>
                  <pic:blipFill>
                    <a:blip r:embed="rId60">
                      <a:extLst>
                        <a:ext uri="{28A0092B-C50C-407E-A947-70E740481C1C}">
                          <a14:useLocalDpi xmlns:a14="http://schemas.microsoft.com/office/drawing/2010/main" val="0"/>
                        </a:ext>
                      </a:extLst>
                    </a:blip>
                    <a:stretch>
                      <a:fillRect/>
                    </a:stretch>
                  </pic:blipFill>
                  <pic:spPr>
                    <a:xfrm>
                      <a:off x="0" y="0"/>
                      <a:ext cx="5731510" cy="2556510"/>
                    </a:xfrm>
                    <a:prstGeom prst="rect">
                      <a:avLst/>
                    </a:prstGeom>
                  </pic:spPr>
                </pic:pic>
              </a:graphicData>
            </a:graphic>
          </wp:inline>
        </w:drawing>
      </w:r>
      <w:r>
        <w:rPr>
          <w:noProof/>
        </w:rPr>
        <w:lastRenderedPageBreak/>
        <w:drawing>
          <wp:inline distT="0" distB="0" distL="0" distR="0" wp14:anchorId="0B003BB8" wp14:editId="068E31FA">
            <wp:extent cx="5731510" cy="3430270"/>
            <wp:effectExtent l="0" t="0" r="2540" b="0"/>
            <wp:docPr id="82250953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09538" name="Picture 822509538"/>
                    <pic:cNvPicPr/>
                  </pic:nvPicPr>
                  <pic:blipFill>
                    <a:blip r:embed="rId61">
                      <a:extLst>
                        <a:ext uri="{28A0092B-C50C-407E-A947-70E740481C1C}">
                          <a14:useLocalDpi xmlns:a14="http://schemas.microsoft.com/office/drawing/2010/main" val="0"/>
                        </a:ext>
                      </a:extLst>
                    </a:blip>
                    <a:stretch>
                      <a:fillRect/>
                    </a:stretch>
                  </pic:blipFill>
                  <pic:spPr>
                    <a:xfrm>
                      <a:off x="0" y="0"/>
                      <a:ext cx="5731510" cy="3430270"/>
                    </a:xfrm>
                    <a:prstGeom prst="rect">
                      <a:avLst/>
                    </a:prstGeom>
                  </pic:spPr>
                </pic:pic>
              </a:graphicData>
            </a:graphic>
          </wp:inline>
        </w:drawing>
      </w:r>
      <w:r>
        <w:rPr>
          <w:noProof/>
        </w:rPr>
        <w:drawing>
          <wp:inline distT="0" distB="0" distL="0" distR="0" wp14:anchorId="384EA9BC" wp14:editId="1EA3C1AB">
            <wp:extent cx="5731510" cy="3225800"/>
            <wp:effectExtent l="0" t="0" r="2540" b="0"/>
            <wp:docPr id="12138589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58915" name="Picture 1213858915"/>
                    <pic:cNvPicPr/>
                  </pic:nvPicPr>
                  <pic:blipFill>
                    <a:blip r:embed="rId62">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r>
        <w:rPr>
          <w:noProof/>
        </w:rPr>
        <w:drawing>
          <wp:inline distT="0" distB="0" distL="0" distR="0" wp14:anchorId="5F44E0A5" wp14:editId="2053D700">
            <wp:extent cx="5731510" cy="1118870"/>
            <wp:effectExtent l="0" t="0" r="2540" b="5080"/>
            <wp:docPr id="18672474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47438" name="Picture 1867247438"/>
                    <pic:cNvPicPr/>
                  </pic:nvPicPr>
                  <pic:blipFill>
                    <a:blip r:embed="rId63">
                      <a:extLst>
                        <a:ext uri="{28A0092B-C50C-407E-A947-70E740481C1C}">
                          <a14:useLocalDpi xmlns:a14="http://schemas.microsoft.com/office/drawing/2010/main" val="0"/>
                        </a:ext>
                      </a:extLst>
                    </a:blip>
                    <a:stretch>
                      <a:fillRect/>
                    </a:stretch>
                  </pic:blipFill>
                  <pic:spPr>
                    <a:xfrm>
                      <a:off x="0" y="0"/>
                      <a:ext cx="5731510" cy="1118870"/>
                    </a:xfrm>
                    <a:prstGeom prst="rect">
                      <a:avLst/>
                    </a:prstGeom>
                  </pic:spPr>
                </pic:pic>
              </a:graphicData>
            </a:graphic>
          </wp:inline>
        </w:drawing>
      </w:r>
      <w:r>
        <w:rPr>
          <w:noProof/>
        </w:rPr>
        <w:lastRenderedPageBreak/>
        <w:drawing>
          <wp:inline distT="0" distB="0" distL="0" distR="0" wp14:anchorId="441BE77F" wp14:editId="035B3ECC">
            <wp:extent cx="5731510" cy="2366645"/>
            <wp:effectExtent l="0" t="0" r="2540" b="0"/>
            <wp:docPr id="21975952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59529" name="Picture 219759529"/>
                    <pic:cNvPicPr/>
                  </pic:nvPicPr>
                  <pic:blipFill>
                    <a:blip r:embed="rId64">
                      <a:extLst>
                        <a:ext uri="{28A0092B-C50C-407E-A947-70E740481C1C}">
                          <a14:useLocalDpi xmlns:a14="http://schemas.microsoft.com/office/drawing/2010/main" val="0"/>
                        </a:ext>
                      </a:extLst>
                    </a:blip>
                    <a:stretch>
                      <a:fillRect/>
                    </a:stretch>
                  </pic:blipFill>
                  <pic:spPr>
                    <a:xfrm>
                      <a:off x="0" y="0"/>
                      <a:ext cx="5731510" cy="2366645"/>
                    </a:xfrm>
                    <a:prstGeom prst="rect">
                      <a:avLst/>
                    </a:prstGeom>
                  </pic:spPr>
                </pic:pic>
              </a:graphicData>
            </a:graphic>
          </wp:inline>
        </w:drawing>
      </w:r>
      <w:r>
        <w:rPr>
          <w:noProof/>
        </w:rPr>
        <w:drawing>
          <wp:inline distT="0" distB="0" distL="0" distR="0" wp14:anchorId="0D778E0B" wp14:editId="25CB3EF4">
            <wp:extent cx="5731510" cy="1424940"/>
            <wp:effectExtent l="0" t="0" r="2540" b="3810"/>
            <wp:docPr id="191638108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81081" name="Picture 1916381081"/>
                    <pic:cNvPicPr/>
                  </pic:nvPicPr>
                  <pic:blipFill>
                    <a:blip r:embed="rId65">
                      <a:extLst>
                        <a:ext uri="{28A0092B-C50C-407E-A947-70E740481C1C}">
                          <a14:useLocalDpi xmlns:a14="http://schemas.microsoft.com/office/drawing/2010/main" val="0"/>
                        </a:ext>
                      </a:extLst>
                    </a:blip>
                    <a:stretch>
                      <a:fillRect/>
                    </a:stretch>
                  </pic:blipFill>
                  <pic:spPr>
                    <a:xfrm>
                      <a:off x="0" y="0"/>
                      <a:ext cx="5731510" cy="1424940"/>
                    </a:xfrm>
                    <a:prstGeom prst="rect">
                      <a:avLst/>
                    </a:prstGeom>
                  </pic:spPr>
                </pic:pic>
              </a:graphicData>
            </a:graphic>
          </wp:inline>
        </w:drawing>
      </w:r>
      <w:r>
        <w:rPr>
          <w:noProof/>
        </w:rPr>
        <w:lastRenderedPageBreak/>
        <w:drawing>
          <wp:inline distT="0" distB="0" distL="0" distR="0" wp14:anchorId="1DFBF4A6" wp14:editId="038A3D8F">
            <wp:extent cx="5731510" cy="2947035"/>
            <wp:effectExtent l="0" t="0" r="2540" b="5715"/>
            <wp:docPr id="12572798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79882" name="Picture 1257279882"/>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2947035"/>
                    </a:xfrm>
                    <a:prstGeom prst="rect">
                      <a:avLst/>
                    </a:prstGeom>
                  </pic:spPr>
                </pic:pic>
              </a:graphicData>
            </a:graphic>
          </wp:inline>
        </w:drawing>
      </w:r>
      <w:r>
        <w:rPr>
          <w:noProof/>
        </w:rPr>
        <w:drawing>
          <wp:inline distT="0" distB="0" distL="0" distR="0" wp14:anchorId="6EFA23B3" wp14:editId="14A4A5A7">
            <wp:extent cx="5731510" cy="2229485"/>
            <wp:effectExtent l="0" t="0" r="2540" b="0"/>
            <wp:docPr id="7208394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839435" name="Picture 720839435"/>
                    <pic:cNvPicPr/>
                  </pic:nvPicPr>
                  <pic:blipFill>
                    <a:blip r:embed="rId67">
                      <a:extLst>
                        <a:ext uri="{28A0092B-C50C-407E-A947-70E740481C1C}">
                          <a14:useLocalDpi xmlns:a14="http://schemas.microsoft.com/office/drawing/2010/main" val="0"/>
                        </a:ext>
                      </a:extLst>
                    </a:blip>
                    <a:stretch>
                      <a:fillRect/>
                    </a:stretch>
                  </pic:blipFill>
                  <pic:spPr>
                    <a:xfrm>
                      <a:off x="0" y="0"/>
                      <a:ext cx="5731510" cy="2229485"/>
                    </a:xfrm>
                    <a:prstGeom prst="rect">
                      <a:avLst/>
                    </a:prstGeom>
                  </pic:spPr>
                </pic:pic>
              </a:graphicData>
            </a:graphic>
          </wp:inline>
        </w:drawing>
      </w:r>
    </w:p>
    <w:sectPr w:rsidR="00F65927" w:rsidRPr="00F65927">
      <w:headerReference w:type="even" r:id="rId68"/>
      <w:headerReference w:type="default" r:id="rId69"/>
      <w:footerReference w:type="even" r:id="rId70"/>
      <w:footerReference w:type="default" r:id="rId71"/>
      <w:headerReference w:type="first" r:id="rId72"/>
      <w:footerReference w:type="firs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07764" w14:textId="77777777" w:rsidR="0043268A" w:rsidRDefault="0043268A" w:rsidP="00831B1F">
      <w:pPr>
        <w:spacing w:after="0" w:line="240" w:lineRule="auto"/>
      </w:pPr>
      <w:r>
        <w:separator/>
      </w:r>
    </w:p>
  </w:endnote>
  <w:endnote w:type="continuationSeparator" w:id="0">
    <w:p w14:paraId="48F98A45" w14:textId="77777777" w:rsidR="0043268A" w:rsidRDefault="0043268A" w:rsidP="00831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D2679" w14:textId="77777777" w:rsidR="00831B1F" w:rsidRDefault="00831B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4703B" w14:textId="77777777" w:rsidR="00831B1F" w:rsidRDefault="00831B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347BD" w14:textId="77777777" w:rsidR="00831B1F" w:rsidRDefault="00831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5D7E0" w14:textId="77777777" w:rsidR="0043268A" w:rsidRDefault="0043268A" w:rsidP="00831B1F">
      <w:pPr>
        <w:spacing w:after="0" w:line="240" w:lineRule="auto"/>
      </w:pPr>
      <w:r>
        <w:separator/>
      </w:r>
    </w:p>
  </w:footnote>
  <w:footnote w:type="continuationSeparator" w:id="0">
    <w:p w14:paraId="6576A4C3" w14:textId="77777777" w:rsidR="0043268A" w:rsidRDefault="0043268A" w:rsidP="00831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97971" w14:textId="77777777" w:rsidR="00831B1F" w:rsidRDefault="00831B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BF66C" w14:textId="77777777" w:rsidR="00831B1F" w:rsidRDefault="00831B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63719" w14:textId="77777777" w:rsidR="00831B1F" w:rsidRDefault="00831B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27088"/>
    <w:multiLevelType w:val="hybridMultilevel"/>
    <w:tmpl w:val="1D2C9AE4"/>
    <w:lvl w:ilvl="0" w:tplc="C772F08E">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1C1B0E"/>
    <w:multiLevelType w:val="hybridMultilevel"/>
    <w:tmpl w:val="C1FA389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F56E35"/>
    <w:multiLevelType w:val="hybridMultilevel"/>
    <w:tmpl w:val="A3963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5910396">
    <w:abstractNumId w:val="2"/>
  </w:num>
  <w:num w:numId="2" w16cid:durableId="1917202500">
    <w:abstractNumId w:val="0"/>
  </w:num>
  <w:num w:numId="3" w16cid:durableId="1155489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9A6"/>
    <w:rsid w:val="000049BA"/>
    <w:rsid w:val="0002368C"/>
    <w:rsid w:val="00062ECE"/>
    <w:rsid w:val="00084875"/>
    <w:rsid w:val="000A5B2C"/>
    <w:rsid w:val="000B3040"/>
    <w:rsid w:val="000B3143"/>
    <w:rsid w:val="000C2768"/>
    <w:rsid w:val="000D579A"/>
    <w:rsid w:val="0010324E"/>
    <w:rsid w:val="00113A56"/>
    <w:rsid w:val="00127F9F"/>
    <w:rsid w:val="001418F8"/>
    <w:rsid w:val="00155A26"/>
    <w:rsid w:val="0017343E"/>
    <w:rsid w:val="00180DCB"/>
    <w:rsid w:val="001958C0"/>
    <w:rsid w:val="001C2123"/>
    <w:rsid w:val="001E16EA"/>
    <w:rsid w:val="002135D8"/>
    <w:rsid w:val="00217891"/>
    <w:rsid w:val="00224C96"/>
    <w:rsid w:val="002310BF"/>
    <w:rsid w:val="00254F76"/>
    <w:rsid w:val="002639A6"/>
    <w:rsid w:val="00293681"/>
    <w:rsid w:val="002A3FFB"/>
    <w:rsid w:val="002D186D"/>
    <w:rsid w:val="003022DD"/>
    <w:rsid w:val="003044D2"/>
    <w:rsid w:val="0031474F"/>
    <w:rsid w:val="00321F63"/>
    <w:rsid w:val="003B2C76"/>
    <w:rsid w:val="003D7131"/>
    <w:rsid w:val="004319FC"/>
    <w:rsid w:val="0043268A"/>
    <w:rsid w:val="004731A2"/>
    <w:rsid w:val="00483513"/>
    <w:rsid w:val="00492886"/>
    <w:rsid w:val="004C5A28"/>
    <w:rsid w:val="005054A4"/>
    <w:rsid w:val="00505553"/>
    <w:rsid w:val="00532AA7"/>
    <w:rsid w:val="0053505E"/>
    <w:rsid w:val="0054337D"/>
    <w:rsid w:val="00590B53"/>
    <w:rsid w:val="005D633F"/>
    <w:rsid w:val="006048CB"/>
    <w:rsid w:val="006163C7"/>
    <w:rsid w:val="00631184"/>
    <w:rsid w:val="00644A4E"/>
    <w:rsid w:val="00683FFF"/>
    <w:rsid w:val="00697147"/>
    <w:rsid w:val="006D35F3"/>
    <w:rsid w:val="006F3297"/>
    <w:rsid w:val="006F4B67"/>
    <w:rsid w:val="00760DBA"/>
    <w:rsid w:val="007902A5"/>
    <w:rsid w:val="007A0869"/>
    <w:rsid w:val="008128EC"/>
    <w:rsid w:val="00831B1F"/>
    <w:rsid w:val="008627AF"/>
    <w:rsid w:val="0089272A"/>
    <w:rsid w:val="00895FD6"/>
    <w:rsid w:val="008A1A96"/>
    <w:rsid w:val="008E03E6"/>
    <w:rsid w:val="00903566"/>
    <w:rsid w:val="00904F87"/>
    <w:rsid w:val="00915001"/>
    <w:rsid w:val="00935DB4"/>
    <w:rsid w:val="00953562"/>
    <w:rsid w:val="00971342"/>
    <w:rsid w:val="00997BBD"/>
    <w:rsid w:val="009B37F1"/>
    <w:rsid w:val="009C4648"/>
    <w:rsid w:val="00A0351F"/>
    <w:rsid w:val="00A26B49"/>
    <w:rsid w:val="00A3328C"/>
    <w:rsid w:val="00A5747B"/>
    <w:rsid w:val="00A71F59"/>
    <w:rsid w:val="00A75A48"/>
    <w:rsid w:val="00AA14B5"/>
    <w:rsid w:val="00AA3874"/>
    <w:rsid w:val="00AA3982"/>
    <w:rsid w:val="00AC6605"/>
    <w:rsid w:val="00AD124B"/>
    <w:rsid w:val="00AD1DF8"/>
    <w:rsid w:val="00AD7288"/>
    <w:rsid w:val="00AF6F3C"/>
    <w:rsid w:val="00B0771F"/>
    <w:rsid w:val="00B57857"/>
    <w:rsid w:val="00B753F1"/>
    <w:rsid w:val="00B82F55"/>
    <w:rsid w:val="00BD204B"/>
    <w:rsid w:val="00C03E3A"/>
    <w:rsid w:val="00C246C4"/>
    <w:rsid w:val="00C46D8F"/>
    <w:rsid w:val="00C713B8"/>
    <w:rsid w:val="00C80BAA"/>
    <w:rsid w:val="00C952AE"/>
    <w:rsid w:val="00CA762A"/>
    <w:rsid w:val="00CE2072"/>
    <w:rsid w:val="00D7183C"/>
    <w:rsid w:val="00D759E7"/>
    <w:rsid w:val="00E14E03"/>
    <w:rsid w:val="00E219EE"/>
    <w:rsid w:val="00E5609C"/>
    <w:rsid w:val="00E7284A"/>
    <w:rsid w:val="00E87FA8"/>
    <w:rsid w:val="00E91833"/>
    <w:rsid w:val="00EA7EFD"/>
    <w:rsid w:val="00F02868"/>
    <w:rsid w:val="00F65927"/>
    <w:rsid w:val="00FC12B8"/>
    <w:rsid w:val="00FC64F8"/>
    <w:rsid w:val="00FF1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01EEA"/>
  <w15:chartTrackingRefBased/>
  <w15:docId w15:val="{F57110AB-A46D-4108-96D0-5480C053D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E03"/>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2639A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39A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39A6"/>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9A6"/>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639A6"/>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639A6"/>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639A6"/>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639A6"/>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639A6"/>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3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3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9A6"/>
    <w:rPr>
      <w:rFonts w:eastAsiaTheme="majorEastAsia" w:cstheme="majorBidi"/>
      <w:color w:val="272727" w:themeColor="text1" w:themeTint="D8"/>
    </w:rPr>
  </w:style>
  <w:style w:type="paragraph" w:styleId="Title">
    <w:name w:val="Title"/>
    <w:basedOn w:val="Normal"/>
    <w:next w:val="Normal"/>
    <w:link w:val="TitleChar"/>
    <w:uiPriority w:val="10"/>
    <w:qFormat/>
    <w:rsid w:val="00263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9A6"/>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9A6"/>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2639A6"/>
    <w:rPr>
      <w:i/>
      <w:iCs/>
      <w:color w:val="404040" w:themeColor="text1" w:themeTint="BF"/>
    </w:rPr>
  </w:style>
  <w:style w:type="paragraph" w:styleId="ListParagraph">
    <w:name w:val="List Paragraph"/>
    <w:basedOn w:val="Normal"/>
    <w:uiPriority w:val="34"/>
    <w:qFormat/>
    <w:rsid w:val="002639A6"/>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2639A6"/>
    <w:rPr>
      <w:i/>
      <w:iCs/>
      <w:color w:val="0F4761" w:themeColor="accent1" w:themeShade="BF"/>
    </w:rPr>
  </w:style>
  <w:style w:type="paragraph" w:styleId="IntenseQuote">
    <w:name w:val="Intense Quote"/>
    <w:basedOn w:val="Normal"/>
    <w:next w:val="Normal"/>
    <w:link w:val="IntenseQuoteChar"/>
    <w:uiPriority w:val="30"/>
    <w:qFormat/>
    <w:rsid w:val="002639A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2639A6"/>
    <w:rPr>
      <w:i/>
      <w:iCs/>
      <w:color w:val="0F4761" w:themeColor="accent1" w:themeShade="BF"/>
    </w:rPr>
  </w:style>
  <w:style w:type="character" w:styleId="IntenseReference">
    <w:name w:val="Intense Reference"/>
    <w:basedOn w:val="DefaultParagraphFont"/>
    <w:uiPriority w:val="32"/>
    <w:qFormat/>
    <w:rsid w:val="002639A6"/>
    <w:rPr>
      <w:b/>
      <w:bCs/>
      <w:smallCaps/>
      <w:color w:val="0F4761" w:themeColor="accent1" w:themeShade="BF"/>
      <w:spacing w:val="5"/>
    </w:rPr>
  </w:style>
  <w:style w:type="paragraph" w:styleId="TOCHeading">
    <w:name w:val="TOC Heading"/>
    <w:basedOn w:val="Heading1"/>
    <w:next w:val="Normal"/>
    <w:uiPriority w:val="39"/>
    <w:unhideWhenUsed/>
    <w:qFormat/>
    <w:rsid w:val="00831B1F"/>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831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B1F"/>
    <w:rPr>
      <w:rFonts w:ascii="Aptos" w:eastAsia="Aptos" w:hAnsi="Aptos" w:cs="Times New Roman"/>
    </w:rPr>
  </w:style>
  <w:style w:type="paragraph" w:styleId="Footer">
    <w:name w:val="footer"/>
    <w:basedOn w:val="Normal"/>
    <w:link w:val="FooterChar"/>
    <w:uiPriority w:val="99"/>
    <w:unhideWhenUsed/>
    <w:rsid w:val="00831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B1F"/>
    <w:rPr>
      <w:rFonts w:ascii="Aptos" w:eastAsia="Aptos" w:hAnsi="Aptos" w:cs="Times New Roman"/>
    </w:rPr>
  </w:style>
  <w:style w:type="paragraph" w:styleId="TOC1">
    <w:name w:val="toc 1"/>
    <w:basedOn w:val="Normal"/>
    <w:next w:val="Normal"/>
    <w:autoRedefine/>
    <w:uiPriority w:val="39"/>
    <w:unhideWhenUsed/>
    <w:rsid w:val="008A1A96"/>
    <w:pPr>
      <w:spacing w:after="100"/>
    </w:pPr>
  </w:style>
  <w:style w:type="character" w:styleId="Hyperlink">
    <w:name w:val="Hyperlink"/>
    <w:basedOn w:val="DefaultParagraphFont"/>
    <w:uiPriority w:val="99"/>
    <w:unhideWhenUsed/>
    <w:rsid w:val="008A1A96"/>
    <w:rPr>
      <w:color w:val="467886" w:themeColor="hyperlink"/>
      <w:u w:val="single"/>
    </w:rPr>
  </w:style>
  <w:style w:type="paragraph" w:styleId="BodyText">
    <w:name w:val="Body Text"/>
    <w:basedOn w:val="Normal"/>
    <w:link w:val="BodyTextChar"/>
    <w:uiPriority w:val="99"/>
    <w:semiHidden/>
    <w:unhideWhenUsed/>
    <w:rsid w:val="00AD7288"/>
    <w:pPr>
      <w:spacing w:after="120"/>
    </w:pPr>
  </w:style>
  <w:style w:type="character" w:customStyle="1" w:styleId="BodyTextChar">
    <w:name w:val="Body Text Char"/>
    <w:basedOn w:val="DefaultParagraphFont"/>
    <w:link w:val="BodyText"/>
    <w:uiPriority w:val="99"/>
    <w:semiHidden/>
    <w:rsid w:val="00AD7288"/>
    <w:rPr>
      <w:rFonts w:ascii="Aptos" w:eastAsia="Aptos" w:hAnsi="Aptos" w:cs="Times New Roman"/>
    </w:rPr>
  </w:style>
  <w:style w:type="character" w:styleId="UnresolvedMention">
    <w:name w:val="Unresolved Mention"/>
    <w:basedOn w:val="DefaultParagraphFont"/>
    <w:uiPriority w:val="99"/>
    <w:semiHidden/>
    <w:unhideWhenUsed/>
    <w:rsid w:val="00AD7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br.org/1996/07/strategy-as-revolution" TargetMode="External"/><Relationship Id="rId21" Type="http://schemas.openxmlformats.org/officeDocument/2006/relationships/hyperlink" Target="https://doi.org/10.1287/mnsc.2016.2643" TargetMode="External"/><Relationship Id="rId42" Type="http://schemas.openxmlformats.org/officeDocument/2006/relationships/image" Target="media/image2.png"/><Relationship Id="rId47" Type="http://schemas.openxmlformats.org/officeDocument/2006/relationships/image" Target="media/image7.png"/><Relationship Id="rId63" Type="http://schemas.openxmlformats.org/officeDocument/2006/relationships/image" Target="media/image23.png"/><Relationship Id="rId6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cademic.oup.com/book/5676" TargetMode="External"/><Relationship Id="rId29" Type="http://schemas.openxmlformats.org/officeDocument/2006/relationships/hyperlink" Target="https://doi.org/10.1007/s43681-025-00768-8" TargetMode="External"/><Relationship Id="rId11" Type="http://schemas.openxmlformats.org/officeDocument/2006/relationships/hyperlink" Target="https://research.lancaster-university.uk/en/publications/measuring-climate-for-work-group-innovation-development-and-valid/" TargetMode="External"/><Relationship Id="rId24" Type="http://schemas.openxmlformats.org/officeDocument/2006/relationships/hyperlink" Target="https://academic.oup.com/book/11032" TargetMode="External"/><Relationship Id="rId32" Type="http://schemas.openxmlformats.org/officeDocument/2006/relationships/hyperlink" Target="https://pubsonline.informs.org/doi/10.1287/orsc.2.1.71" TargetMode="External"/><Relationship Id="rId37" Type="http://schemas.openxmlformats.org/officeDocument/2006/relationships/hyperlink" Target="https://sms.onlinelibrary.wiley.com/doi/10.1002/smj.640" TargetMode="External"/><Relationship Id="rId40" Type="http://schemas.openxmlformats.org/officeDocument/2006/relationships/hyperlink" Target="https://pubsonline.informs.org/doi/10.1287/mnsc.32.5.590" TargetMode="External"/><Relationship Id="rId45" Type="http://schemas.openxmlformats.org/officeDocument/2006/relationships/image" Target="media/image5.png"/><Relationship Id="rId53" Type="http://schemas.openxmlformats.org/officeDocument/2006/relationships/image" Target="media/image13.png"/><Relationship Id="rId58" Type="http://schemas.openxmlformats.org/officeDocument/2006/relationships/image" Target="media/image18.png"/><Relationship Id="rId66" Type="http://schemas.openxmlformats.org/officeDocument/2006/relationships/image" Target="media/image26.pn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1.png"/><Relationship Id="rId19" Type="http://schemas.openxmlformats.org/officeDocument/2006/relationships/hyperlink" Target="https://doi.org/10.1016/j.joitmc.2024.100456" TargetMode="External"/><Relationship Id="rId14" Type="http://schemas.openxmlformats.org/officeDocument/2006/relationships/hyperlink" Target="https://doi.org/10.1016/j.ijforecast.2024.09.007" TargetMode="External"/><Relationship Id="rId22" Type="http://schemas.openxmlformats.org/officeDocument/2006/relationships/hyperlink" Target="https://hbr.org/2011/04/strategies-for-learning-from-failure" TargetMode="External"/><Relationship Id="rId27" Type="http://schemas.openxmlformats.org/officeDocument/2006/relationships/hyperlink" Target="https://doi.org/10.1007/s11301-025-00494-9" TargetMode="External"/><Relationship Id="rId30" Type="http://schemas.openxmlformats.org/officeDocument/2006/relationships/hyperlink" Target="https://doi.org/10.1007/s11301-024-00469-2" TargetMode="External"/><Relationship Id="rId35" Type="http://schemas.openxmlformats.org/officeDocument/2006/relationships/hyperlink" Target="https://hbr.org/2004/04/the-ambidextrous-organization" TargetMode="External"/><Relationship Id="rId43" Type="http://schemas.openxmlformats.org/officeDocument/2006/relationships/image" Target="media/image3.png"/><Relationship Id="rId48" Type="http://schemas.openxmlformats.org/officeDocument/2006/relationships/image" Target="media/image8.png"/><Relationship Id="rId56" Type="http://schemas.openxmlformats.org/officeDocument/2006/relationships/image" Target="media/image16.png"/><Relationship Id="rId64" Type="http://schemas.openxmlformats.org/officeDocument/2006/relationships/image" Target="media/image24.png"/><Relationship Id="rId69"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image" Target="media/image11.png"/><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mckinsey.com/capabilities/strategy-and-corporate-finance/our-insights/where-innovation-creates-value" TargetMode="External"/><Relationship Id="rId17" Type="http://schemas.openxmlformats.org/officeDocument/2006/relationships/hyperlink" Target="https://www.library.hbs.edu/working-knowledge/what-customers-want-from-your-products" TargetMode="External"/><Relationship Id="rId25" Type="http://schemas.openxmlformats.org/officeDocument/2006/relationships/hyperlink" Target="https://doi.org/10.1016/j.ijhcs.2025.103622" TargetMode="External"/><Relationship Id="rId33" Type="http://schemas.openxmlformats.org/officeDocument/2006/relationships/hyperlink" Target="https://doi.org/10.1016/j.jbusres.2024.114542" TargetMode="External"/><Relationship Id="rId38" Type="http://schemas.openxmlformats.org/officeDocument/2006/relationships/hyperlink" Target="https://sms.onlinelibrary.wiley.com/doi/10.1002/%28SICI%291097-0266%28199708%2918%3A7%3C509%3A%3AAID-SMJ882%3E3.0.CO%3B2-Z" TargetMode="External"/><Relationship Id="rId46" Type="http://schemas.openxmlformats.org/officeDocument/2006/relationships/image" Target="media/image6.png"/><Relationship Id="rId59" Type="http://schemas.openxmlformats.org/officeDocument/2006/relationships/image" Target="media/image19.png"/><Relationship Id="rId67" Type="http://schemas.openxmlformats.org/officeDocument/2006/relationships/image" Target="media/image27.png"/><Relationship Id="rId20" Type="http://schemas.openxmlformats.org/officeDocument/2006/relationships/hyperlink" Target="https://journals.aom.org/doi/10.5465/256406" TargetMode="External"/><Relationship Id="rId41" Type="http://schemas.openxmlformats.org/officeDocument/2006/relationships/hyperlink" Target="https://doi.org/10.1037/0021-9010.81.6.680" TargetMode="External"/><Relationship Id="rId54" Type="http://schemas.openxmlformats.org/officeDocument/2006/relationships/image" Target="media/image14.png"/><Relationship Id="rId62" Type="http://schemas.openxmlformats.org/officeDocument/2006/relationships/image" Target="media/image22.png"/><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cholars.ln.edu.hk/en/publications/conflict-management-for-effective-top-management-teams-and-innova/" TargetMode="External"/><Relationship Id="rId23" Type="http://schemas.openxmlformats.org/officeDocument/2006/relationships/hyperlink" Target="https://doi.org/10.1038/s41586-024-07421-0" TargetMode="External"/><Relationship Id="rId28" Type="http://schemas.openxmlformats.org/officeDocument/2006/relationships/hyperlink" Target="https://doi.org/10.1038/s41586-024-07856-5" TargetMode="External"/><Relationship Id="rId36" Type="http://schemas.openxmlformats.org/officeDocument/2006/relationships/hyperlink" Target="https://journals.aom.org/doi/10.5465/256701" TargetMode="External"/><Relationship Id="rId49" Type="http://schemas.openxmlformats.org/officeDocument/2006/relationships/image" Target="media/image9.png"/><Relationship Id="rId57" Type="http://schemas.openxmlformats.org/officeDocument/2006/relationships/image" Target="media/image17.png"/><Relationship Id="rId10" Type="http://schemas.openxmlformats.org/officeDocument/2006/relationships/hyperlink" Target="https://doi.org/10.5465/256995" TargetMode="External"/><Relationship Id="rId31" Type="http://schemas.openxmlformats.org/officeDocument/2006/relationships/hyperlink" Target="https://www.koganpage.com/logistics-supplychain-operations/logistics-and-supply-chain-innovation-9781398607484" TargetMode="External"/><Relationship Id="rId44" Type="http://schemas.openxmlformats.org/officeDocument/2006/relationships/image" Target="media/image4.png"/><Relationship Id="rId52" Type="http://schemas.openxmlformats.org/officeDocument/2006/relationships/image" Target="media/image12.png"/><Relationship Id="rId60" Type="http://schemas.openxmlformats.org/officeDocument/2006/relationships/image" Target="media/image20.png"/><Relationship Id="rId65" Type="http://schemas.openxmlformats.org/officeDocument/2006/relationships/image" Target="media/image25.png"/><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eb.mit.edu/curhan/www/docs/Articles/15341_Readings/Group_Performance/Amabile_A_Model_of_CreativityOrg.Beh_v10_pp123-167.pdf" TargetMode="External"/><Relationship Id="rId13" Type="http://schemas.openxmlformats.org/officeDocument/2006/relationships/hyperlink" Target="https://doi.org/10.1016/j.bushor.2019.11.003%20" TargetMode="External"/><Relationship Id="rId18" Type="http://schemas.openxmlformats.org/officeDocument/2006/relationships/hyperlink" Target="https://hbr.org/2015/12/what-is-disruptive-innovation" TargetMode="External"/><Relationship Id="rId39" Type="http://schemas.openxmlformats.org/officeDocument/2006/relationships/hyperlink" Target="https://doi.org/10.1007/s00146-025-02667-2" TargetMode="External"/><Relationship Id="rId34" Type="http://schemas.openxmlformats.org/officeDocument/2006/relationships/hyperlink" Target="https://journals.aom.org/doi/10.5465/256657" TargetMode="External"/><Relationship Id="rId50" Type="http://schemas.openxmlformats.org/officeDocument/2006/relationships/image" Target="media/image10.png"/><Relationship Id="rId55" Type="http://schemas.openxmlformats.org/officeDocument/2006/relationships/image" Target="media/image15.png"/><Relationship Id="rId7" Type="http://schemas.openxmlformats.org/officeDocument/2006/relationships/endnotes" Target="endnotes.xml"/><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B2BB2-ED5F-413F-BB94-87AAF214A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6216</Words>
  <Characters>35434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Tanasa (2332157)</dc:creator>
  <cp:keywords/>
  <dc:description/>
  <cp:lastModifiedBy>Andreea-Mihaela Tanasa (2332157)</cp:lastModifiedBy>
  <cp:revision>4</cp:revision>
  <dcterms:created xsi:type="dcterms:W3CDTF">2026-03-31T17:13:00Z</dcterms:created>
  <dcterms:modified xsi:type="dcterms:W3CDTF">2026-03-31T17:49:00Z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8897d6d5-3c4b-4f12-9740-ae6565470a57</vt:lpwstr>
  </property>
</Properties>
</file>