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ED664AA" wp14:paraId="598C4BB3" wp14:textId="17314D85">
      <w:pPr>
        <w:ind w:left="720" w:hanging="360"/>
        <w:rPr>
          <w:rFonts w:ascii="Aptos" w:hAnsi="Aptos" w:eastAsia="Aptos" w:cs="Aptos"/>
          <w:b w:val="0"/>
          <w:bCs w:val="0"/>
          <w:i w:val="0"/>
          <w:iCs w:val="0"/>
          <w:caps w:val="0"/>
          <w:smallCaps w:val="0"/>
          <w:noProof w:val="0"/>
          <w:color w:val="000000" w:themeColor="text1" w:themeTint="FF" w:themeShade="FF"/>
          <w:sz w:val="22"/>
          <w:szCs w:val="22"/>
          <w:lang w:val="en-GB"/>
        </w:rPr>
      </w:pPr>
      <w:r w:rsidR="5E51CFDE">
        <w:drawing>
          <wp:inline xmlns:wp14="http://schemas.microsoft.com/office/word/2010/wordprocessingDrawing" wp14:editId="1161200F" wp14:anchorId="5725EF9A">
            <wp:extent cx="5524500" cy="2238375"/>
            <wp:effectExtent l="0" t="0" r="0" b="0"/>
            <wp:docPr id="573679861" name="drawing" title="A close up of a sign&#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3679861" name="Picture 573679861"/>
                    <pic:cNvPicPr/>
                  </pic:nvPicPr>
                  <pic:blipFill>
                    <a:blip xmlns:r="http://schemas.openxmlformats.org/officeDocument/2006/relationships" r:embed="rId1385679890">
                      <a:extLst>
                        <a:ext uri="{28A0092B-C50C-407E-A947-70E740481C1C}">
                          <a14:useLocalDpi xmlns:a14="http://schemas.microsoft.com/office/drawing/2010/main"/>
                        </a:ext>
                      </a:extLst>
                    </a:blip>
                    <a:stretch>
                      <a:fillRect/>
                    </a:stretch>
                  </pic:blipFill>
                  <pic:spPr>
                    <a:xfrm rot="0">
                      <a:off x="0" y="0"/>
                      <a:ext cx="5524500" cy="2238375"/>
                    </a:xfrm>
                    <a:prstGeom prst="rect">
                      <a:avLst/>
                    </a:prstGeom>
                  </pic:spPr>
                </pic:pic>
              </a:graphicData>
            </a:graphic>
          </wp:inline>
        </w:drawing>
      </w:r>
    </w:p>
    <w:p xmlns:wp14="http://schemas.microsoft.com/office/word/2010/wordml" w:rsidP="0ED664AA" wp14:paraId="0D29A382" wp14:textId="56168245">
      <w:pPr>
        <w:pStyle w:val="Normal"/>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0ED664AA" wp14:paraId="1D3E6673" wp14:textId="6C4A7847">
      <w:pP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0ED664AA" wp14:paraId="3F9AA75C" wp14:textId="7D2BC18B">
      <w:pPr>
        <w:pStyle w:val="Normal"/>
        <w:spacing w:line="240" w:lineRule="auto"/>
        <w:ind w:left="720"/>
        <w:rPr>
          <w:rFonts w:ascii="Arial" w:hAnsi="Arial" w:eastAsia="Arial" w:cs="Arial"/>
          <w:b w:val="1"/>
          <w:bCs w:val="1"/>
          <w:i w:val="0"/>
          <w:iCs w:val="0"/>
          <w:caps w:val="0"/>
          <w:smallCaps w:val="0"/>
          <w:noProof w:val="0"/>
          <w:color w:val="222222"/>
          <w:sz w:val="36"/>
          <w:szCs w:val="36"/>
          <w:lang w:val="en-GB"/>
        </w:rPr>
      </w:pPr>
    </w:p>
    <w:p xmlns:wp14="http://schemas.microsoft.com/office/word/2010/wordml" w:rsidP="0ED664AA" wp14:paraId="0C30EDEA" wp14:textId="63563FA4">
      <w:pPr>
        <w:pStyle w:val="ListParagraph"/>
        <w:spacing w:line="240" w:lineRule="auto"/>
        <w:ind w:left="720"/>
        <w:rPr>
          <w:rFonts w:ascii="Arial" w:hAnsi="Arial" w:eastAsia="Arial" w:cs="Arial"/>
          <w:b w:val="1"/>
          <w:bCs w:val="1"/>
          <w:i w:val="0"/>
          <w:iCs w:val="0"/>
          <w:caps w:val="0"/>
          <w:smallCaps w:val="0"/>
          <w:noProof w:val="0"/>
          <w:color w:val="222222"/>
          <w:sz w:val="36"/>
          <w:szCs w:val="36"/>
          <w:lang w:val="en-GB"/>
        </w:rPr>
      </w:pPr>
    </w:p>
    <w:p xmlns:wp14="http://schemas.microsoft.com/office/word/2010/wordml" w:rsidP="7F44F46E" wp14:paraId="0234DF09" wp14:textId="4EDE4F8F">
      <w:pPr>
        <w:pStyle w:val="Normal"/>
        <w:spacing w:line="240" w:lineRule="auto"/>
        <w:ind w:left="720"/>
        <w:rPr>
          <w:rFonts w:ascii="Arial" w:hAnsi="Arial" w:eastAsia="Arial" w:cs="Arial"/>
          <w:b w:val="1"/>
          <w:bCs w:val="1"/>
          <w:i w:val="0"/>
          <w:iCs w:val="0"/>
          <w:caps w:val="0"/>
          <w:smallCaps w:val="0"/>
          <w:noProof w:val="0"/>
          <w:color w:val="222222"/>
          <w:sz w:val="36"/>
          <w:szCs w:val="36"/>
          <w:lang w:val="en-GB"/>
        </w:rPr>
      </w:pPr>
      <w:r w:rsidRPr="7F44F46E" w:rsidR="0DC2F62B">
        <w:rPr>
          <w:rFonts w:ascii="Aptos" w:hAnsi="Aptos" w:eastAsia="Aptos" w:cs="Aptos"/>
          <w:b w:val="1"/>
          <w:bCs w:val="1"/>
          <w:i w:val="0"/>
          <w:iCs w:val="0"/>
          <w:caps w:val="0"/>
          <w:smallCaps w:val="0"/>
          <w:noProof w:val="0"/>
          <w:color w:val="000000" w:themeColor="text1" w:themeTint="FF" w:themeShade="FF"/>
          <w:sz w:val="36"/>
          <w:szCs w:val="36"/>
          <w:lang w:val="en-GB"/>
        </w:rPr>
        <w:t>Assignment Title:</w:t>
      </w:r>
    </w:p>
    <w:p xmlns:wp14="http://schemas.microsoft.com/office/word/2010/wordml" w:rsidP="0ED664AA" wp14:paraId="1E495401" wp14:textId="40A660E5">
      <w:pPr>
        <w:pStyle w:val="ListParagraph"/>
        <w:numPr>
          <w:ilvl w:val="0"/>
          <w:numId w:val="3"/>
        </w:numPr>
        <w:spacing w:line="240" w:lineRule="auto"/>
        <w:rPr>
          <w:rFonts w:ascii="Arial" w:hAnsi="Arial" w:eastAsia="Arial" w:cs="Arial"/>
          <w:b w:val="1"/>
          <w:bCs w:val="1"/>
          <w:i w:val="0"/>
          <w:iCs w:val="0"/>
          <w:caps w:val="0"/>
          <w:smallCaps w:val="0"/>
          <w:noProof w:val="0"/>
          <w:color w:val="222222"/>
          <w:sz w:val="36"/>
          <w:szCs w:val="36"/>
          <w:lang w:val="en-GB"/>
        </w:rPr>
      </w:pPr>
      <w:r w:rsidRPr="0ED664AA" w:rsidR="74636C5B">
        <w:rPr>
          <w:rFonts w:ascii="Arial" w:hAnsi="Arial" w:eastAsia="Arial" w:cs="Arial"/>
          <w:b w:val="1"/>
          <w:bCs w:val="1"/>
          <w:i w:val="0"/>
          <w:iCs w:val="0"/>
          <w:caps w:val="0"/>
          <w:smallCaps w:val="0"/>
          <w:noProof w:val="0"/>
          <w:color w:val="222222"/>
          <w:sz w:val="36"/>
          <w:szCs w:val="36"/>
          <w:lang w:val="en-GB"/>
        </w:rPr>
        <w:t>Stakeholder Management Plan for a Smart Electric Transport Management System (SETMS)</w:t>
      </w:r>
    </w:p>
    <w:p xmlns:wp14="http://schemas.microsoft.com/office/word/2010/wordml" w:rsidP="0ED664AA" wp14:paraId="21C46B6F" wp14:textId="51365AE5">
      <w:pPr>
        <w:pStyle w:val="ListParagraph"/>
        <w:numPr>
          <w:ilvl w:val="0"/>
          <w:numId w:val="3"/>
        </w:numPr>
        <w:spacing w:line="24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0ED664AA" w:rsidR="0DC2F62B">
        <w:rPr>
          <w:rFonts w:ascii="Aptos" w:hAnsi="Aptos" w:eastAsia="Aptos" w:cs="Aptos"/>
          <w:b w:val="1"/>
          <w:bCs w:val="1"/>
          <w:i w:val="0"/>
          <w:iCs w:val="0"/>
          <w:caps w:val="0"/>
          <w:smallCaps w:val="0"/>
          <w:noProof w:val="0"/>
          <w:color w:val="000000" w:themeColor="text1" w:themeTint="FF" w:themeShade="FF"/>
          <w:sz w:val="36"/>
          <w:szCs w:val="36"/>
          <w:lang w:val="en-GB"/>
        </w:rPr>
        <w:t>Module Code: LCBB401</w:t>
      </w:r>
      <w:r w:rsidRPr="0ED664AA" w:rsidR="7ECFC674">
        <w:rPr>
          <w:rFonts w:ascii="Aptos" w:hAnsi="Aptos" w:eastAsia="Aptos" w:cs="Aptos"/>
          <w:b w:val="1"/>
          <w:bCs w:val="1"/>
          <w:i w:val="0"/>
          <w:iCs w:val="0"/>
          <w:caps w:val="0"/>
          <w:smallCaps w:val="0"/>
          <w:noProof w:val="0"/>
          <w:color w:val="000000" w:themeColor="text1" w:themeTint="FF" w:themeShade="FF"/>
          <w:sz w:val="36"/>
          <w:szCs w:val="36"/>
          <w:lang w:val="en-GB"/>
        </w:rPr>
        <w:t>3</w:t>
      </w:r>
    </w:p>
    <w:p xmlns:wp14="http://schemas.microsoft.com/office/word/2010/wordml" w:rsidP="0ED664AA" wp14:paraId="7CE7FA31" wp14:textId="1A332164">
      <w:pPr>
        <w:pStyle w:val="ListParagraph"/>
        <w:numPr>
          <w:ilvl w:val="0"/>
          <w:numId w:val="3"/>
        </w:numPr>
        <w:spacing w:line="24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0ED664AA" w:rsidR="0DC2F62B">
        <w:rPr>
          <w:rFonts w:ascii="Aptos" w:hAnsi="Aptos" w:eastAsia="Aptos" w:cs="Aptos"/>
          <w:b w:val="1"/>
          <w:bCs w:val="1"/>
          <w:i w:val="0"/>
          <w:iCs w:val="0"/>
          <w:caps w:val="0"/>
          <w:smallCaps w:val="0"/>
          <w:noProof w:val="0"/>
          <w:color w:val="000000" w:themeColor="text1" w:themeTint="FF" w:themeShade="FF"/>
          <w:sz w:val="36"/>
          <w:szCs w:val="36"/>
          <w:lang w:val="en-GB"/>
        </w:rPr>
        <w:t>Name: SADAF SAFDAR</w:t>
      </w:r>
    </w:p>
    <w:p xmlns:wp14="http://schemas.microsoft.com/office/word/2010/wordml" w:rsidP="0ED664AA" wp14:paraId="286F1E4B" wp14:textId="6F8D2BC8">
      <w:pPr>
        <w:pStyle w:val="ListParagraph"/>
        <w:numPr>
          <w:ilvl w:val="0"/>
          <w:numId w:val="3"/>
        </w:numPr>
        <w:spacing w:line="24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0ED664AA" w:rsidR="0DC2F62B">
        <w:rPr>
          <w:rFonts w:ascii="Aptos" w:hAnsi="Aptos" w:eastAsia="Aptos" w:cs="Aptos"/>
          <w:b w:val="1"/>
          <w:bCs w:val="1"/>
          <w:i w:val="0"/>
          <w:iCs w:val="0"/>
          <w:caps w:val="0"/>
          <w:smallCaps w:val="0"/>
          <w:noProof w:val="0"/>
          <w:color w:val="000000" w:themeColor="text1" w:themeTint="FF" w:themeShade="FF"/>
          <w:sz w:val="36"/>
          <w:szCs w:val="36"/>
          <w:lang w:val="en-GB"/>
        </w:rPr>
        <w:t>Student Number: 2313180</w:t>
      </w:r>
    </w:p>
    <w:p xmlns:wp14="http://schemas.microsoft.com/office/word/2010/wordml" w:rsidP="0ED664AA" wp14:paraId="4E2E4C64" wp14:textId="425B5235">
      <w:pPr>
        <w:pStyle w:val="Normal"/>
        <w:rPr>
          <w:noProof w:val="0"/>
          <w:lang w:val="en-GB"/>
        </w:rPr>
      </w:pPr>
    </w:p>
    <w:p xmlns:wp14="http://schemas.microsoft.com/office/word/2010/wordml" w:rsidP="0ED664AA" wp14:paraId="68668DE7" wp14:textId="1370EFC5">
      <w:pPr>
        <w:pStyle w:val="Heading1"/>
        <w:rPr>
          <w:noProof w:val="0"/>
          <w:lang w:val="en-GB"/>
        </w:rPr>
      </w:pPr>
      <w:r w:rsidRPr="0ED664AA" w:rsidR="12C2AEF3">
        <w:rPr>
          <w:rFonts w:ascii="Arial" w:hAnsi="Arial" w:eastAsia="Arial" w:cs="Arial"/>
          <w:b w:val="1"/>
          <w:bCs w:val="1"/>
          <w:i w:val="0"/>
          <w:iCs w:val="0"/>
          <w:caps w:val="0"/>
          <w:smallCaps w:val="0"/>
          <w:noProof w:val="0"/>
          <w:color w:val="222222"/>
          <w:sz w:val="48"/>
          <w:szCs w:val="48"/>
          <w:lang w:val="en-GB"/>
        </w:rPr>
        <w:t>Introduction</w:t>
      </w:r>
      <w:r w:rsidRPr="0ED664AA" w:rsidR="2D898AAE">
        <w:rPr>
          <w:rFonts w:ascii="Arial" w:hAnsi="Arial" w:eastAsia="Arial" w:cs="Arial"/>
          <w:b w:val="1"/>
          <w:bCs w:val="1"/>
          <w:i w:val="0"/>
          <w:iCs w:val="0"/>
          <w:caps w:val="0"/>
          <w:smallCaps w:val="0"/>
          <w:noProof w:val="0"/>
          <w:color w:val="222222"/>
          <w:sz w:val="48"/>
          <w:szCs w:val="48"/>
          <w:lang w:val="en-GB"/>
        </w:rPr>
        <w:t>:</w:t>
      </w:r>
    </w:p>
    <w:p w:rsidR="0ED664AA" w:rsidP="0ED664AA" w:rsidRDefault="0ED664AA" w14:paraId="36D7258F" w14:textId="3C4F1FBD">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0ED664AA" wp14:paraId="02624B7E" wp14:textId="6D040A06">
      <w:pPr>
        <w:pStyle w:val="Normal"/>
        <w:shd w:val="clear" w:color="auto" w:fill="FFFFFF" w:themeFill="background1"/>
        <w:spacing w:before="195" w:beforeAutospacing="off" w:after="195" w:afterAutospacing="off"/>
      </w:pPr>
      <w:r w:rsidRPr="0ED664AA" w:rsidR="12C2AEF3">
        <w:rPr>
          <w:rFonts w:ascii="Arial" w:hAnsi="Arial" w:eastAsia="Arial" w:cs="Arial"/>
          <w:b w:val="0"/>
          <w:bCs w:val="0"/>
          <w:i w:val="0"/>
          <w:iCs w:val="0"/>
          <w:caps w:val="0"/>
          <w:smallCaps w:val="0"/>
          <w:noProof w:val="0"/>
          <w:color w:val="222222"/>
          <w:sz w:val="24"/>
          <w:szCs w:val="24"/>
          <w:lang w:val="en-GB"/>
        </w:rPr>
        <w:t>Cities across the United Kingdom are increasingly turning toward smart and sustainable mobility solutions to address long-standing challenges such as congestion, air pollution, and the rising cost of fossil-fuel-based transport. Within this context, the proposed project—the Smart Electric Transport Management System (SETMS)—</w:t>
      </w:r>
      <w:r w:rsidRPr="0ED664AA" w:rsidR="12C2AEF3">
        <w:rPr>
          <w:rFonts w:ascii="Arial" w:hAnsi="Arial" w:eastAsia="Arial" w:cs="Arial"/>
          <w:b w:val="0"/>
          <w:bCs w:val="0"/>
          <w:i w:val="0"/>
          <w:iCs w:val="0"/>
          <w:caps w:val="0"/>
          <w:smallCaps w:val="0"/>
          <w:noProof w:val="0"/>
          <w:color w:val="222222"/>
          <w:sz w:val="24"/>
          <w:szCs w:val="24"/>
          <w:lang w:val="en-GB"/>
        </w:rPr>
        <w:t>seeks</w:t>
      </w:r>
      <w:r w:rsidRPr="0ED664AA" w:rsidR="12C2AEF3">
        <w:rPr>
          <w:rFonts w:ascii="Arial" w:hAnsi="Arial" w:eastAsia="Arial" w:cs="Arial"/>
          <w:b w:val="0"/>
          <w:bCs w:val="0"/>
          <w:i w:val="0"/>
          <w:iCs w:val="0"/>
          <w:caps w:val="0"/>
          <w:smallCaps w:val="0"/>
          <w:noProof w:val="0"/>
          <w:color w:val="222222"/>
          <w:sz w:val="24"/>
          <w:szCs w:val="24"/>
          <w:lang w:val="en-GB"/>
        </w:rPr>
        <w:t xml:space="preserve"> to transform the mobility landscape of a mid-sized UK city by introducing an integrated, data-driven network of electric buses supported by real-time analytics, intelligent traffic control, and a unified digital platform for passengers. This project aligns strongly with national and regional ambitions to accelerate the transition toward low-carbon transport, particularly the UK Government’s long-term commitment to achieving net-zero emissions by 2050 (Department for Transport, 2023).</w:t>
      </w:r>
    </w:p>
    <w:p xmlns:wp14="http://schemas.microsoft.com/office/word/2010/wordml" w:rsidP="2AD4F236" wp14:paraId="7F36EC9D" wp14:textId="44D0FB64">
      <w:pPr>
        <w:shd w:val="clear" w:color="auto" w:fill="FFFFFF" w:themeFill="background1"/>
        <w:spacing w:before="195" w:beforeAutospacing="off" w:after="195" w:afterAutospacing="off"/>
      </w:pPr>
    </w:p>
    <w:p xmlns:wp14="http://schemas.microsoft.com/office/word/2010/wordml" w:rsidP="2AD4F236" wp14:paraId="4CCE8B6A" wp14:textId="1FF68096">
      <w:pPr>
        <w:shd w:val="clear" w:color="auto" w:fill="FFFFFF" w:themeFill="background1"/>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SETMS will act as a central operational hub that brings together electric fleet management, route optimisation, charging-infrastructure scheduling, and environmental monitoring into a single intelligent ecosystem. This system will make use of live data from sensors, onboard telematics, and predictive analytics to help transport authorities make informed decisions. In turn, this will support improvements such as smoother passenger flow, reduced journey times, targeted deployment of charging assets, and proactive maintenance to maximise fleet availability.</w:t>
      </w:r>
    </w:p>
    <w:p xmlns:wp14="http://schemas.microsoft.com/office/word/2010/wordml" w:rsidP="2AD4F236" wp14:paraId="038EC8D8" wp14:textId="1DC53204">
      <w:pPr>
        <w:shd w:val="clear" w:color="auto" w:fill="FFFFFF" w:themeFill="background1"/>
        <w:spacing w:before="195" w:beforeAutospacing="off" w:after="195" w:afterAutospacing="off"/>
      </w:pPr>
    </w:p>
    <w:p xmlns:wp14="http://schemas.microsoft.com/office/word/2010/wordml" w:rsidP="2AD4F236" wp14:paraId="63CCCFC6" wp14:textId="1B28C0B0">
      <w:pPr>
        <w:shd w:val="clear" w:color="auto" w:fill="FFFFFF" w:themeFill="background1"/>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relevance of the SETMS stretches beyond technological advancement; it directly contributes to enhancing quality of life for citizens. By shifting to an electric transport model supported by smart coordination, the city can significantly reduce emissions, decrease traffic bottlenecks, and improve accessibility for users. In addition, the project encourages long-term cost savings for transport operators due to lower fuel consumption, extended vehicle life cycles, and more accurate planning.</w:t>
      </w:r>
    </w:p>
    <w:p xmlns:wp14="http://schemas.microsoft.com/office/word/2010/wordml" w:rsidP="2AD4F236" wp14:paraId="3FDB0F3E" wp14:textId="619893B1">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10DD7183" wp14:textId="24027D55">
      <w:pPr>
        <w:shd w:val="clear" w:color="auto" w:fill="FFFFFF" w:themeFill="background1"/>
        <w:spacing w:before="195" w:beforeAutospacing="off" w:after="195" w:afterAutospacing="off"/>
      </w:pPr>
      <w:r w:rsidRPr="2AD4F236" w:rsidR="5881A741">
        <w:rPr>
          <w:rFonts w:ascii="Arial" w:hAnsi="Arial" w:eastAsia="Arial" w:cs="Arial"/>
          <w:b w:val="0"/>
          <w:bCs w:val="0"/>
          <w:i w:val="0"/>
          <w:iCs w:val="0"/>
          <w:caps w:val="0"/>
          <w:smallCaps w:val="0"/>
          <w:noProof w:val="0"/>
          <w:color w:val="222222"/>
          <w:sz w:val="24"/>
          <w:szCs w:val="24"/>
          <w:lang w:val="en-GB"/>
        </w:rPr>
        <w:t>Another important driver behind the SETMS initiative is the growing recognition that traditional diesel-based public transport systems are no longer compatible with the environmental and public-health expectations of modern urban populations. Many UK cities continue to experience high nitrogen dioxide levels, and the transport sector remains one of the largest contributors to urban carbon emissions. Smart electric mobility represents not only a technological shift but a broader cultural transition toward healthier, quieter, and more liveable cities. The SETMS also responds to the national push for integrating digital infrastructure with public services, as outlined in the UK’s Future of Transport programme, which encourages data-driven innovation and multi-modal connectivity across regions. Additionally, the increasing affordability of electric buses and battery technologies provides an opportunity for cities to invest in solutions that were previously financially prohibitive.</w:t>
      </w:r>
    </w:p>
    <w:p xmlns:wp14="http://schemas.microsoft.com/office/word/2010/wordml" w:rsidP="2AD4F236" wp14:paraId="4354199F" wp14:textId="251CE685">
      <w:pPr>
        <w:shd w:val="clear" w:color="auto" w:fill="FFFFFF" w:themeFill="background1"/>
        <w:spacing w:before="195" w:beforeAutospacing="off" w:after="195" w:afterAutospacing="off"/>
      </w:pPr>
    </w:p>
    <w:p xmlns:wp14="http://schemas.microsoft.com/office/word/2010/wordml" w:rsidP="2AD4F236" wp14:paraId="44B42725" wp14:textId="09906946">
      <w:pPr>
        <w:shd w:val="clear" w:color="auto" w:fill="FFFFFF" w:themeFill="background1"/>
        <w:spacing w:before="195" w:beforeAutospacing="off" w:after="195" w:afterAutospacing="off"/>
      </w:pPr>
      <w:r w:rsidRPr="2AD4F236" w:rsidR="5881A741">
        <w:rPr>
          <w:rFonts w:ascii="Arial" w:hAnsi="Arial" w:eastAsia="Arial" w:cs="Arial"/>
          <w:b w:val="0"/>
          <w:bCs w:val="0"/>
          <w:i w:val="0"/>
          <w:iCs w:val="0"/>
          <w:caps w:val="0"/>
          <w:smallCaps w:val="0"/>
          <w:noProof w:val="0"/>
          <w:color w:val="222222"/>
          <w:sz w:val="24"/>
          <w:szCs w:val="24"/>
          <w:lang w:val="en-GB"/>
        </w:rPr>
        <w:t>Another key aspect of the SETMS vision is its potential to stimulate economic development. By modernising transport infrastructure, cities become more attractive to investors, employers, and residents. Efficient and sustainable mobility networks are linked with higher productivity, reduced commute-related stress, and enhanced urban competitiveness. As the project unfolds, strong stakeholder collaboration will ensure that the SETMS becomes a cornerstone of sustainable urban growth</w:t>
      </w:r>
    </w:p>
    <w:p xmlns:wp14="http://schemas.microsoft.com/office/word/2010/wordml" w:rsidP="2AD4F236" wp14:paraId="4B5E625C" wp14:textId="04045679">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018CE785" wp14:textId="2107BF78">
      <w:pPr>
        <w:shd w:val="clear" w:color="auto" w:fill="FFFFFF" w:themeFill="background1"/>
        <w:spacing w:before="195" w:beforeAutospacing="off" w:after="195" w:afterAutospacing="off"/>
      </w:pPr>
    </w:p>
    <w:p xmlns:wp14="http://schemas.microsoft.com/office/word/2010/wordml" w:rsidP="2AD4F236" wp14:paraId="5EC88E37" wp14:textId="4AAF9FF7">
      <w:pPr>
        <w:shd w:val="clear" w:color="auto" w:fill="FFFFFF" w:themeFill="background1"/>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project involves several key stakeholder groups whose interests and influence differ:</w:t>
      </w:r>
    </w:p>
    <w:p xmlns:wp14="http://schemas.microsoft.com/office/word/2010/wordml" w:rsidP="2AD4F236" wp14:paraId="4F0B3034" wp14:textId="45F89090">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AD4F236" w:rsidR="12C2AEF3">
        <w:rPr>
          <w:rFonts w:ascii="Arial" w:hAnsi="Arial" w:eastAsia="Arial" w:cs="Arial"/>
          <w:b w:val="0"/>
          <w:bCs w:val="0"/>
          <w:i w:val="0"/>
          <w:iCs w:val="0"/>
          <w:caps w:val="0"/>
          <w:smallCaps w:val="0"/>
          <w:noProof w:val="0"/>
          <w:color w:val="222222"/>
          <w:sz w:val="24"/>
          <w:szCs w:val="24"/>
          <w:lang w:val="en-GB"/>
        </w:rPr>
        <w:t>Local Government / City Council – Oversees regulatory compliance, secures funding, and ensures that public needs remain central to project decisions.</w:t>
      </w:r>
    </w:p>
    <w:p xmlns:wp14="http://schemas.microsoft.com/office/word/2010/wordml" w:rsidP="2AD4F236" wp14:paraId="674E1BC4" wp14:textId="64C67305">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AD4F236" w:rsidR="12C2AEF3">
        <w:rPr>
          <w:rFonts w:ascii="Arial" w:hAnsi="Arial" w:eastAsia="Arial" w:cs="Arial"/>
          <w:b w:val="0"/>
          <w:bCs w:val="0"/>
          <w:i w:val="0"/>
          <w:iCs w:val="0"/>
          <w:caps w:val="0"/>
          <w:smallCaps w:val="0"/>
          <w:noProof w:val="0"/>
          <w:color w:val="222222"/>
          <w:sz w:val="24"/>
          <w:szCs w:val="24"/>
          <w:lang w:val="en-GB"/>
        </w:rPr>
        <w:t>Public Transport Operators – Responsible for implementation and day-to-day functioning of the electric fleet and smart systems.</w:t>
      </w:r>
    </w:p>
    <w:p xmlns:wp14="http://schemas.microsoft.com/office/word/2010/wordml" w:rsidP="2AD4F236" wp14:paraId="6ADA7676" wp14:textId="33EE0D7C">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AD4F236" w:rsidR="12C2AEF3">
        <w:rPr>
          <w:rFonts w:ascii="Arial" w:hAnsi="Arial" w:eastAsia="Arial" w:cs="Arial"/>
          <w:b w:val="0"/>
          <w:bCs w:val="0"/>
          <w:i w:val="0"/>
          <w:iCs w:val="0"/>
          <w:caps w:val="0"/>
          <w:smallCaps w:val="0"/>
          <w:noProof w:val="0"/>
          <w:color w:val="222222"/>
          <w:sz w:val="24"/>
          <w:szCs w:val="24"/>
          <w:lang w:val="en-GB"/>
        </w:rPr>
        <w:t>Citizens and Commuters – Direct beneficiaries who rely on reliable, safe, and affordable public transport services.</w:t>
      </w:r>
    </w:p>
    <w:p xmlns:wp14="http://schemas.microsoft.com/office/word/2010/wordml" w:rsidP="2AD4F236" wp14:paraId="29724739" wp14:textId="229BABFF">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AD4F236" w:rsidR="12C2AEF3">
        <w:rPr>
          <w:rFonts w:ascii="Arial" w:hAnsi="Arial" w:eastAsia="Arial" w:cs="Arial"/>
          <w:b w:val="0"/>
          <w:bCs w:val="0"/>
          <w:i w:val="0"/>
          <w:iCs w:val="0"/>
          <w:caps w:val="0"/>
          <w:smallCaps w:val="0"/>
          <w:noProof w:val="0"/>
          <w:color w:val="222222"/>
          <w:sz w:val="24"/>
          <w:szCs w:val="24"/>
          <w:lang w:val="en-GB"/>
        </w:rPr>
        <w:t>Technology Providers – Offer digital infrastructure including sensors, analytics platforms, and cybersecurity systems.</w:t>
      </w:r>
    </w:p>
    <w:p xmlns:wp14="http://schemas.microsoft.com/office/word/2010/wordml" w:rsidP="2AD4F236" wp14:paraId="703BFDA2" wp14:textId="15862646">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AD4F236" w:rsidR="12C2AEF3">
        <w:rPr>
          <w:rFonts w:ascii="Arial" w:hAnsi="Arial" w:eastAsia="Arial" w:cs="Arial"/>
          <w:b w:val="0"/>
          <w:bCs w:val="0"/>
          <w:i w:val="0"/>
          <w:iCs w:val="0"/>
          <w:caps w:val="0"/>
          <w:smallCaps w:val="0"/>
          <w:noProof w:val="0"/>
          <w:color w:val="222222"/>
          <w:sz w:val="24"/>
          <w:szCs w:val="24"/>
          <w:lang w:val="en-GB"/>
        </w:rPr>
        <w:t>Environmental Agencies – Monitor emissions and sustainability performance to support compliance with environmental policy.</w:t>
      </w:r>
    </w:p>
    <w:p xmlns:wp14="http://schemas.microsoft.com/office/word/2010/wordml" w:rsidP="2AD4F236" wp14:paraId="608E9BFA" wp14:textId="4E8936E1">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AD4F236" w:rsidR="12C2AEF3">
        <w:rPr>
          <w:rFonts w:ascii="Arial" w:hAnsi="Arial" w:eastAsia="Arial" w:cs="Arial"/>
          <w:b w:val="0"/>
          <w:bCs w:val="0"/>
          <w:i w:val="0"/>
          <w:iCs w:val="0"/>
          <w:caps w:val="0"/>
          <w:smallCaps w:val="0"/>
          <w:noProof w:val="0"/>
          <w:color w:val="222222"/>
          <w:sz w:val="24"/>
          <w:szCs w:val="24"/>
          <w:lang w:val="en-GB"/>
        </w:rPr>
        <w:t>Funding Bodies / Investors – Provide financial capital and expect responsible governance, transparency, and measurable social and environmental outcomes.</w:t>
      </w:r>
    </w:p>
    <w:p xmlns:wp14="http://schemas.microsoft.com/office/word/2010/wordml" w:rsidP="2AD4F236" wp14:paraId="79DB991F" wp14:textId="41F731ED">
      <w:pPr>
        <w:shd w:val="clear" w:color="auto" w:fill="FFFFFF" w:themeFill="background1"/>
        <w:spacing w:before="195" w:beforeAutospacing="off" w:after="195" w:afterAutospacing="off"/>
      </w:pPr>
    </w:p>
    <w:p xmlns:wp14="http://schemas.microsoft.com/office/word/2010/wordml" w:rsidP="2AD4F236" wp14:paraId="58494449" wp14:textId="2745D3A1">
      <w:pPr>
        <w:shd w:val="clear" w:color="auto" w:fill="FFFFFF" w:themeFill="background1"/>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Given the varied motivations and expectations of these stakeholders, the success of the SETMS will depend heavily on a strategic and inclusive stakeholder management plan that maintains trust, minimises conflict, and creates shared value across the transport ecosystem.</w:t>
      </w:r>
    </w:p>
    <w:p xmlns:wp14="http://schemas.microsoft.com/office/word/2010/wordml" wp14:paraId="3EA60E5C" wp14:textId="4798C5BD"/>
    <w:p xmlns:wp14="http://schemas.microsoft.com/office/word/2010/wordml" w:rsidP="2AD4F236" wp14:paraId="32F4DE1B" wp14:textId="7322116E">
      <w:pPr>
        <w:pStyle w:val="Heading1"/>
        <w:shd w:val="clear" w:color="auto" w:fill="FFFFFF" w:themeFill="background1"/>
        <w:spacing w:before="322" w:beforeAutospacing="off" w:after="322" w:afterAutospacing="off"/>
      </w:pPr>
      <w:r w:rsidRPr="2AD4F236" w:rsidR="12C2AEF3">
        <w:rPr>
          <w:rFonts w:ascii="Arial" w:hAnsi="Arial" w:eastAsia="Arial" w:cs="Arial"/>
          <w:b w:val="1"/>
          <w:bCs w:val="1"/>
          <w:i w:val="0"/>
          <w:iCs w:val="0"/>
          <w:caps w:val="0"/>
          <w:smallCaps w:val="0"/>
          <w:noProof w:val="0"/>
          <w:color w:val="222222"/>
          <w:sz w:val="48"/>
          <w:szCs w:val="48"/>
          <w:lang w:val="en-GB"/>
        </w:rPr>
        <w:t>Application – Stakeholder Engagement Strategies</w:t>
      </w:r>
      <w:r w:rsidRPr="2AD4F236" w:rsidR="58D9A62E">
        <w:rPr>
          <w:rFonts w:ascii="Arial" w:hAnsi="Arial" w:eastAsia="Arial" w:cs="Arial"/>
          <w:b w:val="1"/>
          <w:bCs w:val="1"/>
          <w:i w:val="0"/>
          <w:iCs w:val="0"/>
          <w:caps w:val="0"/>
          <w:smallCaps w:val="0"/>
          <w:noProof w:val="0"/>
          <w:color w:val="222222"/>
          <w:sz w:val="48"/>
          <w:szCs w:val="48"/>
          <w:lang w:val="en-GB"/>
        </w:rPr>
        <w:t>:</w:t>
      </w:r>
    </w:p>
    <w:p xmlns:wp14="http://schemas.microsoft.com/office/word/2010/wordml" w:rsidP="2AD4F236" wp14:paraId="0A086B7A" wp14:textId="71475034">
      <w:pPr>
        <w:shd w:val="clear" w:color="auto" w:fill="FFFFFF" w:themeFill="background1"/>
        <w:spacing w:before="195" w:beforeAutospacing="off" w:after="195" w:afterAutospacing="off"/>
      </w:pPr>
    </w:p>
    <w:p xmlns:wp14="http://schemas.microsoft.com/office/word/2010/wordml" w:rsidP="2AD4F236" wp14:paraId="3C56510B" wp14:textId="16F46DE8">
      <w:pPr>
        <w:shd w:val="clear" w:color="auto" w:fill="FFFFFF" w:themeFill="background1"/>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xml:space="preserve">Effective stakeholder engagement is critical for large-scale infrastructure programmes, especially when they introduce both technological disruption and behavioural change. The SETMS requires careful coordination among stakeholders who may have </w:t>
      </w:r>
      <w:r w:rsidRPr="2AD4F236" w:rsidR="0BF49557">
        <w:rPr>
          <w:rFonts w:ascii="Arial" w:hAnsi="Arial" w:eastAsia="Arial" w:cs="Arial"/>
          <w:b w:val="0"/>
          <w:bCs w:val="0"/>
          <w:i w:val="0"/>
          <w:iCs w:val="0"/>
          <w:caps w:val="0"/>
          <w:smallCaps w:val="0"/>
          <w:noProof w:val="0"/>
          <w:color w:val="222222"/>
          <w:sz w:val="24"/>
          <w:szCs w:val="24"/>
          <w:lang w:val="en-GB"/>
        </w:rPr>
        <w:t>overlapped</w:t>
      </w:r>
      <w:r w:rsidRPr="2AD4F236" w:rsidR="12C2AEF3">
        <w:rPr>
          <w:rFonts w:ascii="Arial" w:hAnsi="Arial" w:eastAsia="Arial" w:cs="Arial"/>
          <w:b w:val="0"/>
          <w:bCs w:val="0"/>
          <w:i w:val="0"/>
          <w:iCs w:val="0"/>
          <w:caps w:val="0"/>
          <w:smallCaps w:val="0"/>
          <w:noProof w:val="0"/>
          <w:color w:val="222222"/>
          <w:sz w:val="24"/>
          <w:szCs w:val="24"/>
          <w:lang w:val="en-GB"/>
        </w:rPr>
        <w:t xml:space="preserve"> or competing interests. The following section outlines a detailed analysis of each stakeholder’s power, interest, and influence, followed by a mapping exercise and a comprehensive communication and consultation strategy.</w:t>
      </w:r>
    </w:p>
    <w:p xmlns:wp14="http://schemas.microsoft.com/office/word/2010/wordml" w:rsidP="2AD4F236" wp14:paraId="11BD7980" wp14:textId="76960ACC">
      <w:pPr>
        <w:shd w:val="clear" w:color="auto" w:fill="FFFFFF" w:themeFill="background1"/>
        <w:spacing w:before="195" w:beforeAutospacing="off" w:after="195" w:afterAutospacing="off"/>
      </w:pPr>
    </w:p>
    <w:p xmlns:wp14="http://schemas.microsoft.com/office/word/2010/wordml" w:rsidP="2AD4F236" wp14:paraId="654882F2" wp14:textId="360249BB">
      <w:pPr>
        <w:pStyle w:val="Heading2"/>
        <w:shd w:val="clear" w:color="auto" w:fill="FFFFFF" w:themeFill="background1"/>
        <w:spacing w:before="243" w:beforeAutospacing="off" w:after="243" w:afterAutospacing="off"/>
      </w:pPr>
      <w:r w:rsidRPr="2AD4F236" w:rsidR="12C2AEF3">
        <w:rPr>
          <w:rFonts w:ascii="Arial" w:hAnsi="Arial" w:eastAsia="Arial" w:cs="Arial"/>
          <w:b w:val="1"/>
          <w:bCs w:val="1"/>
          <w:i w:val="0"/>
          <w:iCs w:val="0"/>
          <w:caps w:val="0"/>
          <w:smallCaps w:val="0"/>
          <w:noProof w:val="0"/>
          <w:color w:val="222222"/>
          <w:sz w:val="29"/>
          <w:szCs w:val="29"/>
          <w:lang w:val="en-GB"/>
        </w:rPr>
        <w:t>Power, Influence, and Interest Table</w:t>
      </w:r>
    </w:p>
    <w:tbl>
      <w:tblPr>
        <w:tblStyle w:val="PlainTable1"/>
        <w:bidiVisual w:val="0"/>
        <w:tblW w:w="0" w:type="auto"/>
        <w:tblLook w:val="06A0" w:firstRow="1" w:lastRow="0" w:firstColumn="1" w:lastColumn="0" w:noHBand="1" w:noVBand="1"/>
      </w:tblPr>
      <w:tblGrid>
        <w:gridCol w:w="2183"/>
        <w:gridCol w:w="780"/>
        <w:gridCol w:w="356"/>
        <w:gridCol w:w="1144"/>
        <w:gridCol w:w="4552"/>
      </w:tblGrid>
      <w:tr w:rsidR="2AD4F236" w:rsidTr="2AD4F236" w14:paraId="673FF9E7">
        <w:trPr>
          <w:trHeight w:val="300"/>
        </w:trPr>
        <w:tc>
          <w:tcPr>
            <w:cnfStyle w:val="001000000000" w:firstRow="0" w:lastRow="0" w:firstColumn="1" w:lastColumn="0" w:oddVBand="0" w:evenVBand="0" w:oddHBand="0" w:evenHBand="0" w:firstRowFirstColumn="0" w:firstRowLastColumn="0" w:lastRowFirstColumn="0" w:lastRowLastColumn="0"/>
            <w:tcW w:w="2183" w:type="dxa"/>
            <w:tcMar/>
          </w:tcPr>
          <w:p w:rsidR="2AD4F236" w:rsidP="2AD4F236" w:rsidRDefault="2AD4F236" w14:paraId="5F51363E" w14:textId="6279C535">
            <w:pPr>
              <w:shd w:val="clear" w:color="auto" w:fill="FFFFFF" w:themeFill="background1"/>
              <w:spacing w:before="240" w:beforeAutospacing="off" w:after="240" w:afterAutospacing="off"/>
              <w:jc w:val="center"/>
            </w:pPr>
            <w:r w:rsidRPr="2AD4F236" w:rsidR="2AD4F236">
              <w:rPr>
                <w:b w:val="1"/>
                <w:bCs w:val="1"/>
              </w:rPr>
              <w:t>Stakeholder Group</w:t>
            </w:r>
          </w:p>
        </w:tc>
        <w:tc>
          <w:tcPr>
            <w:cnfStyle w:val="000000000000" w:firstRow="0" w:lastRow="0" w:firstColumn="0" w:lastColumn="0" w:oddVBand="0" w:evenVBand="0" w:oddHBand="0" w:evenHBand="0" w:firstRowFirstColumn="0" w:firstRowLastColumn="0" w:lastRowFirstColumn="0" w:lastRowLastColumn="0"/>
            <w:tcW w:w="780" w:type="dxa"/>
            <w:tcMar/>
          </w:tcPr>
          <w:p w:rsidR="2AD4F236" w:rsidP="2AD4F236" w:rsidRDefault="2AD4F236" w14:paraId="5DCF69A0" w14:textId="3FA88A26">
            <w:pPr>
              <w:shd w:val="clear" w:color="auto" w:fill="FFFFFF" w:themeFill="background1"/>
              <w:spacing w:before="240" w:beforeAutospacing="off" w:after="240" w:afterAutospacing="off"/>
              <w:jc w:val="center"/>
            </w:pPr>
            <w:r w:rsidRPr="2AD4F236" w:rsidR="2AD4F236">
              <w:rPr>
                <w:b w:val="1"/>
                <w:bCs w:val="1"/>
              </w:rPr>
              <w:t>Power</w:t>
            </w:r>
          </w:p>
        </w:tc>
        <w:tc>
          <w:tcPr>
            <w:cnfStyle w:val="000000000000" w:firstRow="0" w:lastRow="0" w:firstColumn="0" w:lastColumn="0" w:oddVBand="0" w:evenVBand="0" w:oddHBand="0" w:evenHBand="0" w:firstRowFirstColumn="0" w:firstRowLastColumn="0" w:lastRowFirstColumn="0" w:lastRowLastColumn="0"/>
            <w:tcW w:w="356" w:type="dxa"/>
            <w:tcMar/>
          </w:tcPr>
          <w:p w:rsidR="2AD4F236" w:rsidP="2AD4F236" w:rsidRDefault="2AD4F236" w14:paraId="490FD394" w14:textId="307374F9">
            <w:pPr>
              <w:shd w:val="clear" w:color="auto" w:fill="FFFFFF" w:themeFill="background1"/>
              <w:spacing w:before="240" w:beforeAutospacing="off" w:after="240" w:afterAutospacing="off"/>
              <w:jc w:val="center"/>
            </w:pPr>
            <w:r w:rsidRPr="2AD4F236" w:rsidR="2AD4F236">
              <w:rPr>
                <w:b w:val="1"/>
                <w:bCs w:val="1"/>
              </w:rPr>
              <w:t>Interest</w:t>
            </w:r>
          </w:p>
        </w:tc>
        <w:tc>
          <w:tcPr>
            <w:cnfStyle w:val="000000000000" w:firstRow="0" w:lastRow="0" w:firstColumn="0" w:lastColumn="0" w:oddVBand="0" w:evenVBand="0" w:oddHBand="0" w:evenHBand="0" w:firstRowFirstColumn="0" w:firstRowLastColumn="0" w:lastRowFirstColumn="0" w:lastRowLastColumn="0"/>
            <w:tcW w:w="1144" w:type="dxa"/>
            <w:tcMar/>
          </w:tcPr>
          <w:p w:rsidR="2AD4F236" w:rsidP="2AD4F236" w:rsidRDefault="2AD4F236" w14:paraId="2F5E6A2F" w14:textId="6620ACA5">
            <w:pPr>
              <w:shd w:val="clear" w:color="auto" w:fill="FFFFFF" w:themeFill="background1"/>
              <w:spacing w:before="240" w:beforeAutospacing="off" w:after="240" w:afterAutospacing="off"/>
              <w:jc w:val="center"/>
            </w:pPr>
            <w:r w:rsidRPr="2AD4F236" w:rsidR="2AD4F236">
              <w:rPr>
                <w:b w:val="1"/>
                <w:bCs w:val="1"/>
              </w:rPr>
              <w:t>Influence Level</w:t>
            </w:r>
          </w:p>
        </w:tc>
        <w:tc>
          <w:tcPr>
            <w:cnfStyle w:val="000000000000" w:firstRow="0" w:lastRow="0" w:firstColumn="0" w:lastColumn="0" w:oddVBand="0" w:evenVBand="0" w:oddHBand="0" w:evenHBand="0" w:firstRowFirstColumn="0" w:firstRowLastColumn="0" w:lastRowFirstColumn="0" w:lastRowLastColumn="0"/>
            <w:tcW w:w="4552" w:type="dxa"/>
            <w:tcMar/>
          </w:tcPr>
          <w:p w:rsidR="2AD4F236" w:rsidP="2AD4F236" w:rsidRDefault="2AD4F236" w14:paraId="3BE23B68" w14:textId="51A959D1">
            <w:pPr>
              <w:shd w:val="clear" w:color="auto" w:fill="FFFFFF" w:themeFill="background1"/>
              <w:spacing w:before="240" w:beforeAutospacing="off" w:after="240" w:afterAutospacing="off"/>
              <w:jc w:val="center"/>
            </w:pPr>
            <w:r w:rsidRPr="2AD4F236" w:rsidR="2AD4F236">
              <w:rPr>
                <w:b w:val="1"/>
                <w:bCs w:val="1"/>
              </w:rPr>
              <w:t>Justification</w:t>
            </w:r>
          </w:p>
        </w:tc>
      </w:tr>
      <w:tr w:rsidR="2AD4F236" w:rsidTr="2AD4F236" w14:paraId="0E63ECA8">
        <w:trPr>
          <w:trHeight w:val="300"/>
        </w:trPr>
        <w:tc>
          <w:tcPr>
            <w:cnfStyle w:val="001000000000" w:firstRow="0" w:lastRow="0" w:firstColumn="1" w:lastColumn="0" w:oddVBand="0" w:evenVBand="0" w:oddHBand="0" w:evenHBand="0" w:firstRowFirstColumn="0" w:firstRowLastColumn="0" w:lastRowFirstColumn="0" w:lastRowLastColumn="0"/>
            <w:tcW w:w="2183" w:type="dxa"/>
            <w:tcMar/>
          </w:tcPr>
          <w:p w:rsidR="2AD4F236" w:rsidP="2AD4F236" w:rsidRDefault="2AD4F236" w14:paraId="066F6F7B" w14:textId="21F43C8A">
            <w:pPr>
              <w:shd w:val="clear" w:color="auto" w:fill="FFFFFF" w:themeFill="background1"/>
              <w:spacing w:before="240" w:beforeAutospacing="off" w:after="240" w:afterAutospacing="off"/>
            </w:pPr>
            <w:r w:rsidR="2AD4F236">
              <w:rPr/>
              <w:t>Local Government/City Council</w:t>
            </w:r>
          </w:p>
        </w:tc>
        <w:tc>
          <w:tcPr>
            <w:cnfStyle w:val="000000000000" w:firstRow="0" w:lastRow="0" w:firstColumn="0" w:lastColumn="0" w:oddVBand="0" w:evenVBand="0" w:oddHBand="0" w:evenHBand="0" w:firstRowFirstColumn="0" w:firstRowLastColumn="0" w:lastRowFirstColumn="0" w:lastRowLastColumn="0"/>
            <w:tcW w:w="780" w:type="dxa"/>
            <w:tcMar/>
          </w:tcPr>
          <w:p w:rsidR="2AD4F236" w:rsidP="2AD4F236" w:rsidRDefault="2AD4F236" w14:paraId="60188542" w14:textId="0117C070">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356" w:type="dxa"/>
            <w:tcMar/>
          </w:tcPr>
          <w:p w:rsidR="2AD4F236" w:rsidP="2AD4F236" w:rsidRDefault="2AD4F236" w14:paraId="5EF3374E" w14:textId="28A76D0C">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1144" w:type="dxa"/>
            <w:tcMar/>
          </w:tcPr>
          <w:p w:rsidR="2AD4F236" w:rsidP="2AD4F236" w:rsidRDefault="2AD4F236" w14:paraId="37C38F3F" w14:textId="23E578FA">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4552" w:type="dxa"/>
            <w:tcMar/>
          </w:tcPr>
          <w:p w:rsidR="2AD4F236" w:rsidP="2AD4F236" w:rsidRDefault="2AD4F236" w14:paraId="108FEB09" w14:textId="4CEA37EB">
            <w:pPr>
              <w:shd w:val="clear" w:color="auto" w:fill="FFFFFF" w:themeFill="background1"/>
              <w:spacing w:before="240" w:beforeAutospacing="off" w:after="240" w:afterAutospacing="off"/>
            </w:pPr>
            <w:r w:rsidR="2AD4F236">
              <w:rPr/>
              <w:t>Controls funding, regulatory approvals, and strategic direction.</w:t>
            </w:r>
          </w:p>
        </w:tc>
      </w:tr>
      <w:tr w:rsidR="2AD4F236" w:rsidTr="2AD4F236" w14:paraId="32A3140E">
        <w:trPr>
          <w:trHeight w:val="300"/>
        </w:trPr>
        <w:tc>
          <w:tcPr>
            <w:cnfStyle w:val="001000000000" w:firstRow="0" w:lastRow="0" w:firstColumn="1" w:lastColumn="0" w:oddVBand="0" w:evenVBand="0" w:oddHBand="0" w:evenHBand="0" w:firstRowFirstColumn="0" w:firstRowLastColumn="0" w:lastRowFirstColumn="0" w:lastRowLastColumn="0"/>
            <w:tcW w:w="2183" w:type="dxa"/>
            <w:tcMar/>
          </w:tcPr>
          <w:p w:rsidR="2AD4F236" w:rsidP="2AD4F236" w:rsidRDefault="2AD4F236" w14:paraId="03733AA5" w14:textId="0349F29B">
            <w:pPr>
              <w:shd w:val="clear" w:color="auto" w:fill="FFFFFF" w:themeFill="background1"/>
              <w:spacing w:before="240" w:beforeAutospacing="off" w:after="240" w:afterAutospacing="off"/>
            </w:pPr>
            <w:r w:rsidR="2AD4F236">
              <w:rPr/>
              <w:t>Public Transport Operators</w:t>
            </w:r>
          </w:p>
        </w:tc>
        <w:tc>
          <w:tcPr>
            <w:cnfStyle w:val="000000000000" w:firstRow="0" w:lastRow="0" w:firstColumn="0" w:lastColumn="0" w:oddVBand="0" w:evenVBand="0" w:oddHBand="0" w:evenHBand="0" w:firstRowFirstColumn="0" w:firstRowLastColumn="0" w:lastRowFirstColumn="0" w:lastRowLastColumn="0"/>
            <w:tcW w:w="780" w:type="dxa"/>
            <w:tcMar/>
          </w:tcPr>
          <w:p w:rsidR="2AD4F236" w:rsidP="2AD4F236" w:rsidRDefault="2AD4F236" w14:paraId="745AE37B" w14:textId="6311BFA7">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356" w:type="dxa"/>
            <w:tcMar/>
          </w:tcPr>
          <w:p w:rsidR="2AD4F236" w:rsidP="2AD4F236" w:rsidRDefault="2AD4F236" w14:paraId="6989ABD7" w14:textId="5FA58316">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1144" w:type="dxa"/>
            <w:tcMar/>
          </w:tcPr>
          <w:p w:rsidR="2AD4F236" w:rsidP="2AD4F236" w:rsidRDefault="2AD4F236" w14:paraId="644401DB" w14:textId="5780C04B">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4552" w:type="dxa"/>
            <w:tcMar/>
          </w:tcPr>
          <w:p w:rsidR="2AD4F236" w:rsidP="2AD4F236" w:rsidRDefault="2AD4F236" w14:paraId="2D7DBA38" w14:textId="5D9009A9">
            <w:pPr>
              <w:shd w:val="clear" w:color="auto" w:fill="FFFFFF" w:themeFill="background1"/>
              <w:spacing w:before="240" w:beforeAutospacing="off" w:after="240" w:afterAutospacing="off"/>
            </w:pPr>
            <w:r w:rsidR="2AD4F236">
              <w:rPr/>
              <w:t>Operate fleet daily; performance depends on their cooperation.</w:t>
            </w:r>
          </w:p>
        </w:tc>
      </w:tr>
      <w:tr w:rsidR="2AD4F236" w:rsidTr="2AD4F236" w14:paraId="6661D9B5">
        <w:trPr>
          <w:trHeight w:val="300"/>
        </w:trPr>
        <w:tc>
          <w:tcPr>
            <w:cnfStyle w:val="001000000000" w:firstRow="0" w:lastRow="0" w:firstColumn="1" w:lastColumn="0" w:oddVBand="0" w:evenVBand="0" w:oddHBand="0" w:evenHBand="0" w:firstRowFirstColumn="0" w:firstRowLastColumn="0" w:lastRowFirstColumn="0" w:lastRowLastColumn="0"/>
            <w:tcW w:w="2183" w:type="dxa"/>
            <w:tcMar/>
          </w:tcPr>
          <w:p w:rsidR="2AD4F236" w:rsidP="2AD4F236" w:rsidRDefault="2AD4F236" w14:paraId="32F75B1E" w14:textId="4399D351">
            <w:pPr>
              <w:shd w:val="clear" w:color="auto" w:fill="FFFFFF" w:themeFill="background1"/>
              <w:spacing w:before="240" w:beforeAutospacing="off" w:after="240" w:afterAutospacing="off"/>
            </w:pPr>
            <w:r w:rsidR="2AD4F236">
              <w:rPr/>
              <w:t>Citizens/Commuters</w:t>
            </w:r>
          </w:p>
        </w:tc>
        <w:tc>
          <w:tcPr>
            <w:cnfStyle w:val="000000000000" w:firstRow="0" w:lastRow="0" w:firstColumn="0" w:lastColumn="0" w:oddVBand="0" w:evenVBand="0" w:oddHBand="0" w:evenHBand="0" w:firstRowFirstColumn="0" w:firstRowLastColumn="0" w:lastRowFirstColumn="0" w:lastRowLastColumn="0"/>
            <w:tcW w:w="780" w:type="dxa"/>
            <w:tcMar/>
          </w:tcPr>
          <w:p w:rsidR="2AD4F236" w:rsidP="2AD4F236" w:rsidRDefault="2AD4F236" w14:paraId="16DF438E" w14:textId="19651EFE">
            <w:pPr>
              <w:shd w:val="clear" w:color="auto" w:fill="FFFFFF" w:themeFill="background1"/>
              <w:spacing w:before="240" w:beforeAutospacing="off" w:after="240" w:afterAutospacing="off"/>
            </w:pPr>
            <w:r w:rsidR="2AD4F236">
              <w:rPr/>
              <w:t>Low</w:t>
            </w:r>
          </w:p>
        </w:tc>
        <w:tc>
          <w:tcPr>
            <w:cnfStyle w:val="000000000000" w:firstRow="0" w:lastRow="0" w:firstColumn="0" w:lastColumn="0" w:oddVBand="0" w:evenVBand="0" w:oddHBand="0" w:evenHBand="0" w:firstRowFirstColumn="0" w:firstRowLastColumn="0" w:lastRowFirstColumn="0" w:lastRowLastColumn="0"/>
            <w:tcW w:w="356" w:type="dxa"/>
            <w:tcMar/>
          </w:tcPr>
          <w:p w:rsidR="2AD4F236" w:rsidP="2AD4F236" w:rsidRDefault="2AD4F236" w14:paraId="443B297C" w14:textId="03FD9F76">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1144" w:type="dxa"/>
            <w:tcMar/>
          </w:tcPr>
          <w:p w:rsidR="2AD4F236" w:rsidP="2AD4F236" w:rsidRDefault="2AD4F236" w14:paraId="5C18E28F" w14:textId="06780821">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4552" w:type="dxa"/>
            <w:tcMar/>
          </w:tcPr>
          <w:p w:rsidR="2AD4F236" w:rsidP="2AD4F236" w:rsidRDefault="2AD4F236" w14:paraId="0605E735" w14:textId="13B0C74D">
            <w:pPr>
              <w:shd w:val="clear" w:color="auto" w:fill="FFFFFF" w:themeFill="background1"/>
              <w:spacing w:before="240" w:beforeAutospacing="off" w:after="240" w:afterAutospacing="off"/>
            </w:pPr>
            <w:r w:rsidR="2AD4F236">
              <w:rPr/>
              <w:t>Their usage and feedback shape policy and service adjustments.</w:t>
            </w:r>
          </w:p>
        </w:tc>
      </w:tr>
      <w:tr w:rsidR="2AD4F236" w:rsidTr="2AD4F236" w14:paraId="6D7E8A73">
        <w:trPr>
          <w:trHeight w:val="300"/>
        </w:trPr>
        <w:tc>
          <w:tcPr>
            <w:cnfStyle w:val="001000000000" w:firstRow="0" w:lastRow="0" w:firstColumn="1" w:lastColumn="0" w:oddVBand="0" w:evenVBand="0" w:oddHBand="0" w:evenHBand="0" w:firstRowFirstColumn="0" w:firstRowLastColumn="0" w:lastRowFirstColumn="0" w:lastRowLastColumn="0"/>
            <w:tcW w:w="2183" w:type="dxa"/>
            <w:tcMar/>
          </w:tcPr>
          <w:p w:rsidR="2AD4F236" w:rsidP="2AD4F236" w:rsidRDefault="2AD4F236" w14:paraId="4AF53163" w14:textId="3CF5B4D6">
            <w:pPr>
              <w:shd w:val="clear" w:color="auto" w:fill="FFFFFF" w:themeFill="background1"/>
              <w:spacing w:before="240" w:beforeAutospacing="off" w:after="240" w:afterAutospacing="off"/>
            </w:pPr>
            <w:r w:rsidR="2AD4F236">
              <w:rPr/>
              <w:t>Technology Providers</w:t>
            </w:r>
          </w:p>
        </w:tc>
        <w:tc>
          <w:tcPr>
            <w:cnfStyle w:val="000000000000" w:firstRow="0" w:lastRow="0" w:firstColumn="0" w:lastColumn="0" w:oddVBand="0" w:evenVBand="0" w:oddHBand="0" w:evenHBand="0" w:firstRowFirstColumn="0" w:firstRowLastColumn="0" w:lastRowFirstColumn="0" w:lastRowLastColumn="0"/>
            <w:tcW w:w="780" w:type="dxa"/>
            <w:tcMar/>
          </w:tcPr>
          <w:p w:rsidR="2AD4F236" w:rsidP="2AD4F236" w:rsidRDefault="2AD4F236" w14:paraId="498738C6" w14:textId="27108DA1">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356" w:type="dxa"/>
            <w:tcMar/>
          </w:tcPr>
          <w:p w:rsidR="2AD4F236" w:rsidP="2AD4F236" w:rsidRDefault="2AD4F236" w14:paraId="3C37997A" w14:textId="25C8AC6D">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1144" w:type="dxa"/>
            <w:tcMar/>
          </w:tcPr>
          <w:p w:rsidR="2AD4F236" w:rsidP="2AD4F236" w:rsidRDefault="2AD4F236" w14:paraId="7432775A" w14:textId="62300CF4">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4552" w:type="dxa"/>
            <w:tcMar/>
          </w:tcPr>
          <w:p w:rsidR="2AD4F236" w:rsidP="2AD4F236" w:rsidRDefault="2AD4F236" w14:paraId="7DD097D5" w14:textId="76175E49">
            <w:pPr>
              <w:shd w:val="clear" w:color="auto" w:fill="FFFFFF" w:themeFill="background1"/>
              <w:spacing w:before="240" w:beforeAutospacing="off" w:after="240" w:afterAutospacing="off"/>
            </w:pPr>
            <w:r w:rsidR="2AD4F236">
              <w:rPr/>
              <w:t>Provide essential systems; influence tied to technical capability.</w:t>
            </w:r>
          </w:p>
        </w:tc>
      </w:tr>
      <w:tr w:rsidR="2AD4F236" w:rsidTr="2AD4F236" w14:paraId="3C8F216F">
        <w:trPr>
          <w:trHeight w:val="300"/>
        </w:trPr>
        <w:tc>
          <w:tcPr>
            <w:cnfStyle w:val="001000000000" w:firstRow="0" w:lastRow="0" w:firstColumn="1" w:lastColumn="0" w:oddVBand="0" w:evenVBand="0" w:oddHBand="0" w:evenHBand="0" w:firstRowFirstColumn="0" w:firstRowLastColumn="0" w:lastRowFirstColumn="0" w:lastRowLastColumn="0"/>
            <w:tcW w:w="2183" w:type="dxa"/>
            <w:tcMar/>
          </w:tcPr>
          <w:p w:rsidR="2AD4F236" w:rsidP="2AD4F236" w:rsidRDefault="2AD4F236" w14:paraId="327006B1" w14:textId="4AFCBCFB">
            <w:pPr>
              <w:shd w:val="clear" w:color="auto" w:fill="FFFFFF" w:themeFill="background1"/>
              <w:spacing w:before="240" w:beforeAutospacing="off" w:after="240" w:afterAutospacing="off"/>
            </w:pPr>
            <w:r w:rsidR="2AD4F236">
              <w:rPr/>
              <w:t>Environmental Agencies</w:t>
            </w:r>
          </w:p>
        </w:tc>
        <w:tc>
          <w:tcPr>
            <w:cnfStyle w:val="000000000000" w:firstRow="0" w:lastRow="0" w:firstColumn="0" w:lastColumn="0" w:oddVBand="0" w:evenVBand="0" w:oddHBand="0" w:evenHBand="0" w:firstRowFirstColumn="0" w:firstRowLastColumn="0" w:lastRowFirstColumn="0" w:lastRowLastColumn="0"/>
            <w:tcW w:w="780" w:type="dxa"/>
            <w:tcMar/>
          </w:tcPr>
          <w:p w:rsidR="2AD4F236" w:rsidP="2AD4F236" w:rsidRDefault="2AD4F236" w14:paraId="7ACCCC66" w14:textId="438816A1">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356" w:type="dxa"/>
            <w:tcMar/>
          </w:tcPr>
          <w:p w:rsidR="2AD4F236" w:rsidP="2AD4F236" w:rsidRDefault="2AD4F236" w14:paraId="06F9A3F5" w14:textId="5776F26F">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1144" w:type="dxa"/>
            <w:tcMar/>
          </w:tcPr>
          <w:p w:rsidR="2AD4F236" w:rsidP="2AD4F236" w:rsidRDefault="2AD4F236" w14:paraId="4761CAD0" w14:textId="20423520">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4552" w:type="dxa"/>
            <w:tcMar/>
          </w:tcPr>
          <w:p w:rsidR="2AD4F236" w:rsidP="2AD4F236" w:rsidRDefault="2AD4F236" w14:paraId="1D416321" w14:textId="5462B2C3">
            <w:pPr>
              <w:shd w:val="clear" w:color="auto" w:fill="FFFFFF" w:themeFill="background1"/>
              <w:spacing w:before="240" w:beforeAutospacing="off" w:after="240" w:afterAutospacing="off"/>
            </w:pPr>
            <w:r w:rsidR="2AD4F236">
              <w:rPr/>
              <w:t>Guide sustainability compliance and environmental performance.</w:t>
            </w:r>
          </w:p>
        </w:tc>
      </w:tr>
      <w:tr w:rsidR="2AD4F236" w:rsidTr="2AD4F236" w14:paraId="0322A7A6">
        <w:trPr>
          <w:trHeight w:val="3694"/>
        </w:trPr>
        <w:tc>
          <w:tcPr>
            <w:cnfStyle w:val="001000000000" w:firstRow="0" w:lastRow="0" w:firstColumn="1" w:lastColumn="0" w:oddVBand="0" w:evenVBand="0" w:oddHBand="0" w:evenHBand="0" w:firstRowFirstColumn="0" w:firstRowLastColumn="0" w:lastRowFirstColumn="0" w:lastRowLastColumn="0"/>
            <w:tcW w:w="2183" w:type="dxa"/>
            <w:tcMar/>
          </w:tcPr>
          <w:p w:rsidR="2AD4F236" w:rsidP="2AD4F236" w:rsidRDefault="2AD4F236" w14:paraId="18952E6F" w14:textId="7FE0EA9F">
            <w:pPr>
              <w:shd w:val="clear" w:color="auto" w:fill="FFFFFF" w:themeFill="background1"/>
              <w:spacing w:before="240" w:beforeAutospacing="off" w:after="240" w:afterAutospacing="off"/>
            </w:pPr>
            <w:r w:rsidR="2AD4F236">
              <w:rPr/>
              <w:t>Investors/Funding Bodies</w:t>
            </w:r>
          </w:p>
        </w:tc>
        <w:tc>
          <w:tcPr>
            <w:cnfStyle w:val="000000000000" w:firstRow="0" w:lastRow="0" w:firstColumn="0" w:lastColumn="0" w:oddVBand="0" w:evenVBand="0" w:oddHBand="0" w:evenHBand="0" w:firstRowFirstColumn="0" w:firstRowLastColumn="0" w:lastRowFirstColumn="0" w:lastRowLastColumn="0"/>
            <w:tcW w:w="780" w:type="dxa"/>
            <w:tcMar/>
          </w:tcPr>
          <w:p w:rsidR="2AD4F236" w:rsidP="2AD4F236" w:rsidRDefault="2AD4F236" w14:paraId="16AE81B1" w14:textId="4D4C57AA">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356" w:type="dxa"/>
            <w:tcMar/>
          </w:tcPr>
          <w:p w:rsidR="2AD4F236" w:rsidP="2AD4F236" w:rsidRDefault="2AD4F236" w14:paraId="39866A8E" w14:textId="33258CA2">
            <w:pPr>
              <w:shd w:val="clear" w:color="auto" w:fill="FFFFFF" w:themeFill="background1"/>
              <w:spacing w:before="240" w:beforeAutospacing="off" w:after="240" w:afterAutospacing="off"/>
            </w:pPr>
            <w:r w:rsidR="2AD4F236">
              <w:rPr/>
              <w:t>Medium</w:t>
            </w:r>
          </w:p>
        </w:tc>
        <w:tc>
          <w:tcPr>
            <w:cnfStyle w:val="000000000000" w:firstRow="0" w:lastRow="0" w:firstColumn="0" w:lastColumn="0" w:oddVBand="0" w:evenVBand="0" w:oddHBand="0" w:evenHBand="0" w:firstRowFirstColumn="0" w:firstRowLastColumn="0" w:lastRowFirstColumn="0" w:lastRowLastColumn="0"/>
            <w:tcW w:w="1144" w:type="dxa"/>
            <w:tcMar/>
          </w:tcPr>
          <w:p w:rsidR="2AD4F236" w:rsidP="2AD4F236" w:rsidRDefault="2AD4F236" w14:paraId="1767F5D2" w14:textId="2F70649C">
            <w:pPr>
              <w:shd w:val="clear" w:color="auto" w:fill="FFFFFF" w:themeFill="background1"/>
              <w:spacing w:before="240" w:beforeAutospacing="off" w:after="240" w:afterAutospacing="off"/>
            </w:pPr>
            <w:r w:rsidR="2AD4F236">
              <w:rPr/>
              <w:t>High</w:t>
            </w:r>
          </w:p>
        </w:tc>
        <w:tc>
          <w:tcPr>
            <w:cnfStyle w:val="000000000000" w:firstRow="0" w:lastRow="0" w:firstColumn="0" w:lastColumn="0" w:oddVBand="0" w:evenVBand="0" w:oddHBand="0" w:evenHBand="0" w:firstRowFirstColumn="0" w:firstRowLastColumn="0" w:lastRowFirstColumn="0" w:lastRowLastColumn="0"/>
            <w:tcW w:w="4552" w:type="dxa"/>
            <w:tcMar/>
          </w:tcPr>
          <w:p w:rsidR="2AD4F236" w:rsidP="2AD4F236" w:rsidRDefault="2AD4F236" w14:paraId="06520656" w14:textId="3D64C903">
            <w:pPr>
              <w:shd w:val="clear" w:color="auto" w:fill="FFFFFF" w:themeFill="background1"/>
              <w:spacing w:before="240" w:beforeAutospacing="off" w:after="240" w:afterAutospacing="off"/>
            </w:pPr>
            <w:r w:rsidR="2AD4F236">
              <w:rPr/>
              <w:t>Provide crucial financing and expect transparent reporting.</w:t>
            </w:r>
          </w:p>
          <w:p w:rsidR="2AD4F236" w:rsidP="2AD4F236" w:rsidRDefault="2AD4F236" w14:paraId="4022E72B" w14:textId="11CA8FD9">
            <w:pPr>
              <w:shd w:val="clear" w:color="auto" w:fill="FFFFFF" w:themeFill="background1"/>
              <w:spacing w:before="240" w:beforeAutospacing="off" w:after="240" w:afterAutospacing="off"/>
            </w:pPr>
          </w:p>
          <w:p w:rsidR="2AD4F236" w:rsidP="2AD4F236" w:rsidRDefault="2AD4F236" w14:paraId="30B6E44C" w14:textId="7AFDBB9D">
            <w:pPr>
              <w:shd w:val="clear" w:color="auto" w:fill="FFFFFF" w:themeFill="background1"/>
              <w:spacing w:before="240" w:beforeAutospacing="off" w:after="240" w:afterAutospacing="off"/>
            </w:pPr>
          </w:p>
          <w:p w:rsidR="2AD4F236" w:rsidP="2AD4F236" w:rsidRDefault="2AD4F236" w14:paraId="26673E02" w14:textId="05125CF0">
            <w:pPr>
              <w:shd w:val="clear" w:color="auto" w:fill="FFFFFF" w:themeFill="background1"/>
              <w:spacing w:before="240" w:beforeAutospacing="off" w:after="240" w:afterAutospacing="off"/>
            </w:pPr>
          </w:p>
          <w:p w:rsidR="2AD4F236" w:rsidP="2AD4F236" w:rsidRDefault="2AD4F236" w14:paraId="5CF7F5A3" w14:textId="07016CA7">
            <w:pPr>
              <w:shd w:val="clear" w:color="auto" w:fill="FFFFFF" w:themeFill="background1"/>
              <w:spacing w:before="240" w:beforeAutospacing="off" w:after="240" w:afterAutospacing="off"/>
            </w:pPr>
          </w:p>
          <w:p w:rsidR="2AD4F236" w:rsidP="2AD4F236" w:rsidRDefault="2AD4F236" w14:paraId="262EE09F" w14:textId="0025BB91">
            <w:pPr>
              <w:shd w:val="clear" w:color="auto" w:fill="FFFFFF" w:themeFill="background1"/>
              <w:spacing w:before="240" w:beforeAutospacing="off" w:after="240" w:afterAutospacing="off"/>
            </w:pPr>
          </w:p>
          <w:p w:rsidR="2AD4F236" w:rsidP="2AD4F236" w:rsidRDefault="2AD4F236" w14:paraId="39C90C0D" w14:textId="338B706C">
            <w:pPr>
              <w:shd w:val="clear" w:color="auto" w:fill="FFFFFF" w:themeFill="background1"/>
              <w:spacing w:before="240" w:beforeAutospacing="off" w:after="240" w:afterAutospacing="off"/>
            </w:pPr>
          </w:p>
          <w:p w:rsidR="2AD4F236" w:rsidP="2AD4F236" w:rsidRDefault="2AD4F236" w14:paraId="38C10DEA" w14:textId="012AB78D">
            <w:pPr>
              <w:shd w:val="clear" w:color="auto" w:fill="FFFFFF" w:themeFill="background1"/>
              <w:spacing w:before="240" w:beforeAutospacing="off" w:after="240" w:afterAutospacing="off"/>
            </w:pPr>
          </w:p>
        </w:tc>
      </w:tr>
    </w:tbl>
    <w:p xmlns:wp14="http://schemas.microsoft.com/office/word/2010/wordml" w:rsidP="2AD4F236" wp14:paraId="50E120D4" wp14:textId="59C4A4B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table highlights that while citizens may not have formal power, their influence is high: poor user adoption or negative public sentiment can significantly disrupt implementation. Local government and investors have both high power and high influence due to their financial and regulatory oversight.</w:t>
      </w:r>
    </w:p>
    <w:p xmlns:wp14="http://schemas.microsoft.com/office/word/2010/wordml" w:rsidP="2AD4F236" wp14:paraId="3630794D" wp14:textId="1AF6F6CA">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2600723D" wp14:textId="43C04F16">
      <w:pPr>
        <w:shd w:val="clear" w:color="auto" w:fill="FFFFFF" w:themeFill="background1"/>
        <w:bidi w:val="0"/>
        <w:spacing w:before="195" w:beforeAutospacing="off" w:after="195" w:afterAutospacing="off"/>
      </w:pPr>
      <w:r w:rsidRPr="2AD4F236" w:rsidR="31E55175">
        <w:rPr>
          <w:rFonts w:ascii="Arial" w:hAnsi="Arial" w:eastAsia="Arial" w:cs="Arial"/>
          <w:b w:val="0"/>
          <w:bCs w:val="0"/>
          <w:i w:val="0"/>
          <w:iCs w:val="0"/>
          <w:caps w:val="0"/>
          <w:smallCaps w:val="0"/>
          <w:noProof w:val="0"/>
          <w:color w:val="222222"/>
          <w:sz w:val="24"/>
          <w:szCs w:val="24"/>
          <w:lang w:val="en-GB"/>
        </w:rPr>
        <w:t>Beyond the core communication structures already outlined, the engagement strategy for SETMS also incorporates progressive, iterative consultation processes. This means stakeholders will not be consulted only once but throughout each stage of the project—concept design, pilot testing, implementation, and evaluation. Research shows that iterative engagement reduces resistance because stakeholders can observe how their input directly influences decisions. For instance, during pilot testing of the electric bus routes, commuter focus groups will be organised to assess perceived reliability, accessibility, and satisfaction with new features such as real-time tracking and quieter vehicles. Their insights will contribute to route adjustments and service design.</w:t>
      </w:r>
    </w:p>
    <w:p xmlns:wp14="http://schemas.microsoft.com/office/word/2010/wordml" w:rsidP="2AD4F236" wp14:paraId="526442C4" wp14:textId="4A7A12B8">
      <w:pPr>
        <w:shd w:val="clear" w:color="auto" w:fill="FFFFFF" w:themeFill="background1"/>
        <w:bidi w:val="0"/>
        <w:spacing w:before="195" w:beforeAutospacing="off" w:after="195" w:afterAutospacing="off"/>
      </w:pPr>
    </w:p>
    <w:p xmlns:wp14="http://schemas.microsoft.com/office/word/2010/wordml" w:rsidP="2AD4F236" wp14:paraId="22CCF8D5" wp14:textId="2840A1FA">
      <w:pPr>
        <w:shd w:val="clear" w:color="auto" w:fill="FFFFFF" w:themeFill="background1"/>
        <w:bidi w:val="0"/>
        <w:spacing w:before="195" w:beforeAutospacing="off" w:after="195" w:afterAutospacing="off"/>
      </w:pPr>
      <w:r w:rsidRPr="2AD4F236" w:rsidR="31E55175">
        <w:rPr>
          <w:rFonts w:ascii="Arial" w:hAnsi="Arial" w:eastAsia="Arial" w:cs="Arial"/>
          <w:b w:val="0"/>
          <w:bCs w:val="0"/>
          <w:i w:val="0"/>
          <w:iCs w:val="0"/>
          <w:caps w:val="0"/>
          <w:smallCaps w:val="0"/>
          <w:noProof w:val="0"/>
          <w:color w:val="222222"/>
          <w:sz w:val="24"/>
          <w:szCs w:val="24"/>
          <w:lang w:val="en-GB"/>
        </w:rPr>
        <w:t>Technology providers will also participate in collaborative design thinking workshops, which will help align the smart system’s capabilities with both operational needs and user expectations. Furthermore, community panels will be established in neighbourhoods where new charging stations or road sensors will be installed. These panels will allow residents to express concerns about noise, safety, or construction timelines. For stakeholders with limited digital literacy, face-to-face engagement and telephone helplines will ensure equitable participation. By extending engagement beyond formal reporting cycles, SETMS develops into a co-created mobility solution rather than a top-down technological intervention.</w:t>
      </w:r>
    </w:p>
    <w:p xmlns:wp14="http://schemas.microsoft.com/office/word/2010/wordml" w:rsidP="2AD4F236" wp14:paraId="01D0FE6C" wp14:textId="7C28BEFC">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4D1380A1" wp14:textId="7824F5D9">
      <w:pPr>
        <w:shd w:val="clear" w:color="auto" w:fill="FFFFFF" w:themeFill="background1"/>
        <w:bidi w:val="0"/>
        <w:spacing w:before="195" w:beforeAutospacing="off" w:after="195" w:afterAutospacing="off"/>
      </w:pPr>
    </w:p>
    <w:p xmlns:wp14="http://schemas.microsoft.com/office/word/2010/wordml" w:rsidP="2AD4F236" wp14:paraId="21B3D514" wp14:textId="746D2B2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3372A5A3" wp14:textId="65CCAD45">
      <w:pPr>
        <w:shd w:val="clear" w:color="auto" w:fill="FFFFFF" w:themeFill="background1"/>
        <w:bidi w:val="0"/>
        <w:spacing w:before="195" w:beforeAutospacing="off" w:after="195" w:afterAutospacing="off"/>
      </w:pPr>
    </w:p>
    <w:p xmlns:wp14="http://schemas.microsoft.com/office/word/2010/wordml" w:rsidP="2AD4F236" wp14:paraId="79AD90E3" wp14:textId="37A1C625">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4BDF2F64" wp14:textId="59DA3E7B">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67D1CAB1" wp14:textId="6047040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Stakeholder Map (Power–Interest Grid)</w:t>
      </w:r>
    </w:p>
    <w:p xmlns:wp14="http://schemas.microsoft.com/office/word/2010/wordml" w:rsidP="2AD4F236" wp14:paraId="3B18655F" wp14:textId="0E5D82AA">
      <w:pPr>
        <w:shd w:val="clear" w:color="auto" w:fill="FFFFFF" w:themeFill="background1"/>
        <w:bidi w:val="0"/>
        <w:spacing w:before="195" w:beforeAutospacing="off" w:after="195" w:afterAutospacing="off"/>
      </w:pPr>
    </w:p>
    <w:p xmlns:wp14="http://schemas.microsoft.com/office/word/2010/wordml" w:rsidP="2AD4F236" wp14:paraId="790BFCC2" wp14:textId="782A5CD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stakeholder map categorises groups according to their relative power and interest in the project:</w:t>
      </w:r>
    </w:p>
    <w:p xmlns:wp14="http://schemas.microsoft.com/office/word/2010/wordml" w:rsidP="2AD4F236" wp14:paraId="64585381" wp14:textId="796DCD4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High Power, High Interest: Local Government, Funding Bodies</w:t>
      </w:r>
    </w:p>
    <w:p xmlns:wp14="http://schemas.microsoft.com/office/word/2010/wordml" w:rsidP="2AD4F236" wp14:paraId="22438DC8" wp14:textId="7EC2455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These groups must be managed closely through frequent updates and collaborative decision-making.</w:t>
      </w:r>
    </w:p>
    <w:p xmlns:wp14="http://schemas.microsoft.com/office/word/2010/wordml" w:rsidP="2AD4F236" wp14:paraId="6CC54BCC" wp14:textId="74E2946F">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High Power, Low Interest: Regulatory Agencies</w:t>
      </w:r>
    </w:p>
    <w:p xmlns:wp14="http://schemas.microsoft.com/office/word/2010/wordml" w:rsidP="2AD4F236" wp14:paraId="2EB52AFA" wp14:textId="404E430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While their daily involvement may be low, their authority means non-compliance could halt progress.</w:t>
      </w:r>
    </w:p>
    <w:p xmlns:wp14="http://schemas.microsoft.com/office/word/2010/wordml" w:rsidP="2AD4F236" wp14:paraId="67CBDCAE" wp14:textId="386C04F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Low Power, High Interest: Citizens, Environmental Groups</w:t>
      </w:r>
    </w:p>
    <w:p xmlns:wp14="http://schemas.microsoft.com/office/word/2010/wordml" w:rsidP="2AD4F236" wp14:paraId="32E0D043" wp14:textId="5447BDD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These stakeholders should be actively consulted because their feedback enhances legitimacy and transparency.</w:t>
      </w:r>
    </w:p>
    <w:p xmlns:wp14="http://schemas.microsoft.com/office/word/2010/wordml" w:rsidP="2AD4F236" wp14:paraId="4DBB4920" wp14:textId="573BDEB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Low Power, Low Interest: Peripheral Suppliers</w:t>
      </w:r>
    </w:p>
    <w:p xmlns:wp14="http://schemas.microsoft.com/office/word/2010/wordml" w:rsidP="2AD4F236" wp14:paraId="0682F7AA" wp14:textId="559D0B9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These stakeholders require occasional updates but limited engagement beyond contract obligations.</w:t>
      </w:r>
    </w:p>
    <w:p xmlns:wp14="http://schemas.microsoft.com/office/word/2010/wordml" w:rsidP="2AD4F236" wp14:paraId="259BB647" wp14:textId="030EF3E7">
      <w:pPr>
        <w:shd w:val="clear" w:color="auto" w:fill="FFFFFF" w:themeFill="background1"/>
        <w:bidi w:val="0"/>
        <w:spacing w:before="195" w:beforeAutospacing="off" w:after="195" w:afterAutospacing="off"/>
      </w:pPr>
    </w:p>
    <w:p xmlns:wp14="http://schemas.microsoft.com/office/word/2010/wordml" w:rsidP="2AD4F236" wp14:paraId="74E0E529" wp14:textId="4623C1E7">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This mapping ensures efficient use of budget and communication resources while preventing disengagement among critical actors.</w:t>
      </w:r>
    </w:p>
    <w:p xmlns:wp14="http://schemas.microsoft.com/office/word/2010/wordml" w:rsidP="2AD4F236" wp14:paraId="0EDE2F5A" wp14:textId="27397BE0">
      <w:pPr>
        <w:shd w:val="clear" w:color="auto" w:fill="FFFFFF" w:themeFill="background1"/>
        <w:bidi w:val="0"/>
        <w:spacing w:before="195" w:beforeAutospacing="off" w:after="195" w:afterAutospacing="off"/>
      </w:pPr>
    </w:p>
    <w:p xmlns:wp14="http://schemas.microsoft.com/office/word/2010/wordml" w:rsidP="2AD4F236" wp14:paraId="3B434B4C" wp14:textId="2838D10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73C08C02" wp14:textId="72C56A52">
      <w:pPr>
        <w:shd w:val="clear" w:color="auto" w:fill="FFFFFF" w:themeFill="background1"/>
        <w:bidi w:val="0"/>
        <w:spacing w:before="195" w:beforeAutospacing="off" w:after="195" w:afterAutospacing="off"/>
      </w:pPr>
    </w:p>
    <w:p xmlns:wp14="http://schemas.microsoft.com/office/word/2010/wordml" w:rsidP="2AD4F236" wp14:paraId="4BC536F3" wp14:textId="4F7E2E31">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01D84A12" wp14:textId="76D3A94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Communication Plan and Consultation Strategy</w:t>
      </w:r>
    </w:p>
    <w:p xmlns:wp14="http://schemas.microsoft.com/office/word/2010/wordml" w:rsidP="2AD4F236" wp14:paraId="70CCDF68" wp14:textId="39A21080">
      <w:pPr>
        <w:shd w:val="clear" w:color="auto" w:fill="FFFFFF" w:themeFill="background1"/>
        <w:bidi w:val="0"/>
        <w:spacing w:before="195" w:beforeAutospacing="off" w:after="195" w:afterAutospacing="off"/>
      </w:pPr>
    </w:p>
    <w:p xmlns:wp14="http://schemas.microsoft.com/office/word/2010/wordml" w:rsidP="2AD4F236" wp14:paraId="5AC272DD" wp14:textId="39FA100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communication strategy adopted for the SETMS integrates multiple channels—from digital platforms to in-person dialogue—to ensure accessibility and inclusivity. The following table outlines the communication approach for each stakeholder.</w:t>
      </w:r>
    </w:p>
    <w:p xmlns:wp14="http://schemas.microsoft.com/office/word/2010/wordml" w:rsidP="2AD4F236" wp14:paraId="260DBCE0" wp14:textId="0BF03028">
      <w:pPr>
        <w:shd w:val="clear" w:color="auto" w:fill="FFFFFF" w:themeFill="background1"/>
        <w:bidi w:val="0"/>
        <w:spacing w:before="195" w:beforeAutospacing="off" w:after="195" w:afterAutospacing="off"/>
      </w:pPr>
    </w:p>
    <w:tbl>
      <w:tblPr>
        <w:tblStyle w:val="TableGrid"/>
        <w:bidiVisual w:val="0"/>
        <w:tblW w:w="0" w:type="auto"/>
        <w:tblLook w:val="06A0" w:firstRow="1" w:lastRow="0" w:firstColumn="1" w:lastColumn="0" w:noHBand="1" w:noVBand="1"/>
      </w:tblPr>
      <w:tblGrid>
        <w:gridCol w:w="1700"/>
        <w:gridCol w:w="2578"/>
        <w:gridCol w:w="1395"/>
        <w:gridCol w:w="1784"/>
        <w:gridCol w:w="1699"/>
      </w:tblGrid>
      <w:tr w:rsidR="2AD4F236" w:rsidTr="2AD4F236" w14:paraId="46615AD6">
        <w:trPr>
          <w:trHeight w:val="300"/>
        </w:trPr>
        <w:tc>
          <w:tcPr>
            <w:tcW w:w="1700" w:type="dxa"/>
            <w:tcMar/>
          </w:tcPr>
          <w:p w:rsidR="2AD4F236" w:rsidP="2AD4F236" w:rsidRDefault="2AD4F236" w14:paraId="24465F05" w14:textId="797E820B">
            <w:pPr>
              <w:shd w:val="clear" w:color="auto" w:fill="FFFFFF" w:themeFill="background1"/>
              <w:bidi w:val="0"/>
              <w:spacing w:before="240" w:beforeAutospacing="off" w:after="240" w:afterAutospacing="off"/>
            </w:pPr>
            <w:r w:rsidR="2AD4F236">
              <w:rPr/>
              <w:t>Stakeholder</w:t>
            </w:r>
          </w:p>
        </w:tc>
        <w:tc>
          <w:tcPr>
            <w:tcW w:w="2578" w:type="dxa"/>
            <w:tcMar/>
          </w:tcPr>
          <w:p w:rsidR="2AD4F236" w:rsidP="2AD4F236" w:rsidRDefault="2AD4F236" w14:paraId="50947E3F" w14:textId="51FD2E1A">
            <w:pPr>
              <w:shd w:val="clear" w:color="auto" w:fill="FFFFFF" w:themeFill="background1"/>
              <w:bidi w:val="0"/>
              <w:spacing w:before="240" w:beforeAutospacing="off" w:after="240" w:afterAutospacing="off"/>
            </w:pPr>
            <w:r w:rsidR="2AD4F236">
              <w:rPr/>
              <w:t>Communication Objective</w:t>
            </w:r>
          </w:p>
        </w:tc>
        <w:tc>
          <w:tcPr>
            <w:tcW w:w="1395" w:type="dxa"/>
            <w:tcMar/>
          </w:tcPr>
          <w:p w:rsidR="2AD4F236" w:rsidP="2AD4F236" w:rsidRDefault="2AD4F236" w14:paraId="393AC500" w14:textId="0BBF16B5">
            <w:pPr>
              <w:shd w:val="clear" w:color="auto" w:fill="FFFFFF" w:themeFill="background1"/>
              <w:bidi w:val="0"/>
              <w:spacing w:before="240" w:beforeAutospacing="off" w:after="240" w:afterAutospacing="off"/>
            </w:pPr>
            <w:r w:rsidR="2AD4F236">
              <w:rPr/>
              <w:t>Frequency</w:t>
            </w:r>
          </w:p>
        </w:tc>
        <w:tc>
          <w:tcPr>
            <w:tcW w:w="1784" w:type="dxa"/>
            <w:tcMar/>
          </w:tcPr>
          <w:p w:rsidR="2AD4F236" w:rsidP="2AD4F236" w:rsidRDefault="2AD4F236" w14:paraId="44980E05" w14:textId="391CD4C5">
            <w:pPr>
              <w:shd w:val="clear" w:color="auto" w:fill="FFFFFF" w:themeFill="background1"/>
              <w:bidi w:val="0"/>
              <w:spacing w:before="240" w:beforeAutospacing="off" w:after="240" w:afterAutospacing="off"/>
            </w:pPr>
            <w:r w:rsidR="2AD4F236">
              <w:rPr/>
              <w:t>Medium</w:t>
            </w:r>
          </w:p>
        </w:tc>
        <w:tc>
          <w:tcPr>
            <w:tcW w:w="1699" w:type="dxa"/>
            <w:tcMar/>
          </w:tcPr>
          <w:p w:rsidR="2AD4F236" w:rsidP="2AD4F236" w:rsidRDefault="2AD4F236" w14:paraId="110DAA4B" w14:textId="3E78C6CD">
            <w:pPr>
              <w:shd w:val="clear" w:color="auto" w:fill="FFFFFF" w:themeFill="background1"/>
              <w:bidi w:val="0"/>
              <w:spacing w:before="240" w:beforeAutospacing="off" w:after="240" w:afterAutospacing="off"/>
            </w:pPr>
            <w:r w:rsidR="2AD4F236">
              <w:rPr/>
              <w:t>Responsibility</w:t>
            </w:r>
          </w:p>
        </w:tc>
      </w:tr>
      <w:tr w:rsidR="2AD4F236" w:rsidTr="2AD4F236" w14:paraId="287E1492">
        <w:trPr>
          <w:trHeight w:val="300"/>
        </w:trPr>
        <w:tc>
          <w:tcPr>
            <w:tcW w:w="1700" w:type="dxa"/>
            <w:tcMar/>
          </w:tcPr>
          <w:p w:rsidR="2AD4F236" w:rsidP="2AD4F236" w:rsidRDefault="2AD4F236" w14:paraId="06B3C01B" w14:textId="32DF4143">
            <w:pPr>
              <w:shd w:val="clear" w:color="auto" w:fill="FFFFFF" w:themeFill="background1"/>
              <w:bidi w:val="0"/>
              <w:spacing w:before="240" w:beforeAutospacing="off" w:after="240" w:afterAutospacing="off"/>
            </w:pPr>
            <w:r w:rsidR="2AD4F236">
              <w:rPr/>
              <w:t>Local Government</w:t>
            </w:r>
          </w:p>
        </w:tc>
        <w:tc>
          <w:tcPr>
            <w:tcW w:w="2578" w:type="dxa"/>
            <w:tcMar/>
          </w:tcPr>
          <w:p w:rsidR="2AD4F236" w:rsidP="2AD4F236" w:rsidRDefault="2AD4F236" w14:paraId="343EB215" w14:textId="39AD7F53">
            <w:pPr>
              <w:shd w:val="clear" w:color="auto" w:fill="FFFFFF" w:themeFill="background1"/>
              <w:bidi w:val="0"/>
              <w:spacing w:before="240" w:beforeAutospacing="off" w:after="240" w:afterAutospacing="off"/>
            </w:pPr>
            <w:r w:rsidR="2AD4F236">
              <w:rPr/>
              <w:t>Align policy, share milestones</w:t>
            </w:r>
          </w:p>
        </w:tc>
        <w:tc>
          <w:tcPr>
            <w:tcW w:w="1395" w:type="dxa"/>
            <w:tcMar/>
          </w:tcPr>
          <w:p w:rsidR="2AD4F236" w:rsidP="2AD4F236" w:rsidRDefault="2AD4F236" w14:paraId="0385666A" w14:textId="1F7B8D6B">
            <w:pPr>
              <w:shd w:val="clear" w:color="auto" w:fill="FFFFFF" w:themeFill="background1"/>
              <w:bidi w:val="0"/>
              <w:spacing w:before="240" w:beforeAutospacing="off" w:after="240" w:afterAutospacing="off"/>
            </w:pPr>
            <w:r w:rsidR="2AD4F236">
              <w:rPr/>
              <w:t>Monthly</w:t>
            </w:r>
          </w:p>
        </w:tc>
        <w:tc>
          <w:tcPr>
            <w:tcW w:w="1784" w:type="dxa"/>
            <w:tcMar/>
          </w:tcPr>
          <w:p w:rsidR="2AD4F236" w:rsidP="2AD4F236" w:rsidRDefault="2AD4F236" w14:paraId="630DB043" w14:textId="28925B98">
            <w:pPr>
              <w:shd w:val="clear" w:color="auto" w:fill="FFFFFF" w:themeFill="background1"/>
              <w:bidi w:val="0"/>
              <w:spacing w:before="240" w:beforeAutospacing="off" w:after="240" w:afterAutospacing="off"/>
            </w:pPr>
            <w:r w:rsidR="2AD4F236">
              <w:rPr/>
              <w:t xml:space="preserve">Formal meetings, </w:t>
            </w:r>
            <w:r w:rsidR="621536CC">
              <w:rPr/>
              <w:t>authored</w:t>
            </w:r>
            <w:r w:rsidR="2AD4F236">
              <w:rPr/>
              <w:t xml:space="preserve"> reports</w:t>
            </w:r>
          </w:p>
        </w:tc>
        <w:tc>
          <w:tcPr>
            <w:tcW w:w="1699" w:type="dxa"/>
            <w:tcMar/>
          </w:tcPr>
          <w:p w:rsidR="2AD4F236" w:rsidP="2AD4F236" w:rsidRDefault="2AD4F236" w14:paraId="29D070C0" w14:textId="4ED6E13A">
            <w:pPr>
              <w:shd w:val="clear" w:color="auto" w:fill="FFFFFF" w:themeFill="background1"/>
              <w:bidi w:val="0"/>
              <w:spacing w:before="240" w:beforeAutospacing="off" w:after="240" w:afterAutospacing="off"/>
            </w:pPr>
            <w:r w:rsidR="2AD4F236">
              <w:rPr/>
              <w:t>Project Manager</w:t>
            </w:r>
          </w:p>
        </w:tc>
      </w:tr>
      <w:tr w:rsidR="2AD4F236" w:rsidTr="2AD4F236" w14:paraId="654A4916">
        <w:trPr>
          <w:trHeight w:val="300"/>
        </w:trPr>
        <w:tc>
          <w:tcPr>
            <w:tcW w:w="1700" w:type="dxa"/>
            <w:tcMar/>
          </w:tcPr>
          <w:p w:rsidR="2AD4F236" w:rsidP="2AD4F236" w:rsidRDefault="2AD4F236" w14:paraId="1A71B641" w14:textId="0AD4883C">
            <w:pPr>
              <w:shd w:val="clear" w:color="auto" w:fill="FFFFFF" w:themeFill="background1"/>
              <w:bidi w:val="0"/>
              <w:spacing w:before="240" w:beforeAutospacing="off" w:after="240" w:afterAutospacing="off"/>
            </w:pPr>
            <w:r w:rsidR="2AD4F236">
              <w:rPr/>
              <w:t>Public Transport Operators</w:t>
            </w:r>
          </w:p>
        </w:tc>
        <w:tc>
          <w:tcPr>
            <w:tcW w:w="2578" w:type="dxa"/>
            <w:tcMar/>
          </w:tcPr>
          <w:p w:rsidR="2AD4F236" w:rsidP="2AD4F236" w:rsidRDefault="2AD4F236" w14:paraId="682F049B" w14:textId="4FA41800">
            <w:pPr>
              <w:shd w:val="clear" w:color="auto" w:fill="FFFFFF" w:themeFill="background1"/>
              <w:bidi w:val="0"/>
              <w:spacing w:before="240" w:beforeAutospacing="off" w:after="240" w:afterAutospacing="off"/>
            </w:pPr>
            <w:r w:rsidR="2AD4F236">
              <w:rPr/>
              <w:t>Review operations, evaluate KPIs</w:t>
            </w:r>
          </w:p>
        </w:tc>
        <w:tc>
          <w:tcPr>
            <w:tcW w:w="1395" w:type="dxa"/>
            <w:tcMar/>
          </w:tcPr>
          <w:p w:rsidR="2AD4F236" w:rsidP="2AD4F236" w:rsidRDefault="2AD4F236" w14:paraId="220E2DFC" w14:textId="39BB77BC">
            <w:pPr>
              <w:shd w:val="clear" w:color="auto" w:fill="FFFFFF" w:themeFill="background1"/>
              <w:bidi w:val="0"/>
              <w:spacing w:before="240" w:beforeAutospacing="off" w:after="240" w:afterAutospacing="off"/>
            </w:pPr>
            <w:r w:rsidR="2AD4F236">
              <w:rPr/>
              <w:t>Bi-weekly</w:t>
            </w:r>
          </w:p>
        </w:tc>
        <w:tc>
          <w:tcPr>
            <w:tcW w:w="1784" w:type="dxa"/>
            <w:tcMar/>
          </w:tcPr>
          <w:p w:rsidR="2AD4F236" w:rsidP="2AD4F236" w:rsidRDefault="2AD4F236" w14:paraId="303B7FBB" w14:textId="366F7342">
            <w:pPr>
              <w:shd w:val="clear" w:color="auto" w:fill="FFFFFF" w:themeFill="background1"/>
              <w:bidi w:val="0"/>
              <w:spacing w:before="240" w:beforeAutospacing="off" w:after="240" w:afterAutospacing="off"/>
            </w:pPr>
            <w:r w:rsidR="2AD4F236">
              <w:rPr/>
              <w:t>Workshops, shared dashboards</w:t>
            </w:r>
          </w:p>
        </w:tc>
        <w:tc>
          <w:tcPr>
            <w:tcW w:w="1699" w:type="dxa"/>
            <w:tcMar/>
          </w:tcPr>
          <w:p w:rsidR="2AD4F236" w:rsidP="2AD4F236" w:rsidRDefault="2AD4F236" w14:paraId="24C6B6F9" w14:textId="338EBC39">
            <w:pPr>
              <w:shd w:val="clear" w:color="auto" w:fill="FFFFFF" w:themeFill="background1"/>
              <w:bidi w:val="0"/>
              <w:spacing w:before="240" w:beforeAutospacing="off" w:after="240" w:afterAutospacing="off"/>
            </w:pPr>
            <w:r w:rsidR="2AD4F236">
              <w:rPr/>
              <w:t>Operations Lead</w:t>
            </w:r>
          </w:p>
        </w:tc>
      </w:tr>
      <w:tr w:rsidR="2AD4F236" w:rsidTr="2AD4F236" w14:paraId="733D237C">
        <w:trPr>
          <w:trHeight w:val="300"/>
        </w:trPr>
        <w:tc>
          <w:tcPr>
            <w:tcW w:w="1700" w:type="dxa"/>
            <w:tcMar/>
          </w:tcPr>
          <w:p w:rsidR="2AD4F236" w:rsidP="2AD4F236" w:rsidRDefault="2AD4F236" w14:paraId="50D66CAA" w14:textId="60F927B4">
            <w:pPr>
              <w:shd w:val="clear" w:color="auto" w:fill="FFFFFF" w:themeFill="background1"/>
              <w:bidi w:val="0"/>
              <w:spacing w:before="240" w:beforeAutospacing="off" w:after="240" w:afterAutospacing="off"/>
            </w:pPr>
            <w:r w:rsidR="2AD4F236">
              <w:rPr/>
              <w:t>Citizens/Commuters</w:t>
            </w:r>
          </w:p>
        </w:tc>
        <w:tc>
          <w:tcPr>
            <w:tcW w:w="2578" w:type="dxa"/>
            <w:tcMar/>
          </w:tcPr>
          <w:p w:rsidR="2AD4F236" w:rsidP="2AD4F236" w:rsidRDefault="2AD4F236" w14:paraId="4ECD5A57" w14:textId="1E796EA8">
            <w:pPr>
              <w:shd w:val="clear" w:color="auto" w:fill="FFFFFF" w:themeFill="background1"/>
              <w:bidi w:val="0"/>
              <w:spacing w:before="240" w:beforeAutospacing="off" w:after="240" w:afterAutospacing="off"/>
            </w:pPr>
            <w:r w:rsidR="2AD4F236">
              <w:rPr/>
              <w:t>Raise awareness, collect feedback</w:t>
            </w:r>
          </w:p>
        </w:tc>
        <w:tc>
          <w:tcPr>
            <w:tcW w:w="1395" w:type="dxa"/>
            <w:tcMar/>
          </w:tcPr>
          <w:p w:rsidR="2AD4F236" w:rsidP="2AD4F236" w:rsidRDefault="2AD4F236" w14:paraId="0F6FA5C7" w14:textId="3964161B">
            <w:pPr>
              <w:shd w:val="clear" w:color="auto" w:fill="FFFFFF" w:themeFill="background1"/>
              <w:bidi w:val="0"/>
              <w:spacing w:before="240" w:beforeAutospacing="off" w:after="240" w:afterAutospacing="off"/>
            </w:pPr>
            <w:r w:rsidR="2AD4F236">
              <w:rPr/>
              <w:t>Quarterly</w:t>
            </w:r>
          </w:p>
        </w:tc>
        <w:tc>
          <w:tcPr>
            <w:tcW w:w="1784" w:type="dxa"/>
            <w:tcMar/>
          </w:tcPr>
          <w:p w:rsidR="2AD4F236" w:rsidP="2AD4F236" w:rsidRDefault="2AD4F236" w14:paraId="20BDC973" w14:textId="42035826">
            <w:pPr>
              <w:shd w:val="clear" w:color="auto" w:fill="FFFFFF" w:themeFill="background1"/>
              <w:bidi w:val="0"/>
              <w:spacing w:before="240" w:beforeAutospacing="off" w:after="240" w:afterAutospacing="off"/>
            </w:pPr>
            <w:r w:rsidR="2AD4F236">
              <w:rPr/>
              <w:t>Social media, surveys, town-hall forums</w:t>
            </w:r>
          </w:p>
        </w:tc>
        <w:tc>
          <w:tcPr>
            <w:tcW w:w="1699" w:type="dxa"/>
            <w:tcMar/>
          </w:tcPr>
          <w:p w:rsidR="2AD4F236" w:rsidP="2AD4F236" w:rsidRDefault="2AD4F236" w14:paraId="7CF96DEC" w14:textId="53C145B2">
            <w:pPr>
              <w:shd w:val="clear" w:color="auto" w:fill="FFFFFF" w:themeFill="background1"/>
              <w:bidi w:val="0"/>
              <w:spacing w:before="240" w:beforeAutospacing="off" w:after="240" w:afterAutospacing="off"/>
            </w:pPr>
            <w:r w:rsidR="2AD4F236">
              <w:rPr/>
              <w:t>Communications Officer</w:t>
            </w:r>
          </w:p>
        </w:tc>
      </w:tr>
      <w:tr w:rsidR="2AD4F236" w:rsidTr="2AD4F236" w14:paraId="29E6BE7F">
        <w:trPr>
          <w:trHeight w:val="300"/>
        </w:trPr>
        <w:tc>
          <w:tcPr>
            <w:tcW w:w="1700" w:type="dxa"/>
            <w:tcMar/>
          </w:tcPr>
          <w:p w:rsidR="2AD4F236" w:rsidP="2AD4F236" w:rsidRDefault="2AD4F236" w14:paraId="15D808E9" w14:textId="059FEBF9">
            <w:pPr>
              <w:shd w:val="clear" w:color="auto" w:fill="FFFFFF" w:themeFill="background1"/>
              <w:bidi w:val="0"/>
              <w:spacing w:before="240" w:beforeAutospacing="off" w:after="240" w:afterAutospacing="off"/>
            </w:pPr>
            <w:r w:rsidR="2AD4F236">
              <w:rPr/>
              <w:t>Technology Providers</w:t>
            </w:r>
          </w:p>
        </w:tc>
        <w:tc>
          <w:tcPr>
            <w:tcW w:w="2578" w:type="dxa"/>
            <w:tcMar/>
          </w:tcPr>
          <w:p w:rsidR="2AD4F236" w:rsidP="2AD4F236" w:rsidRDefault="2AD4F236" w14:paraId="151D1091" w14:textId="03AAF387">
            <w:pPr>
              <w:shd w:val="clear" w:color="auto" w:fill="FFFFFF" w:themeFill="background1"/>
              <w:bidi w:val="0"/>
              <w:spacing w:before="240" w:beforeAutospacing="off" w:after="240" w:afterAutospacing="off"/>
            </w:pPr>
            <w:r w:rsidR="2AD4F236">
              <w:rPr/>
              <w:t>Discuss progress, integration issues</w:t>
            </w:r>
          </w:p>
        </w:tc>
        <w:tc>
          <w:tcPr>
            <w:tcW w:w="1395" w:type="dxa"/>
            <w:tcMar/>
          </w:tcPr>
          <w:p w:rsidR="2AD4F236" w:rsidP="2AD4F236" w:rsidRDefault="2AD4F236" w14:paraId="150E1FB5" w14:textId="35A94836">
            <w:pPr>
              <w:shd w:val="clear" w:color="auto" w:fill="FFFFFF" w:themeFill="background1"/>
              <w:bidi w:val="0"/>
              <w:spacing w:before="240" w:beforeAutospacing="off" w:after="240" w:afterAutospacing="off"/>
            </w:pPr>
            <w:r w:rsidR="2AD4F236">
              <w:rPr/>
              <w:t>Weekly</w:t>
            </w:r>
          </w:p>
        </w:tc>
        <w:tc>
          <w:tcPr>
            <w:tcW w:w="1784" w:type="dxa"/>
            <w:tcMar/>
          </w:tcPr>
          <w:p w:rsidR="2AD4F236" w:rsidP="2AD4F236" w:rsidRDefault="2AD4F236" w14:paraId="3310D5ED" w14:textId="1009908C">
            <w:pPr>
              <w:shd w:val="clear" w:color="auto" w:fill="FFFFFF" w:themeFill="background1"/>
              <w:bidi w:val="0"/>
              <w:spacing w:before="240" w:beforeAutospacing="off" w:after="240" w:afterAutospacing="off"/>
            </w:pPr>
            <w:r w:rsidR="2AD4F236">
              <w:rPr/>
              <w:t>Online meetings, technical documents</w:t>
            </w:r>
          </w:p>
        </w:tc>
        <w:tc>
          <w:tcPr>
            <w:tcW w:w="1699" w:type="dxa"/>
            <w:tcMar/>
          </w:tcPr>
          <w:p w:rsidR="2AD4F236" w:rsidP="2AD4F236" w:rsidRDefault="2AD4F236" w14:paraId="1DB23CBA" w14:textId="5FA4A045">
            <w:pPr>
              <w:shd w:val="clear" w:color="auto" w:fill="FFFFFF" w:themeFill="background1"/>
              <w:bidi w:val="0"/>
              <w:spacing w:before="240" w:beforeAutospacing="off" w:after="240" w:afterAutospacing="off"/>
            </w:pPr>
            <w:r w:rsidR="2AD4F236">
              <w:rPr/>
              <w:t>Technical Lead</w:t>
            </w:r>
          </w:p>
        </w:tc>
      </w:tr>
      <w:tr w:rsidR="2AD4F236" w:rsidTr="2AD4F236" w14:paraId="385FF9C5">
        <w:trPr>
          <w:trHeight w:val="300"/>
        </w:trPr>
        <w:tc>
          <w:tcPr>
            <w:tcW w:w="1700" w:type="dxa"/>
            <w:tcMar/>
          </w:tcPr>
          <w:p w:rsidR="2AD4F236" w:rsidP="2AD4F236" w:rsidRDefault="2AD4F236" w14:paraId="36319293" w14:textId="39C35B41">
            <w:pPr>
              <w:shd w:val="clear" w:color="auto" w:fill="FFFFFF" w:themeFill="background1"/>
              <w:bidi w:val="0"/>
              <w:spacing w:before="240" w:beforeAutospacing="off" w:after="240" w:afterAutospacing="off"/>
            </w:pPr>
            <w:r w:rsidR="2AD4F236">
              <w:rPr/>
              <w:t>Environmental Agencies</w:t>
            </w:r>
          </w:p>
        </w:tc>
        <w:tc>
          <w:tcPr>
            <w:tcW w:w="2578" w:type="dxa"/>
            <w:tcMar/>
          </w:tcPr>
          <w:p w:rsidR="2AD4F236" w:rsidP="2AD4F236" w:rsidRDefault="2AD4F236" w14:paraId="61D91F8C" w14:textId="752CC843">
            <w:pPr>
              <w:shd w:val="clear" w:color="auto" w:fill="FFFFFF" w:themeFill="background1"/>
              <w:bidi w:val="0"/>
              <w:spacing w:before="240" w:beforeAutospacing="off" w:after="240" w:afterAutospacing="off"/>
            </w:pPr>
            <w:r w:rsidR="2AD4F236">
              <w:rPr/>
              <w:t>Confirm compliance, review impact</w:t>
            </w:r>
          </w:p>
        </w:tc>
        <w:tc>
          <w:tcPr>
            <w:tcW w:w="1395" w:type="dxa"/>
            <w:tcMar/>
          </w:tcPr>
          <w:p w:rsidR="2AD4F236" w:rsidP="2AD4F236" w:rsidRDefault="2AD4F236" w14:paraId="4D58FBEB" w14:textId="29DD00E7">
            <w:pPr>
              <w:shd w:val="clear" w:color="auto" w:fill="FFFFFF" w:themeFill="background1"/>
              <w:bidi w:val="0"/>
              <w:spacing w:before="240" w:beforeAutospacing="off" w:after="240" w:afterAutospacing="off"/>
            </w:pPr>
            <w:r w:rsidR="2AD4F236">
              <w:rPr/>
              <w:t>Quarterly</w:t>
            </w:r>
          </w:p>
        </w:tc>
        <w:tc>
          <w:tcPr>
            <w:tcW w:w="1784" w:type="dxa"/>
            <w:tcMar/>
          </w:tcPr>
          <w:p w:rsidR="2AD4F236" w:rsidP="2AD4F236" w:rsidRDefault="2AD4F236" w14:paraId="1AE761A9" w14:textId="51B33BB8">
            <w:pPr>
              <w:shd w:val="clear" w:color="auto" w:fill="FFFFFF" w:themeFill="background1"/>
              <w:bidi w:val="0"/>
              <w:spacing w:before="240" w:beforeAutospacing="off" w:after="240" w:afterAutospacing="off"/>
            </w:pPr>
            <w:r w:rsidR="2AD4F236">
              <w:rPr/>
              <w:t>Environmental reports, review sessions</w:t>
            </w:r>
          </w:p>
        </w:tc>
        <w:tc>
          <w:tcPr>
            <w:tcW w:w="1699" w:type="dxa"/>
            <w:tcMar/>
          </w:tcPr>
          <w:p w:rsidR="2AD4F236" w:rsidP="2AD4F236" w:rsidRDefault="2AD4F236" w14:paraId="2FD612A3" w14:textId="2CDCD04F">
            <w:pPr>
              <w:shd w:val="clear" w:color="auto" w:fill="FFFFFF" w:themeFill="background1"/>
              <w:bidi w:val="0"/>
              <w:spacing w:before="240" w:beforeAutospacing="off" w:after="240" w:afterAutospacing="off"/>
            </w:pPr>
            <w:r w:rsidR="2AD4F236">
              <w:rPr/>
              <w:t>Sustainability Consultant</w:t>
            </w:r>
          </w:p>
        </w:tc>
      </w:tr>
      <w:tr w:rsidR="2AD4F236" w:rsidTr="2AD4F236" w14:paraId="6376DCE5">
        <w:trPr>
          <w:trHeight w:val="300"/>
        </w:trPr>
        <w:tc>
          <w:tcPr>
            <w:tcW w:w="1700" w:type="dxa"/>
            <w:tcMar/>
          </w:tcPr>
          <w:p w:rsidR="2AD4F236" w:rsidP="2AD4F236" w:rsidRDefault="2AD4F236" w14:paraId="436006B0" w14:textId="737F85B7">
            <w:pPr>
              <w:shd w:val="clear" w:color="auto" w:fill="FFFFFF" w:themeFill="background1"/>
              <w:bidi w:val="0"/>
              <w:spacing w:before="240" w:beforeAutospacing="off" w:after="240" w:afterAutospacing="off"/>
            </w:pPr>
            <w:r w:rsidR="2AD4F236">
              <w:rPr/>
              <w:t>Investors</w:t>
            </w:r>
          </w:p>
        </w:tc>
        <w:tc>
          <w:tcPr>
            <w:tcW w:w="2578" w:type="dxa"/>
            <w:tcMar/>
          </w:tcPr>
          <w:p w:rsidR="2AD4F236" w:rsidP="2AD4F236" w:rsidRDefault="2AD4F236" w14:paraId="39CE19BC" w14:textId="347DE75A">
            <w:pPr>
              <w:shd w:val="clear" w:color="auto" w:fill="FFFFFF" w:themeFill="background1"/>
              <w:bidi w:val="0"/>
              <w:spacing w:before="240" w:beforeAutospacing="off" w:after="240" w:afterAutospacing="off"/>
            </w:pPr>
            <w:r w:rsidR="2AD4F236">
              <w:rPr/>
              <w:t>Financial performance, risk management</w:t>
            </w:r>
          </w:p>
        </w:tc>
        <w:tc>
          <w:tcPr>
            <w:tcW w:w="1395" w:type="dxa"/>
            <w:tcMar/>
          </w:tcPr>
          <w:p w:rsidR="2AD4F236" w:rsidP="2AD4F236" w:rsidRDefault="2AD4F236" w14:paraId="7D0929A9" w14:textId="75AD8749">
            <w:pPr>
              <w:shd w:val="clear" w:color="auto" w:fill="FFFFFF" w:themeFill="background1"/>
              <w:bidi w:val="0"/>
              <w:spacing w:before="240" w:beforeAutospacing="off" w:after="240" w:afterAutospacing="off"/>
            </w:pPr>
            <w:r w:rsidR="2AD4F236">
              <w:rPr/>
              <w:t>Quarterly</w:t>
            </w:r>
          </w:p>
        </w:tc>
        <w:tc>
          <w:tcPr>
            <w:tcW w:w="1784" w:type="dxa"/>
            <w:tcMar/>
          </w:tcPr>
          <w:p w:rsidR="2AD4F236" w:rsidP="2AD4F236" w:rsidRDefault="2AD4F236" w14:paraId="7DA2318A" w14:textId="30A942BB">
            <w:pPr>
              <w:shd w:val="clear" w:color="auto" w:fill="FFFFFF" w:themeFill="background1"/>
              <w:bidi w:val="0"/>
              <w:spacing w:before="240" w:beforeAutospacing="off" w:after="240" w:afterAutospacing="off"/>
            </w:pPr>
            <w:r w:rsidR="2AD4F236">
              <w:rPr/>
              <w:t>Presentations, financial audits</w:t>
            </w:r>
          </w:p>
        </w:tc>
        <w:tc>
          <w:tcPr>
            <w:tcW w:w="1699" w:type="dxa"/>
            <w:tcMar/>
          </w:tcPr>
          <w:p w:rsidR="4349BB09" w:rsidP="2AD4F236" w:rsidRDefault="4349BB09" w14:paraId="1F5C847C" w14:textId="48EE7299">
            <w:pPr>
              <w:shd w:val="clear" w:color="auto" w:fill="FFFFFF" w:themeFill="background1"/>
              <w:bidi w:val="0"/>
              <w:spacing w:before="240" w:beforeAutospacing="off" w:after="240" w:afterAutospacing="off"/>
            </w:pPr>
            <w:r w:rsidR="4349BB09">
              <w:rPr/>
              <w:t>Finance Manager</w:t>
            </w:r>
          </w:p>
        </w:tc>
      </w:tr>
    </w:tbl>
    <w:p xmlns:wp14="http://schemas.microsoft.com/office/word/2010/wordml" wp14:paraId="0C15E8B4" wp14:textId="2B8C3022"/>
    <w:p xmlns:wp14="http://schemas.microsoft.com/office/word/2010/wordml" w:rsidP="2AD4F236" wp14:paraId="1A725785" wp14:textId="262FED9F">
      <w:pPr>
        <w:shd w:val="clear" w:color="auto" w:fill="FFFFFF" w:themeFill="background1"/>
        <w:bidi w:val="0"/>
        <w:spacing w:before="195" w:beforeAutospacing="off" w:after="195" w:afterAutospacing="off"/>
      </w:pPr>
    </w:p>
    <w:p xmlns:wp14="http://schemas.microsoft.com/office/word/2010/wordml" w:rsidP="2AD4F236" wp14:paraId="07733EEA" wp14:textId="47F8A917">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Justifying the Communication Methods</w:t>
      </w:r>
    </w:p>
    <w:p xmlns:wp14="http://schemas.microsoft.com/office/word/2010/wordml" w:rsidP="2AD4F236" wp14:paraId="75AF11C4" wp14:textId="3063DE05">
      <w:pPr>
        <w:shd w:val="clear" w:color="auto" w:fill="FFFFFF" w:themeFill="background1"/>
        <w:bidi w:val="0"/>
        <w:spacing w:before="195" w:beforeAutospacing="off" w:after="195" w:afterAutospacing="off"/>
      </w:pPr>
    </w:p>
    <w:p xmlns:wp14="http://schemas.microsoft.com/office/word/2010/wordml" w:rsidP="2AD4F236" wp14:paraId="5411794B" wp14:textId="6B28DE2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communication methods are chosen to promote accessibility, accountability, and efficiency.</w:t>
      </w:r>
    </w:p>
    <w:p xmlns:wp14="http://schemas.microsoft.com/office/word/2010/wordml" w:rsidP="2AD4F236" wp14:paraId="59726DEA" wp14:textId="6A55C79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Digital dashboards and email briefings allow project managers and technical teams to share updated performance metrics efficiently.</w:t>
      </w:r>
    </w:p>
    <w:p xmlns:wp14="http://schemas.microsoft.com/office/word/2010/wordml" w:rsidP="2AD4F236" wp14:paraId="0D2EB4FF" wp14:textId="66D2966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xml:space="preserve">• Workshops are vital for operators, who </w:t>
      </w:r>
      <w:r w:rsidRPr="2AD4F236" w:rsidR="12C2AEF3">
        <w:rPr>
          <w:rFonts w:ascii="Arial" w:hAnsi="Arial" w:eastAsia="Arial" w:cs="Arial"/>
          <w:b w:val="0"/>
          <w:bCs w:val="0"/>
          <w:i w:val="0"/>
          <w:iCs w:val="0"/>
          <w:caps w:val="0"/>
          <w:smallCaps w:val="0"/>
          <w:noProof w:val="0"/>
          <w:color w:val="222222"/>
          <w:sz w:val="24"/>
          <w:szCs w:val="24"/>
          <w:lang w:val="en-GB"/>
        </w:rPr>
        <w:t>require</w:t>
      </w:r>
      <w:r w:rsidRPr="2AD4F236" w:rsidR="12C2AEF3">
        <w:rPr>
          <w:rFonts w:ascii="Arial" w:hAnsi="Arial" w:eastAsia="Arial" w:cs="Arial"/>
          <w:b w:val="0"/>
          <w:bCs w:val="0"/>
          <w:i w:val="0"/>
          <w:iCs w:val="0"/>
          <w:caps w:val="0"/>
          <w:smallCaps w:val="0"/>
          <w:noProof w:val="0"/>
          <w:color w:val="222222"/>
          <w:sz w:val="24"/>
          <w:szCs w:val="24"/>
          <w:lang w:val="en-GB"/>
        </w:rPr>
        <w:t xml:space="preserve"> hands-on demonstrations of </w:t>
      </w:r>
      <w:r w:rsidRPr="2AD4F236" w:rsidR="077E94D8">
        <w:rPr>
          <w:rFonts w:ascii="Arial" w:hAnsi="Arial" w:eastAsia="Arial" w:cs="Arial"/>
          <w:b w:val="0"/>
          <w:bCs w:val="0"/>
          <w:i w:val="0"/>
          <w:iCs w:val="0"/>
          <w:caps w:val="0"/>
          <w:smallCaps w:val="0"/>
          <w:noProof w:val="0"/>
          <w:color w:val="222222"/>
          <w:sz w:val="24"/>
          <w:szCs w:val="24"/>
          <w:lang w:val="en-GB"/>
        </w:rPr>
        <w:t>modern technologies</w:t>
      </w: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7FCBF068" wp14:textId="387BD17A">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Public forums and social media outreach foster community participation by reaching individuals who may not attend formal events.</w:t>
      </w:r>
    </w:p>
    <w:p xmlns:wp14="http://schemas.microsoft.com/office/word/2010/wordml" w:rsidP="2AD4F236" wp14:paraId="5053686F" wp14:textId="28B339E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Quarterly sustainability and financial reports build trust with regulators and investors by providing an evidence-based account of progress.</w:t>
      </w:r>
    </w:p>
    <w:p xmlns:wp14="http://schemas.microsoft.com/office/word/2010/wordml" w:rsidP="2AD4F236" wp14:paraId="5C585A5E" wp14:textId="43FD6D6E">
      <w:pPr>
        <w:shd w:val="clear" w:color="auto" w:fill="FFFFFF" w:themeFill="background1"/>
        <w:bidi w:val="0"/>
        <w:spacing w:before="195" w:beforeAutospacing="off" w:after="195" w:afterAutospacing="off"/>
      </w:pPr>
    </w:p>
    <w:p xmlns:wp14="http://schemas.microsoft.com/office/word/2010/wordml" w:rsidP="2AD4F236" wp14:paraId="0573B9C1" wp14:textId="4ED7461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This multi-channel strategy supports two forms of consultation:</w:t>
      </w:r>
    </w:p>
    <w:p xmlns:wp14="http://schemas.microsoft.com/office/word/2010/wordml" w:rsidP="2AD4F236" wp14:paraId="37AE5CFC" wp14:textId="05FF66F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1. Formal Consultation:</w:t>
      </w:r>
    </w:p>
    <w:p xmlns:wp14="http://schemas.microsoft.com/office/word/2010/wordml" w:rsidP="2AD4F236" wp14:paraId="1C509138" wp14:textId="28BBAF7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Includes scheduled meetings, compliance reporting, environmental assessments, and structured surveys.</w:t>
      </w:r>
    </w:p>
    <w:p xmlns:wp14="http://schemas.microsoft.com/office/word/2010/wordml" w:rsidP="2AD4F236" wp14:paraId="1C3FDF99" wp14:textId="4DED3CE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2. Informal Consultation:</w:t>
      </w:r>
    </w:p>
    <w:p xmlns:wp14="http://schemas.microsoft.com/office/word/2010/wordml" w:rsidP="2AD4F236" wp14:paraId="12258193" wp14:textId="18D94B4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Involves open forums, online Q&amp;A sessions, and interactive feedback via the SETMS mobile app.</w:t>
      </w:r>
    </w:p>
    <w:p xmlns:wp14="http://schemas.microsoft.com/office/word/2010/wordml" w:rsidP="2AD4F236" wp14:paraId="1F3CB60E" wp14:textId="07D2B701">
      <w:pPr>
        <w:shd w:val="clear" w:color="auto" w:fill="FFFFFF" w:themeFill="background1"/>
        <w:bidi w:val="0"/>
        <w:spacing w:before="195" w:beforeAutospacing="off" w:after="195" w:afterAutospacing="off"/>
      </w:pPr>
    </w:p>
    <w:p xmlns:wp14="http://schemas.microsoft.com/office/word/2010/wordml" w:rsidP="2AD4F236" wp14:paraId="50007C9A" wp14:textId="18F03CD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Together, these mechanisms give all stakeholders visibility into the project while enabling timely, meaningful input.</w:t>
      </w:r>
    </w:p>
    <w:p xmlns:wp14="http://schemas.microsoft.com/office/word/2010/wordml" w:rsidP="2AD4F236" wp14:paraId="3C610709" wp14:textId="5607C9E5">
      <w:pPr>
        <w:shd w:val="clear" w:color="auto" w:fill="FFFFFF" w:themeFill="background1"/>
        <w:bidi w:val="0"/>
        <w:spacing w:before="195" w:beforeAutospacing="off" w:after="195" w:afterAutospacing="off"/>
      </w:pPr>
    </w:p>
    <w:p xmlns:wp14="http://schemas.microsoft.com/office/word/2010/wordml" w:rsidP="2AD4F236" wp14:paraId="77280C48" wp14:textId="05753A2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72B6AE1A" wp14:textId="34E09A86">
      <w:pPr>
        <w:shd w:val="clear" w:color="auto" w:fill="FFFFFF" w:themeFill="background1"/>
        <w:bidi w:val="0"/>
        <w:spacing w:before="195" w:beforeAutospacing="off" w:after="195" w:afterAutospacing="off"/>
      </w:pPr>
    </w:p>
    <w:p xmlns:wp14="http://schemas.microsoft.com/office/word/2010/wordml" w:rsidP="2AD4F236" wp14:paraId="1318EDD2" wp14:textId="4BC35AE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Justification of the Engagement Approach</w:t>
      </w:r>
    </w:p>
    <w:p xmlns:wp14="http://schemas.microsoft.com/office/word/2010/wordml" w:rsidP="2AD4F236" wp14:paraId="77C8A2A4" wp14:textId="65C607B3">
      <w:pPr>
        <w:shd w:val="clear" w:color="auto" w:fill="FFFFFF" w:themeFill="background1"/>
        <w:bidi w:val="0"/>
        <w:spacing w:before="195" w:beforeAutospacing="off" w:after="195" w:afterAutospacing="off"/>
      </w:pPr>
    </w:p>
    <w:p xmlns:wp14="http://schemas.microsoft.com/office/word/2010/wordml" w:rsidP="2AD4F236" wp14:paraId="67167AC0" wp14:textId="03F9544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SETMS engagement model is heavily influenced by Freeman’s (1984) Stakeholder Theory, which emphasises the importance of recognising stakeholder values and balancing their expectations. By adopting a collaborative, transparent approach, the project seeks to create shared value rather than treating engagement as a transactional requirement. Moreover, the method aligns with principles found in ISO 26000, which stress responsible governance, environmental stewardship, and ethical communication (ISO, 2010).</w:t>
      </w:r>
    </w:p>
    <w:p xmlns:wp14="http://schemas.microsoft.com/office/word/2010/wordml" w:rsidP="2AD4F236" wp14:paraId="2A0E3EFA" wp14:textId="02B81E57">
      <w:pPr>
        <w:shd w:val="clear" w:color="auto" w:fill="FFFFFF" w:themeFill="background1"/>
        <w:bidi w:val="0"/>
        <w:spacing w:before="195" w:beforeAutospacing="off" w:after="195" w:afterAutospacing="off"/>
      </w:pPr>
    </w:p>
    <w:p xmlns:wp14="http://schemas.microsoft.com/office/word/2010/wordml" w:rsidP="2AD4F236" wp14:paraId="7775B9E6" wp14:textId="2407A36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xml:space="preserve">The project also applies principles from the Stakeholder Salience Model (Mitchell, Agle &amp; Wood, 1997), which advocates prioritising stakeholders based on power, legitimacy, and urgency. For instance, the city council’s </w:t>
      </w:r>
      <w:r w:rsidRPr="2AD4F236" w:rsidR="17D09301">
        <w:rPr>
          <w:rFonts w:ascii="Arial" w:hAnsi="Arial" w:eastAsia="Arial" w:cs="Arial"/>
          <w:b w:val="0"/>
          <w:bCs w:val="0"/>
          <w:i w:val="0"/>
          <w:iCs w:val="0"/>
          <w:caps w:val="0"/>
          <w:smallCaps w:val="0"/>
          <w:noProof w:val="0"/>
          <w:color w:val="222222"/>
          <w:sz w:val="24"/>
          <w:szCs w:val="24"/>
          <w:lang w:val="en-GB"/>
        </w:rPr>
        <w:t>important level</w:t>
      </w:r>
      <w:r w:rsidRPr="2AD4F236" w:rsidR="12C2AEF3">
        <w:rPr>
          <w:rFonts w:ascii="Arial" w:hAnsi="Arial" w:eastAsia="Arial" w:cs="Arial"/>
          <w:b w:val="0"/>
          <w:bCs w:val="0"/>
          <w:i w:val="0"/>
          <w:iCs w:val="0"/>
          <w:caps w:val="0"/>
          <w:smallCaps w:val="0"/>
          <w:noProof w:val="0"/>
          <w:color w:val="222222"/>
          <w:sz w:val="24"/>
          <w:szCs w:val="24"/>
          <w:lang w:val="en-GB"/>
        </w:rPr>
        <w:t xml:space="preserve"> of salience demands sustained high-level engagement, </w:t>
      </w:r>
      <w:r w:rsidRPr="2AD4F236" w:rsidR="12C2AEF3">
        <w:rPr>
          <w:rFonts w:ascii="Arial" w:hAnsi="Arial" w:eastAsia="Arial" w:cs="Arial"/>
          <w:b w:val="0"/>
          <w:bCs w:val="0"/>
          <w:i w:val="0"/>
          <w:iCs w:val="0"/>
          <w:caps w:val="0"/>
          <w:smallCaps w:val="0"/>
          <w:noProof w:val="0"/>
          <w:color w:val="222222"/>
          <w:sz w:val="24"/>
          <w:szCs w:val="24"/>
          <w:lang w:val="en-GB"/>
        </w:rPr>
        <w:t>whereas</w:t>
      </w:r>
      <w:r w:rsidRPr="2AD4F236" w:rsidR="12C2AEF3">
        <w:rPr>
          <w:rFonts w:ascii="Arial" w:hAnsi="Arial" w:eastAsia="Arial" w:cs="Arial"/>
          <w:b w:val="0"/>
          <w:bCs w:val="0"/>
          <w:i w:val="0"/>
          <w:iCs w:val="0"/>
          <w:caps w:val="0"/>
          <w:smallCaps w:val="0"/>
          <w:noProof w:val="0"/>
          <w:color w:val="222222"/>
          <w:sz w:val="24"/>
          <w:szCs w:val="24"/>
          <w:lang w:val="en-GB"/>
        </w:rPr>
        <w:t xml:space="preserve"> citizen groups require tailored, accessible communication to </w:t>
      </w:r>
      <w:r w:rsidRPr="2AD4F236" w:rsidR="12C2AEF3">
        <w:rPr>
          <w:rFonts w:ascii="Arial" w:hAnsi="Arial" w:eastAsia="Arial" w:cs="Arial"/>
          <w:b w:val="0"/>
          <w:bCs w:val="0"/>
          <w:i w:val="0"/>
          <w:iCs w:val="0"/>
          <w:caps w:val="0"/>
          <w:smallCaps w:val="0"/>
          <w:noProof w:val="0"/>
          <w:color w:val="222222"/>
          <w:sz w:val="24"/>
          <w:szCs w:val="24"/>
          <w:lang w:val="en-GB"/>
        </w:rPr>
        <w:t>maintain</w:t>
      </w:r>
      <w:r w:rsidRPr="2AD4F236" w:rsidR="12C2AEF3">
        <w:rPr>
          <w:rFonts w:ascii="Arial" w:hAnsi="Arial" w:eastAsia="Arial" w:cs="Arial"/>
          <w:b w:val="0"/>
          <w:bCs w:val="0"/>
          <w:i w:val="0"/>
          <w:iCs w:val="0"/>
          <w:caps w:val="0"/>
          <w:smallCaps w:val="0"/>
          <w:noProof w:val="0"/>
          <w:color w:val="222222"/>
          <w:sz w:val="24"/>
          <w:szCs w:val="24"/>
          <w:lang w:val="en-GB"/>
        </w:rPr>
        <w:t xml:space="preserve"> legitimacy.</w:t>
      </w:r>
    </w:p>
    <w:p xmlns:wp14="http://schemas.microsoft.com/office/word/2010/wordml" w:rsidP="2AD4F236" wp14:paraId="63053883" wp14:textId="44F76F13">
      <w:pPr>
        <w:shd w:val="clear" w:color="auto" w:fill="FFFFFF" w:themeFill="background1"/>
        <w:bidi w:val="0"/>
        <w:spacing w:before="195" w:beforeAutospacing="off" w:after="195" w:afterAutospacing="off"/>
      </w:pPr>
    </w:p>
    <w:p xmlns:wp14="http://schemas.microsoft.com/office/word/2010/wordml" w:rsidP="2AD4F236" wp14:paraId="1CF5B036" wp14:textId="0815E25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5DFA18D0" wp14:textId="2995FFF9">
      <w:pPr>
        <w:shd w:val="clear" w:color="auto" w:fill="FFFFFF" w:themeFill="background1"/>
        <w:bidi w:val="0"/>
        <w:spacing w:before="195" w:beforeAutospacing="off" w:after="195" w:afterAutospacing="off"/>
      </w:pPr>
    </w:p>
    <w:p xmlns:wp14="http://schemas.microsoft.com/office/word/2010/wordml" w:rsidP="2AD4F236" wp14:paraId="37394BF6" wp14:textId="1917538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Conflict Management Strategy</w:t>
      </w:r>
    </w:p>
    <w:p xmlns:wp14="http://schemas.microsoft.com/office/word/2010/wordml" w:rsidP="2AD4F236" wp14:paraId="1F712C74" wp14:textId="2FF24453">
      <w:pPr>
        <w:shd w:val="clear" w:color="auto" w:fill="FFFFFF" w:themeFill="background1"/>
        <w:bidi w:val="0"/>
        <w:spacing w:before="195" w:beforeAutospacing="off" w:after="195" w:afterAutospacing="off"/>
      </w:pPr>
    </w:p>
    <w:p xmlns:wp14="http://schemas.microsoft.com/office/word/2010/wordml" w:rsidP="2AD4F236" wp14:paraId="72031668" wp14:textId="0FB1CAB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xml:space="preserve">Given the diverse priorities among stakeholders, conflicts may be inevitable. </w:t>
      </w:r>
      <w:r w:rsidRPr="2AD4F236" w:rsidR="3AEC6EC3">
        <w:rPr>
          <w:rFonts w:ascii="Arial" w:hAnsi="Arial" w:eastAsia="Arial" w:cs="Arial"/>
          <w:b w:val="0"/>
          <w:bCs w:val="0"/>
          <w:i w:val="0"/>
          <w:iCs w:val="0"/>
          <w:caps w:val="0"/>
          <w:smallCaps w:val="0"/>
          <w:noProof w:val="0"/>
          <w:color w:val="222222"/>
          <w:sz w:val="24"/>
          <w:szCs w:val="24"/>
          <w:lang w:val="en-GB"/>
        </w:rPr>
        <w:t>Tensions</w:t>
      </w:r>
      <w:r w:rsidRPr="2AD4F236" w:rsidR="12C2AEF3">
        <w:rPr>
          <w:rFonts w:ascii="Arial" w:hAnsi="Arial" w:eastAsia="Arial" w:cs="Arial"/>
          <w:b w:val="0"/>
          <w:bCs w:val="0"/>
          <w:i w:val="0"/>
          <w:iCs w:val="0"/>
          <w:caps w:val="0"/>
          <w:smallCaps w:val="0"/>
          <w:noProof w:val="0"/>
          <w:color w:val="222222"/>
          <w:sz w:val="24"/>
          <w:szCs w:val="24"/>
          <w:lang w:val="en-GB"/>
        </w:rPr>
        <w:t xml:space="preserve"> include:</w:t>
      </w:r>
    </w:p>
    <w:p xmlns:wp14="http://schemas.microsoft.com/office/word/2010/wordml" w:rsidP="2AD4F236" wp14:paraId="7662C3AC" wp14:textId="145D262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Investors prioritising cost control</w:t>
      </w:r>
    </w:p>
    <w:p xmlns:wp14="http://schemas.microsoft.com/office/word/2010/wordml" w:rsidP="2AD4F236" wp14:paraId="29B82591" wp14:textId="6F9CE40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Environmental agencies emphasising emissions reduction</w:t>
      </w:r>
    </w:p>
    <w:p xmlns:wp14="http://schemas.microsoft.com/office/word/2010/wordml" w:rsidP="2AD4F236" wp14:paraId="38FAB9E8" wp14:textId="22AF1DC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Citizens demanding affordability</w:t>
      </w:r>
    </w:p>
    <w:p xmlns:wp14="http://schemas.microsoft.com/office/word/2010/wordml" w:rsidP="2AD4F236" wp14:paraId="2FB1F2BC" wp14:textId="7339862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Operators focusing on operational practicality</w:t>
      </w:r>
    </w:p>
    <w:p xmlns:wp14="http://schemas.microsoft.com/office/word/2010/wordml" w:rsidP="2AD4F236" wp14:paraId="3A469C6D" wp14:textId="299683C2">
      <w:pPr>
        <w:shd w:val="clear" w:color="auto" w:fill="FFFFFF" w:themeFill="background1"/>
        <w:bidi w:val="0"/>
        <w:spacing w:before="195" w:beforeAutospacing="off" w:after="195" w:afterAutospacing="off"/>
      </w:pPr>
    </w:p>
    <w:p xmlns:wp14="http://schemas.microsoft.com/office/word/2010/wordml" w:rsidP="2AD4F236" wp14:paraId="630AF8B2" wp14:textId="36C29EC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To address these, the project will introduce:</w:t>
      </w:r>
    </w:p>
    <w:p xmlns:wp14="http://schemas.microsoft.com/office/word/2010/wordml" w:rsidP="2AD4F236" wp14:paraId="0AAD8AA7" wp14:textId="563776E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A Stakeholder Advisory Committee representing all major groups</w:t>
      </w:r>
    </w:p>
    <w:p xmlns:wp14="http://schemas.microsoft.com/office/word/2010/wordml" w:rsidP="2AD4F236" wp14:paraId="2B357B94" wp14:textId="65F4C62B">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Scheduled mediation sessions for conflict resolution</w:t>
      </w:r>
    </w:p>
    <w:p xmlns:wp14="http://schemas.microsoft.com/office/word/2010/wordml" w:rsidP="2AD4F236" wp14:paraId="6418CB37" wp14:textId="3AB3999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A formal grievance-handling procedure ensuring concerns are documented and escalated systematically</w:t>
      </w:r>
    </w:p>
    <w:p xmlns:wp14="http://schemas.microsoft.com/office/word/2010/wordml" w:rsidP="2AD4F236" wp14:paraId="77338ED2" wp14:textId="088AD08B">
      <w:pPr>
        <w:shd w:val="clear" w:color="auto" w:fill="FFFFFF" w:themeFill="background1"/>
        <w:bidi w:val="0"/>
        <w:spacing w:before="195" w:beforeAutospacing="off" w:after="195" w:afterAutospacing="off"/>
      </w:pPr>
    </w:p>
    <w:p xmlns:wp14="http://schemas.microsoft.com/office/word/2010/wordml" w:rsidP="2AD4F236" wp14:paraId="4E5AD022" wp14:textId="3C1744A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These measures help maintain transparency, reduce delays, and cultivate long-term trust.</w:t>
      </w:r>
    </w:p>
    <w:p xmlns:wp14="http://schemas.microsoft.com/office/word/2010/wordml" w:rsidP="2AD4F236" wp14:paraId="136E35FA" wp14:textId="0474B257">
      <w:pPr>
        <w:shd w:val="clear" w:color="auto" w:fill="FFFFFF" w:themeFill="background1"/>
        <w:bidi w:val="0"/>
        <w:spacing w:before="195" w:beforeAutospacing="off" w:after="195" w:afterAutospacing="off"/>
      </w:pPr>
    </w:p>
    <w:p xmlns:wp14="http://schemas.microsoft.com/office/word/2010/wordml" w:rsidP="2AD4F236" wp14:paraId="73B553F3" wp14:textId="5BF9A2AB">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2EF45DF3" wp14:textId="3F1F5E94">
      <w:pPr>
        <w:shd w:val="clear" w:color="auto" w:fill="FFFFFF" w:themeFill="background1"/>
        <w:bidi w:val="0"/>
        <w:spacing w:before="195" w:beforeAutospacing="off" w:after="195" w:afterAutospacing="off"/>
      </w:pPr>
    </w:p>
    <w:p xmlns:wp14="http://schemas.microsoft.com/office/word/2010/wordml" w:rsidP="2AD4F236" wp14:paraId="3CF0727D" wp14:textId="4B7A0FE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Evaluating Engagement Effectiveness</w:t>
      </w:r>
    </w:p>
    <w:p xmlns:wp14="http://schemas.microsoft.com/office/word/2010/wordml" w:rsidP="2AD4F236" wp14:paraId="6194AD1A" wp14:textId="709EB6B4">
      <w:pPr>
        <w:shd w:val="clear" w:color="auto" w:fill="FFFFFF" w:themeFill="background1"/>
        <w:bidi w:val="0"/>
        <w:spacing w:before="195" w:beforeAutospacing="off" w:after="195" w:afterAutospacing="off"/>
      </w:pPr>
    </w:p>
    <w:p xmlns:wp14="http://schemas.microsoft.com/office/word/2010/wordml" w:rsidP="2AD4F236" wp14:paraId="1FED2D67" wp14:textId="6A39507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Engagement effectiveness will be assessed using Key Performance Indicators (KPIs) such as:</w:t>
      </w:r>
    </w:p>
    <w:p xmlns:wp14="http://schemas.microsoft.com/office/word/2010/wordml" w:rsidP="2AD4F236" wp14:paraId="5BDA5BD3" wp14:textId="67F9B52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Stakeholder satisfaction scores</w:t>
      </w:r>
    </w:p>
    <w:p xmlns:wp14="http://schemas.microsoft.com/office/word/2010/wordml" w:rsidP="2AD4F236" wp14:paraId="124E123E" wp14:textId="3FBEBB7A">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Participation rates in consultations</w:t>
      </w:r>
    </w:p>
    <w:p xmlns:wp14="http://schemas.microsoft.com/office/word/2010/wordml" w:rsidP="2AD4F236" wp14:paraId="15737F56" wp14:textId="7CA2D9FA">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Number of resolved vs. unresolved grievances</w:t>
      </w:r>
    </w:p>
    <w:p xmlns:wp14="http://schemas.microsoft.com/office/word/2010/wordml" w:rsidP="2AD4F236" wp14:paraId="3513615C" wp14:textId="2C4089E0">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Compliance with sustainability benchmarks</w:t>
      </w:r>
    </w:p>
    <w:p xmlns:wp14="http://schemas.microsoft.com/office/word/2010/wordml" w:rsidP="2AD4F236" wp14:paraId="314E290F" wp14:textId="582813C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Reduction in operational challenges linked to miscommunication</w:t>
      </w:r>
    </w:p>
    <w:p xmlns:wp14="http://schemas.microsoft.com/office/word/2010/wordml" w:rsidP="2AD4F236" wp14:paraId="273671A4" wp14:textId="58F0DE50">
      <w:pPr>
        <w:shd w:val="clear" w:color="auto" w:fill="FFFFFF" w:themeFill="background1"/>
        <w:bidi w:val="0"/>
        <w:spacing w:before="195" w:beforeAutospacing="off" w:after="195" w:afterAutospacing="off"/>
      </w:pPr>
    </w:p>
    <w:p xmlns:wp14="http://schemas.microsoft.com/office/word/2010/wordml" w:rsidP="2AD4F236" wp14:paraId="5A2C37DE" wp14:textId="131BA97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These KPIs provide a structured method for assessing progress and identifying areas where engagement strategies may need adjustment.</w:t>
      </w:r>
    </w:p>
    <w:p xmlns:wp14="http://schemas.microsoft.com/office/word/2010/wordml" w:rsidP="2AD4F236" wp14:paraId="3A8658B9" wp14:textId="722660B7">
      <w:pPr>
        <w:shd w:val="clear" w:color="auto" w:fill="FFFFFF" w:themeFill="background1"/>
        <w:bidi w:val="0"/>
        <w:spacing w:before="195" w:beforeAutospacing="off" w:after="195" w:afterAutospacing="off"/>
      </w:pPr>
    </w:p>
    <w:p xmlns:wp14="http://schemas.microsoft.com/office/word/2010/wordml" w:rsidP="2AD4F236" wp14:paraId="0D2F5F1A" wp14:textId="568B34B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4EFA8E08" wp14:textId="2771F47E">
      <w:pPr>
        <w:shd w:val="clear" w:color="auto" w:fill="FFFFFF" w:themeFill="background1"/>
        <w:bidi w:val="0"/>
        <w:spacing w:before="195" w:beforeAutospacing="off" w:after="195" w:afterAutospacing="off"/>
      </w:pPr>
    </w:p>
    <w:p xmlns:wp14="http://schemas.microsoft.com/office/word/2010/wordml" w:rsidP="2AD4F236" wp14:paraId="21E29B42" wp14:textId="32365F35">
      <w:pPr>
        <w:shd w:val="clear" w:color="auto" w:fill="FFFFFF" w:themeFill="background1"/>
        <w:bidi w:val="0"/>
        <w:spacing w:before="195" w:beforeAutospacing="off" w:after="195" w:afterAutospacing="off"/>
        <w:rPr>
          <w:rFonts w:ascii="Arial" w:hAnsi="Arial" w:eastAsia="Arial" w:cs="Arial"/>
          <w:b w:val="1"/>
          <w:bCs w:val="1"/>
          <w:i w:val="0"/>
          <w:iCs w:val="0"/>
          <w:caps w:val="0"/>
          <w:smallCaps w:val="0"/>
          <w:noProof w:val="0"/>
          <w:color w:val="222222"/>
          <w:sz w:val="28"/>
          <w:szCs w:val="28"/>
          <w:lang w:val="en-GB"/>
        </w:rPr>
      </w:pPr>
      <w:r w:rsidRPr="2AD4F236" w:rsidR="12C2AEF3">
        <w:rPr>
          <w:rFonts w:ascii="Arial" w:hAnsi="Arial" w:eastAsia="Arial" w:cs="Arial"/>
          <w:b w:val="1"/>
          <w:bCs w:val="1"/>
          <w:i w:val="0"/>
          <w:iCs w:val="0"/>
          <w:caps w:val="0"/>
          <w:smallCaps w:val="0"/>
          <w:noProof w:val="0"/>
          <w:color w:val="222222"/>
          <w:sz w:val="28"/>
          <w:szCs w:val="28"/>
          <w:lang w:val="en-GB"/>
        </w:rPr>
        <w:t>Ethical Considerations</w:t>
      </w:r>
      <w:r w:rsidRPr="2AD4F236" w:rsidR="1F9F8AE5">
        <w:rPr>
          <w:rFonts w:ascii="Arial" w:hAnsi="Arial" w:eastAsia="Arial" w:cs="Arial"/>
          <w:b w:val="1"/>
          <w:bCs w:val="1"/>
          <w:i w:val="0"/>
          <w:iCs w:val="0"/>
          <w:caps w:val="0"/>
          <w:smallCaps w:val="0"/>
          <w:noProof w:val="0"/>
          <w:color w:val="222222"/>
          <w:sz w:val="28"/>
          <w:szCs w:val="28"/>
          <w:lang w:val="en-GB"/>
        </w:rPr>
        <w:t>:</w:t>
      </w:r>
    </w:p>
    <w:p xmlns:wp14="http://schemas.microsoft.com/office/word/2010/wordml" w:rsidP="2AD4F236" wp14:paraId="054EE036" wp14:textId="0FC10A93">
      <w:pPr>
        <w:shd w:val="clear" w:color="auto" w:fill="FFFFFF" w:themeFill="background1"/>
        <w:bidi w:val="0"/>
        <w:spacing w:before="195" w:beforeAutospacing="off" w:after="195" w:afterAutospacing="off"/>
      </w:pPr>
    </w:p>
    <w:p xmlns:wp14="http://schemas.microsoft.com/office/word/2010/wordml" w:rsidP="2AD4F236" wp14:paraId="7BFBCDCE" wp14:textId="325248D1">
      <w:pPr>
        <w:shd w:val="clear" w:color="auto" w:fill="FFFFFF" w:themeFill="background1"/>
        <w:bidi w:val="0"/>
        <w:spacing w:before="195" w:beforeAutospacing="off" w:after="195" w:afterAutospacing="off"/>
      </w:pPr>
      <w:r w:rsidRPr="2AD4F236" w:rsidR="12708E0D">
        <w:rPr>
          <w:rFonts w:ascii="Arial" w:hAnsi="Arial" w:eastAsia="Arial" w:cs="Arial"/>
          <w:b w:val="0"/>
          <w:bCs w:val="0"/>
          <w:i w:val="0"/>
          <w:iCs w:val="0"/>
          <w:caps w:val="0"/>
          <w:smallCaps w:val="0"/>
          <w:noProof w:val="0"/>
          <w:color w:val="222222"/>
          <w:sz w:val="24"/>
          <w:szCs w:val="24"/>
          <w:lang w:val="en-GB"/>
        </w:rPr>
        <w:t>Ethical considerations must also account for the long-term societal effects of digital mobility systems. Smart transport infrastructure often creates unintended consequences if not monitored carefully. For example, the use of predictive analytics in route optimisation could unintentionally deprioritise low-income or rural communities if data models favour high-demand areas. To prevent this, the project’s Ethics and Governance Committee will conduct impact assessments to identify where algorithms may introduce bias. These assessments will be supported by external auditors specialising in digital ethics, ensuring impartial oversight. There will also be a requirement for human review of automated decisions, especially those affecting service frequency or access for vulnerable groups.</w:t>
      </w:r>
    </w:p>
    <w:p xmlns:wp14="http://schemas.microsoft.com/office/word/2010/wordml" w:rsidP="2AD4F236" wp14:paraId="6FD6B160" wp14:textId="5B66380E">
      <w:pPr>
        <w:shd w:val="clear" w:color="auto" w:fill="FFFFFF" w:themeFill="background1"/>
        <w:bidi w:val="0"/>
        <w:spacing w:before="195" w:beforeAutospacing="off" w:after="195" w:afterAutospacing="off"/>
      </w:pPr>
    </w:p>
    <w:p xmlns:wp14="http://schemas.microsoft.com/office/word/2010/wordml" w:rsidP="2AD4F236" wp14:paraId="0C93CA41" wp14:textId="1D3E016F">
      <w:pPr>
        <w:shd w:val="clear" w:color="auto" w:fill="FFFFFF" w:themeFill="background1"/>
        <w:bidi w:val="0"/>
        <w:spacing w:before="195" w:beforeAutospacing="off" w:after="195" w:afterAutospacing="off"/>
      </w:pPr>
      <w:r w:rsidRPr="2AD4F236" w:rsidR="12708E0D">
        <w:rPr>
          <w:rFonts w:ascii="Arial" w:hAnsi="Arial" w:eastAsia="Arial" w:cs="Arial"/>
          <w:b w:val="0"/>
          <w:bCs w:val="0"/>
          <w:i w:val="0"/>
          <w:iCs w:val="0"/>
          <w:caps w:val="0"/>
          <w:smallCaps w:val="0"/>
          <w:noProof w:val="0"/>
          <w:color w:val="222222"/>
          <w:sz w:val="24"/>
          <w:szCs w:val="24"/>
          <w:lang w:val="en-GB"/>
        </w:rPr>
        <w:t>In addition, the project acknowledges the digital divide. Although many users will access journey updates or ticketing services through smartphone applications, not all residents have access to reliable devices or internet service. To ensure fairness, the SETMS will maintain traditional information channels such as printed timetables, on-street digital boards, and staffed help points. Ethical transport planning requires that no group is disadvantaged by technological change. Therefore, clear ethical principles will guide procurement, community engagement, and decision-making, helping the SETMS maintain public trust and uphold fairness.</w:t>
      </w:r>
    </w:p>
    <w:p xmlns:wp14="http://schemas.microsoft.com/office/word/2010/wordml" w:rsidP="2AD4F236" wp14:paraId="0FC75805" wp14:textId="793DD3CD">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787A1443" wp14:textId="0500CDE3">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7CC18334" wp14:textId="443BD31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Large-scale smart transport systems generate extensive streams of data, making ethics a central concern. Ethical management strengthens trust, supports inclusivity, and ensures legal compliance throughout the lifecycle of the SETMS.</w:t>
      </w:r>
    </w:p>
    <w:p xmlns:wp14="http://schemas.microsoft.com/office/word/2010/wordml" w:rsidP="2AD4F236" wp14:paraId="0B8864AC" wp14:textId="152752B5">
      <w:pPr>
        <w:shd w:val="clear" w:color="auto" w:fill="FFFFFF" w:themeFill="background1"/>
        <w:bidi w:val="0"/>
        <w:spacing w:before="195" w:beforeAutospacing="off" w:after="195" w:afterAutospacing="off"/>
      </w:pPr>
    </w:p>
    <w:p xmlns:wp14="http://schemas.microsoft.com/office/word/2010/wordml" w:rsidP="2AD4F236" wp14:paraId="4D5EAFBF" wp14:textId="0DEB55AF">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7DDFF3F3" wp14:textId="296CA6B3">
      <w:pPr>
        <w:shd w:val="clear" w:color="auto" w:fill="FFFFFF" w:themeFill="background1"/>
        <w:bidi w:val="0"/>
        <w:spacing w:before="195" w:beforeAutospacing="off" w:after="195" w:afterAutospacing="off"/>
      </w:pPr>
    </w:p>
    <w:p xmlns:wp14="http://schemas.microsoft.com/office/word/2010/wordml" w:rsidP="2AD4F236" wp14:paraId="17C16A32" wp14:textId="091A22B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Methods of Consultation</w:t>
      </w:r>
    </w:p>
    <w:p xmlns:wp14="http://schemas.microsoft.com/office/word/2010/wordml" w:rsidP="2AD4F236" wp14:paraId="095D997D" wp14:textId="27E1F74F">
      <w:pPr>
        <w:shd w:val="clear" w:color="auto" w:fill="FFFFFF" w:themeFill="background1"/>
        <w:bidi w:val="0"/>
        <w:spacing w:before="195" w:beforeAutospacing="off" w:after="195" w:afterAutospacing="off"/>
      </w:pPr>
    </w:p>
    <w:p xmlns:wp14="http://schemas.microsoft.com/office/word/2010/wordml" w:rsidP="2AD4F236" wp14:paraId="1D8065CD" wp14:textId="69CB2FC7">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Consultation activities will be designed to reach a wide demographic, ensuring that marginalised groups are not excluded. Proposed methods include:</w:t>
      </w:r>
    </w:p>
    <w:p xmlns:wp14="http://schemas.microsoft.com/office/word/2010/wordml" w:rsidP="2AD4F236" wp14:paraId="2E198F1D" wp14:textId="0377FA8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Public meetings held at accessible locations</w:t>
      </w:r>
    </w:p>
    <w:p xmlns:wp14="http://schemas.microsoft.com/office/word/2010/wordml" w:rsidP="2AD4F236" wp14:paraId="07934693" wp14:textId="6D12A50B">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Online surveys designed to meet WCAG 2.1 accessibility standards</w:t>
      </w:r>
    </w:p>
    <w:p xmlns:wp14="http://schemas.microsoft.com/office/word/2010/wordml" w:rsidP="2AD4F236" wp14:paraId="7ACBE9CB" wp14:textId="5A4C46F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Mobile app feedback tools for real-time input</w:t>
      </w:r>
    </w:p>
    <w:p xmlns:wp14="http://schemas.microsoft.com/office/word/2010/wordml" w:rsidP="2AD4F236" wp14:paraId="0318014F" wp14:textId="49C8E7BF">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Workshops with vulnerable groups such as elderly passengers and individuals with mobility impairments</w:t>
      </w:r>
    </w:p>
    <w:p xmlns:wp14="http://schemas.microsoft.com/office/word/2010/wordml" w:rsidP="2AD4F236" wp14:paraId="08314DE8" wp14:textId="6A521857">
      <w:pPr>
        <w:shd w:val="clear" w:color="auto" w:fill="FFFFFF" w:themeFill="background1"/>
        <w:bidi w:val="0"/>
        <w:spacing w:before="195" w:beforeAutospacing="off" w:after="195" w:afterAutospacing="off"/>
      </w:pPr>
    </w:p>
    <w:p xmlns:wp14="http://schemas.microsoft.com/office/word/2010/wordml" w:rsidP="2AD4F236" wp14:paraId="58DC79A5" wp14:textId="70DE71D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These methods ensure that consultation is not merely symbolic, but a meaningful driver of design and policy refinement.</w:t>
      </w:r>
    </w:p>
    <w:p xmlns:wp14="http://schemas.microsoft.com/office/word/2010/wordml" w:rsidP="2AD4F236" wp14:paraId="75AD3EC8" wp14:textId="55C96EA1">
      <w:pPr>
        <w:shd w:val="clear" w:color="auto" w:fill="FFFFFF" w:themeFill="background1"/>
        <w:bidi w:val="0"/>
        <w:spacing w:before="195" w:beforeAutospacing="off" w:after="195" w:afterAutospacing="off"/>
      </w:pPr>
    </w:p>
    <w:p xmlns:wp14="http://schemas.microsoft.com/office/word/2010/wordml" w:rsidP="2AD4F236" wp14:paraId="3D8F67C1" wp14:textId="5F02354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2CD64C0A" wp14:textId="0C4C1600">
      <w:pPr>
        <w:shd w:val="clear" w:color="auto" w:fill="FFFFFF" w:themeFill="background1"/>
        <w:bidi w:val="0"/>
        <w:spacing w:before="195" w:beforeAutospacing="off" w:after="195" w:afterAutospacing="off"/>
      </w:pPr>
    </w:p>
    <w:p xmlns:wp14="http://schemas.microsoft.com/office/word/2010/wordml" w:rsidP="2AD4F236" wp14:paraId="45D6F87E" wp14:textId="1203295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Ethical Data Handling</w:t>
      </w:r>
    </w:p>
    <w:p xmlns:wp14="http://schemas.microsoft.com/office/word/2010/wordml" w:rsidP="2AD4F236" wp14:paraId="68027CCA" wp14:textId="52898151">
      <w:pPr>
        <w:shd w:val="clear" w:color="auto" w:fill="FFFFFF" w:themeFill="background1"/>
        <w:bidi w:val="0"/>
        <w:spacing w:before="195" w:beforeAutospacing="off" w:after="195" w:afterAutospacing="off"/>
      </w:pPr>
    </w:p>
    <w:p xmlns:wp14="http://schemas.microsoft.com/office/word/2010/wordml" w:rsidP="2AD4F236" wp14:paraId="15F6F0B2" wp14:textId="5E57EE47">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As the SETMS relies on live tracking, smart sensors, and user application data, strong data-protection standards are essential. The system will comply fully with:</w:t>
      </w:r>
    </w:p>
    <w:p xmlns:wp14="http://schemas.microsoft.com/office/word/2010/wordml" w:rsidP="2AD4F236" wp14:paraId="2FBF8EA8" wp14:textId="04138E5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UK General Data Protection Regulation (UK GDPR)</w:t>
      </w:r>
    </w:p>
    <w:p xmlns:wp14="http://schemas.microsoft.com/office/word/2010/wordml" w:rsidP="2AD4F236" wp14:paraId="3BF4DAAC" wp14:textId="025574A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Data Protection Act 2018</w:t>
      </w:r>
    </w:p>
    <w:p xmlns:wp14="http://schemas.microsoft.com/office/word/2010/wordml" w:rsidP="2AD4F236" wp14:paraId="0FBF47EF" wp14:textId="645CC8D3">
      <w:pPr>
        <w:shd w:val="clear" w:color="auto" w:fill="FFFFFF" w:themeFill="background1"/>
        <w:bidi w:val="0"/>
        <w:spacing w:before="195" w:beforeAutospacing="off" w:after="195" w:afterAutospacing="off"/>
      </w:pPr>
    </w:p>
    <w:p xmlns:wp14="http://schemas.microsoft.com/office/word/2010/wordml" w:rsidP="2AD4F236" wp14:paraId="1976D623" wp14:textId="7DD4FAA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Ethical data practices include:</w:t>
      </w:r>
    </w:p>
    <w:p xmlns:wp14="http://schemas.microsoft.com/office/word/2010/wordml" w:rsidP="2AD4F236" wp14:paraId="47978880" wp14:textId="5421FB5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Obtaining informed consent</w:t>
      </w:r>
    </w:p>
    <w:p xmlns:wp14="http://schemas.microsoft.com/office/word/2010/wordml" w:rsidP="2AD4F236" wp14:paraId="3DFF64A8" wp14:textId="54B0257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Anonymising personal data wherever possible</w:t>
      </w:r>
    </w:p>
    <w:p xmlns:wp14="http://schemas.microsoft.com/office/word/2010/wordml" w:rsidP="2AD4F236" wp14:paraId="63568C45" wp14:textId="2F14A5E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Secure data storage with encryption</w:t>
      </w:r>
    </w:p>
    <w:p xmlns:wp14="http://schemas.microsoft.com/office/word/2010/wordml" w:rsidP="2AD4F236" wp14:paraId="630D8778" wp14:textId="693864C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Clear retention and deletion policies</w:t>
      </w:r>
    </w:p>
    <w:p xmlns:wp14="http://schemas.microsoft.com/office/word/2010/wordml" w:rsidP="2AD4F236" wp14:paraId="26419C38" wp14:textId="05246B9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Allowing users to withdraw their data at any time</w:t>
      </w:r>
    </w:p>
    <w:p xmlns:wp14="http://schemas.microsoft.com/office/word/2010/wordml" w:rsidP="2AD4F236" wp14:paraId="36E7C858" wp14:textId="6AE434B2">
      <w:pPr>
        <w:shd w:val="clear" w:color="auto" w:fill="FFFFFF" w:themeFill="background1"/>
        <w:bidi w:val="0"/>
        <w:spacing w:before="195" w:beforeAutospacing="off" w:after="195" w:afterAutospacing="off"/>
      </w:pPr>
    </w:p>
    <w:p xmlns:wp14="http://schemas.microsoft.com/office/word/2010/wordml" w:rsidP="2AD4F236" wp14:paraId="1A55B285" wp14:textId="4A3B5BB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Information Commissioner’s Office (ICO) provides guidance ensuring that data access, storage, and sharing adhere to the principles of lawfulness, fairness, and transparency (ICO, 2022).</w:t>
      </w:r>
    </w:p>
    <w:p xmlns:wp14="http://schemas.microsoft.com/office/word/2010/wordml" w:rsidP="2AD4F236" wp14:paraId="4B722C81" wp14:textId="2E22B05F">
      <w:pPr>
        <w:shd w:val="clear" w:color="auto" w:fill="FFFFFF" w:themeFill="background1"/>
        <w:bidi w:val="0"/>
        <w:spacing w:before="195" w:beforeAutospacing="off" w:after="195" w:afterAutospacing="off"/>
      </w:pPr>
    </w:p>
    <w:p xmlns:wp14="http://schemas.microsoft.com/office/word/2010/wordml" w:rsidP="2AD4F236" wp14:paraId="3DBE3584" wp14:textId="1981682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212C0809" wp14:textId="2F777530">
      <w:pPr>
        <w:shd w:val="clear" w:color="auto" w:fill="FFFFFF" w:themeFill="background1"/>
        <w:bidi w:val="0"/>
        <w:spacing w:before="195" w:beforeAutospacing="off" w:after="195" w:afterAutospacing="off"/>
      </w:pPr>
    </w:p>
    <w:p xmlns:wp14="http://schemas.microsoft.com/office/word/2010/wordml" w:rsidP="2AD4F236" wp14:paraId="3EE3FB6C" wp14:textId="7E52F77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Equity, Diversity, and Inclusion (DEI)</w:t>
      </w:r>
    </w:p>
    <w:p xmlns:wp14="http://schemas.microsoft.com/office/word/2010/wordml" w:rsidP="2AD4F236" wp14:paraId="6EF1A855" wp14:textId="0C74653A">
      <w:pPr>
        <w:shd w:val="clear" w:color="auto" w:fill="FFFFFF" w:themeFill="background1"/>
        <w:bidi w:val="0"/>
        <w:spacing w:before="195" w:beforeAutospacing="off" w:after="195" w:afterAutospacing="off"/>
      </w:pPr>
    </w:p>
    <w:p xmlns:wp14="http://schemas.microsoft.com/office/word/2010/wordml" w:rsidP="2AD4F236" wp14:paraId="7CC85D5B" wp14:textId="2652719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An ethical stakeholder approach must prioritise equity and inclusion. For this reason, the project will:</w:t>
      </w:r>
    </w:p>
    <w:p xmlns:wp14="http://schemas.microsoft.com/office/word/2010/wordml" w:rsidP="2AD4F236" wp14:paraId="042A2FC0" wp14:textId="4013F99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Use inclusive language in all communication</w:t>
      </w:r>
    </w:p>
    <w:p xmlns:wp14="http://schemas.microsoft.com/office/word/2010/wordml" w:rsidP="2AD4F236" wp14:paraId="5D762418" wp14:textId="252E736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Provide materials in multiple formats (easy-read, translations, audio)</w:t>
      </w:r>
    </w:p>
    <w:p xmlns:wp14="http://schemas.microsoft.com/office/word/2010/wordml" w:rsidP="2AD4F236" wp14:paraId="20001A17" wp14:textId="0249FA9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Ensure venues for public meetings meet accessibility standards</w:t>
      </w:r>
    </w:p>
    <w:p xmlns:wp14="http://schemas.microsoft.com/office/word/2010/wordml" w:rsidP="2AD4F236" wp14:paraId="437C0AFA" wp14:textId="0A940D2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Offer sign-language interpretation where needed</w:t>
      </w:r>
    </w:p>
    <w:p xmlns:wp14="http://schemas.microsoft.com/office/word/2010/wordml" w:rsidP="2AD4F236" wp14:paraId="5F84E2A6" wp14:textId="1FEE9EA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Engage community groups that represent minority populations</w:t>
      </w:r>
    </w:p>
    <w:p xmlns:wp14="http://schemas.microsoft.com/office/word/2010/wordml" w:rsidP="2AD4F236" wp14:paraId="3AFCB345" wp14:textId="58F9C77B">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Consider affordability and accessibility when designing service models</w:t>
      </w:r>
    </w:p>
    <w:p xmlns:wp14="http://schemas.microsoft.com/office/word/2010/wordml" w:rsidP="2AD4F236" wp14:paraId="7D6564D8" wp14:textId="71BC79A8">
      <w:pPr>
        <w:shd w:val="clear" w:color="auto" w:fill="FFFFFF" w:themeFill="background1"/>
        <w:bidi w:val="0"/>
        <w:spacing w:before="195" w:beforeAutospacing="off" w:after="195" w:afterAutospacing="off"/>
      </w:pPr>
    </w:p>
    <w:p xmlns:wp14="http://schemas.microsoft.com/office/word/2010/wordml" w:rsidP="2AD4F236" wp14:paraId="227528C1" wp14:textId="149EC81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These measures ensure representation across socio-economic background, ethnicity, gender, and disability, strengthening both fairness and legitimacy.</w:t>
      </w:r>
    </w:p>
    <w:p xmlns:wp14="http://schemas.microsoft.com/office/word/2010/wordml" w:rsidP="2AD4F236" wp14:paraId="4B784CAC" wp14:textId="22E445FA">
      <w:pPr>
        <w:shd w:val="clear" w:color="auto" w:fill="FFFFFF" w:themeFill="background1"/>
        <w:bidi w:val="0"/>
        <w:spacing w:before="195" w:beforeAutospacing="off" w:after="195" w:afterAutospacing="off"/>
      </w:pPr>
    </w:p>
    <w:p xmlns:wp14="http://schemas.microsoft.com/office/word/2010/wordml" w:rsidP="2AD4F236" wp14:paraId="41DCB3CF" wp14:textId="24F1D39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136E6DEA" wp14:textId="24A52627">
      <w:pPr>
        <w:shd w:val="clear" w:color="auto" w:fill="FFFFFF" w:themeFill="background1"/>
        <w:bidi w:val="0"/>
        <w:spacing w:before="195" w:beforeAutospacing="off" w:after="195" w:afterAutospacing="off"/>
      </w:pPr>
    </w:p>
    <w:p xmlns:wp14="http://schemas.microsoft.com/office/word/2010/wordml" w:rsidP="2AD4F236" wp14:paraId="48833BE1" wp14:textId="4D6FEDEF">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Feedback Collection and Review</w:t>
      </w:r>
    </w:p>
    <w:p xmlns:wp14="http://schemas.microsoft.com/office/word/2010/wordml" w:rsidP="2AD4F236" wp14:paraId="7BEF2854" wp14:textId="61558DAF">
      <w:pPr>
        <w:shd w:val="clear" w:color="auto" w:fill="FFFFFF" w:themeFill="background1"/>
        <w:bidi w:val="0"/>
        <w:spacing w:before="195" w:beforeAutospacing="off" w:after="195" w:afterAutospacing="off"/>
      </w:pPr>
    </w:p>
    <w:p xmlns:wp14="http://schemas.microsoft.com/office/word/2010/wordml" w:rsidP="2AD4F236" wp14:paraId="442EFC2E" wp14:textId="471FED77">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Feedback will be collected through:</w:t>
      </w:r>
    </w:p>
    <w:p xmlns:wp14="http://schemas.microsoft.com/office/word/2010/wordml" w:rsidP="2AD4F236" wp14:paraId="255BE110" wp14:textId="6FC7928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Structured feedback forms</w:t>
      </w:r>
    </w:p>
    <w:p xmlns:wp14="http://schemas.microsoft.com/office/word/2010/wordml" w:rsidP="2AD4F236" wp14:paraId="1D8AB83A" wp14:textId="66F12BEC">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Anonymous channels supporting honest expression</w:t>
      </w:r>
    </w:p>
    <w:p xmlns:wp14="http://schemas.microsoft.com/office/word/2010/wordml" w:rsidP="2AD4F236" wp14:paraId="22F796F2" wp14:textId="31023B2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Public consultations</w:t>
      </w:r>
    </w:p>
    <w:p xmlns:wp14="http://schemas.microsoft.com/office/word/2010/wordml" w:rsidP="2AD4F236" wp14:paraId="33A10A29" wp14:textId="6039C562">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In-app feedback mechanisms</w:t>
      </w:r>
    </w:p>
    <w:p xmlns:wp14="http://schemas.microsoft.com/office/word/2010/wordml" w:rsidP="2AD4F236" wp14:paraId="40BE1FB7" wp14:textId="693B62B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Stakeholder roundtable discussions</w:t>
      </w:r>
    </w:p>
    <w:p xmlns:wp14="http://schemas.microsoft.com/office/word/2010/wordml" w:rsidP="2AD4F236" wp14:paraId="71179333" wp14:textId="2709BF7E">
      <w:pPr>
        <w:shd w:val="clear" w:color="auto" w:fill="FFFFFF" w:themeFill="background1"/>
        <w:bidi w:val="0"/>
        <w:spacing w:before="195" w:beforeAutospacing="off" w:after="195" w:afterAutospacing="off"/>
      </w:pPr>
    </w:p>
    <w:p xmlns:wp14="http://schemas.microsoft.com/office/word/2010/wordml" w:rsidP="2AD4F236" wp14:paraId="44D75FEA" wp14:textId="633D46D6">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All feedback will be analysed using a transparent review framework. Key themes will be summarised and integrated into design changes. Importantly, stakeholders will be informed about how their feedback influenced decisions—closing the loop and maintaining confidence.</w:t>
      </w:r>
    </w:p>
    <w:p xmlns:wp14="http://schemas.microsoft.com/office/word/2010/wordml" w:rsidP="2AD4F236" wp14:paraId="0A6BC18C" wp14:textId="5C9D146B">
      <w:pPr>
        <w:shd w:val="clear" w:color="auto" w:fill="FFFFFF" w:themeFill="background1"/>
        <w:bidi w:val="0"/>
        <w:spacing w:before="195" w:beforeAutospacing="off" w:after="195" w:afterAutospacing="off"/>
      </w:pPr>
    </w:p>
    <w:p xmlns:wp14="http://schemas.microsoft.com/office/word/2010/wordml" w:rsidP="2AD4F236" wp14:paraId="5E09E72F" wp14:textId="7973A17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26AAB09C" wp14:textId="596F8C0D">
      <w:pPr>
        <w:shd w:val="clear" w:color="auto" w:fill="FFFFFF" w:themeFill="background1"/>
        <w:bidi w:val="0"/>
        <w:spacing w:before="195" w:beforeAutospacing="off" w:after="195" w:afterAutospacing="off"/>
      </w:pPr>
    </w:p>
    <w:p xmlns:wp14="http://schemas.microsoft.com/office/word/2010/wordml" w:rsidP="2AD4F236" wp14:paraId="47F391D2" wp14:textId="5714648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Ethical Accountability</w:t>
      </w:r>
    </w:p>
    <w:p xmlns:wp14="http://schemas.microsoft.com/office/word/2010/wordml" w:rsidP="2AD4F236" wp14:paraId="20B48D2B" wp14:textId="2A7252BC">
      <w:pPr>
        <w:shd w:val="clear" w:color="auto" w:fill="FFFFFF" w:themeFill="background1"/>
        <w:bidi w:val="0"/>
        <w:spacing w:before="195" w:beforeAutospacing="off" w:after="195" w:afterAutospacing="off"/>
      </w:pPr>
    </w:p>
    <w:p xmlns:wp14="http://schemas.microsoft.com/office/word/2010/wordml" w:rsidP="2AD4F236" wp14:paraId="29BE82AD" wp14:textId="026FB8E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To reinforce responsible governance, an Ethics and Governance Committee will be established. The committee will:</w:t>
      </w:r>
    </w:p>
    <w:p xmlns:wp14="http://schemas.microsoft.com/office/word/2010/wordml" w:rsidP="2AD4F236" wp14:paraId="0426C283" wp14:textId="32B24D61">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Review consultation materials for accessibility and fairness</w:t>
      </w:r>
    </w:p>
    <w:p xmlns:wp14="http://schemas.microsoft.com/office/word/2010/wordml" w:rsidP="2AD4F236" wp14:paraId="06DDCF3F" wp14:textId="7F70695F">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Oversee data protection compliance</w:t>
      </w:r>
    </w:p>
    <w:p xmlns:wp14="http://schemas.microsoft.com/office/word/2010/wordml" w:rsidP="2AD4F236" wp14:paraId="25CB123E" wp14:textId="7EF462D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Monitor conflicts of interest</w:t>
      </w:r>
    </w:p>
    <w:p xmlns:wp14="http://schemas.microsoft.com/office/word/2010/wordml" w:rsidP="2AD4F236" wp14:paraId="1FC6903D" wp14:textId="2D1E6F1B">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Evaluate risks associated with algorithmic bias or inaccurate data</w:t>
      </w:r>
    </w:p>
    <w:p xmlns:wp14="http://schemas.microsoft.com/office/word/2010/wordml" w:rsidP="2AD4F236" wp14:paraId="5F693175" wp14:textId="33A533A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Publish annual ethics reports</w:t>
      </w:r>
    </w:p>
    <w:p xmlns:wp14="http://schemas.microsoft.com/office/word/2010/wordml" w:rsidP="2AD4F236" wp14:paraId="330BA819" wp14:textId="3C40197A">
      <w:pPr>
        <w:shd w:val="clear" w:color="auto" w:fill="FFFFFF" w:themeFill="background1"/>
        <w:bidi w:val="0"/>
        <w:spacing w:before="195" w:beforeAutospacing="off" w:after="195" w:afterAutospacing="off"/>
      </w:pPr>
    </w:p>
    <w:p xmlns:wp14="http://schemas.microsoft.com/office/word/2010/wordml" w:rsidP="2AD4F236" wp14:paraId="6CCDAF44" wp14:textId="7D26BD14">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Embedding ethics throughout the project reinforces trust, safeguards rights, and strengthens the legitimacy of the SETMS.</w:t>
      </w:r>
    </w:p>
    <w:p xmlns:wp14="http://schemas.microsoft.com/office/word/2010/wordml" w:rsidP="2AD4F236" wp14:paraId="588403E9" wp14:textId="2971BA1A">
      <w:pPr>
        <w:shd w:val="clear" w:color="auto" w:fill="FFFFFF" w:themeFill="background1"/>
        <w:bidi w:val="0"/>
        <w:spacing w:before="195" w:beforeAutospacing="off" w:after="195" w:afterAutospacing="off"/>
      </w:pPr>
    </w:p>
    <w:p xmlns:wp14="http://schemas.microsoft.com/office/word/2010/wordml" w:rsidP="2AD4F236" wp14:paraId="2CF78D2A" wp14:textId="5BA363C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79E19153" wp14:textId="3E868B3A">
      <w:pPr>
        <w:shd w:val="clear" w:color="auto" w:fill="FFFFFF" w:themeFill="background1"/>
        <w:bidi w:val="0"/>
        <w:spacing w:before="195" w:beforeAutospacing="off" w:after="195" w:afterAutospacing="off"/>
      </w:pPr>
    </w:p>
    <w:p xmlns:wp14="http://schemas.microsoft.com/office/word/2010/wordml" w:rsidP="2AD4F236" wp14:paraId="4F9C5E74" wp14:textId="576275DB">
      <w:pPr>
        <w:shd w:val="clear" w:color="auto" w:fill="FFFFFF" w:themeFill="background1"/>
        <w:bidi w:val="0"/>
        <w:spacing w:before="195" w:beforeAutospacing="off" w:after="195" w:afterAutospacing="off"/>
        <w:rPr>
          <w:rFonts w:ascii="Arial" w:hAnsi="Arial" w:eastAsia="Arial" w:cs="Arial"/>
          <w:b w:val="1"/>
          <w:bCs w:val="1"/>
          <w:i w:val="0"/>
          <w:iCs w:val="0"/>
          <w:caps w:val="0"/>
          <w:smallCaps w:val="0"/>
          <w:noProof w:val="0"/>
          <w:color w:val="222222"/>
          <w:sz w:val="28"/>
          <w:szCs w:val="28"/>
          <w:lang w:val="en-GB"/>
        </w:rPr>
      </w:pPr>
      <w:r w:rsidRPr="2AD4F236" w:rsidR="12C2AEF3">
        <w:rPr>
          <w:rFonts w:ascii="Arial" w:hAnsi="Arial" w:eastAsia="Arial" w:cs="Arial"/>
          <w:b w:val="1"/>
          <w:bCs w:val="1"/>
          <w:i w:val="0"/>
          <w:iCs w:val="0"/>
          <w:caps w:val="0"/>
          <w:smallCaps w:val="0"/>
          <w:noProof w:val="0"/>
          <w:color w:val="222222"/>
          <w:sz w:val="28"/>
          <w:szCs w:val="28"/>
          <w:lang w:val="en-GB"/>
        </w:rPr>
        <w:t>Conclusion and Reflection</w:t>
      </w:r>
      <w:r w:rsidRPr="2AD4F236" w:rsidR="4E463748">
        <w:rPr>
          <w:rFonts w:ascii="Arial" w:hAnsi="Arial" w:eastAsia="Arial" w:cs="Arial"/>
          <w:b w:val="1"/>
          <w:bCs w:val="1"/>
          <w:i w:val="0"/>
          <w:iCs w:val="0"/>
          <w:caps w:val="0"/>
          <w:smallCaps w:val="0"/>
          <w:noProof w:val="0"/>
          <w:color w:val="222222"/>
          <w:sz w:val="28"/>
          <w:szCs w:val="28"/>
          <w:lang w:val="en-GB"/>
        </w:rPr>
        <w:t>:</w:t>
      </w:r>
    </w:p>
    <w:p xmlns:wp14="http://schemas.microsoft.com/office/word/2010/wordml" w:rsidP="2AD4F236" wp14:paraId="5868A6ED" wp14:textId="68A2D325">
      <w:pPr>
        <w:shd w:val="clear" w:color="auto" w:fill="FFFFFF" w:themeFill="background1"/>
        <w:bidi w:val="0"/>
        <w:spacing w:before="195" w:beforeAutospacing="off" w:after="195" w:afterAutospacing="off"/>
      </w:pPr>
    </w:p>
    <w:p xmlns:wp14="http://schemas.microsoft.com/office/word/2010/wordml" w:rsidP="2AD4F236" wp14:paraId="394F8EAB" wp14:textId="3522F7CF">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xml:space="preserve">The SETMS project </w:t>
      </w:r>
      <w:r w:rsidRPr="2AD4F236" w:rsidR="12C2AEF3">
        <w:rPr>
          <w:rFonts w:ascii="Arial" w:hAnsi="Arial" w:eastAsia="Arial" w:cs="Arial"/>
          <w:b w:val="0"/>
          <w:bCs w:val="0"/>
          <w:i w:val="0"/>
          <w:iCs w:val="0"/>
          <w:caps w:val="0"/>
          <w:smallCaps w:val="0"/>
          <w:noProof w:val="0"/>
          <w:color w:val="222222"/>
          <w:sz w:val="24"/>
          <w:szCs w:val="24"/>
          <w:lang w:val="en-GB"/>
        </w:rPr>
        <w:t>demonstrates</w:t>
      </w:r>
      <w:r w:rsidRPr="2AD4F236" w:rsidR="12C2AEF3">
        <w:rPr>
          <w:rFonts w:ascii="Arial" w:hAnsi="Arial" w:eastAsia="Arial" w:cs="Arial"/>
          <w:b w:val="0"/>
          <w:bCs w:val="0"/>
          <w:i w:val="0"/>
          <w:iCs w:val="0"/>
          <w:caps w:val="0"/>
          <w:smallCaps w:val="0"/>
          <w:noProof w:val="0"/>
          <w:color w:val="222222"/>
          <w:sz w:val="24"/>
          <w:szCs w:val="24"/>
          <w:lang w:val="en-GB"/>
        </w:rPr>
        <w:t xml:space="preserve"> how thoughtful stakeholder engagement can shape the success of modern transport initiatives. Smart mobility requires more than technological investment; it requires socially grounded, ethically robust, and inclusive planning.</w:t>
      </w:r>
    </w:p>
    <w:p xmlns:wp14="http://schemas.microsoft.com/office/word/2010/wordml" w:rsidP="2AD4F236" wp14:paraId="78594BFD" wp14:textId="4E8E00C9">
      <w:pPr>
        <w:shd w:val="clear" w:color="auto" w:fill="FFFFFF" w:themeFill="background1"/>
        <w:bidi w:val="0"/>
        <w:spacing w:before="195" w:beforeAutospacing="off" w:after="195" w:afterAutospacing="off"/>
      </w:pPr>
      <w:r w:rsidRPr="2AD4F236" w:rsidR="74A1EF2D">
        <w:rPr>
          <w:rFonts w:ascii="Arial" w:hAnsi="Arial" w:eastAsia="Arial" w:cs="Arial"/>
          <w:b w:val="0"/>
          <w:bCs w:val="0"/>
          <w:i w:val="0"/>
          <w:iCs w:val="0"/>
          <w:caps w:val="0"/>
          <w:smallCaps w:val="0"/>
          <w:noProof w:val="0"/>
          <w:color w:val="222222"/>
          <w:sz w:val="24"/>
          <w:szCs w:val="24"/>
          <w:lang w:val="en-GB"/>
        </w:rPr>
        <w:t xml:space="preserve">The development of this stakeholder plan has highlighted that innovation succeeds only when it is grounded in strong relationships and shared understanding. Reflecting on the process has underscored that stakeholders are not simply participants but co-creators of the SETMS vision. Their input—whether centred on technical feasibility, environmental responsibility, or user accessibility—shapes a system capable of serving the diverse needs of the city. Another key reflection is that modern transport projects </w:t>
      </w:r>
      <w:r w:rsidRPr="2AD4F236" w:rsidR="74A1EF2D">
        <w:rPr>
          <w:rFonts w:ascii="Arial" w:hAnsi="Arial" w:eastAsia="Arial" w:cs="Arial"/>
          <w:b w:val="0"/>
          <w:bCs w:val="0"/>
          <w:i w:val="0"/>
          <w:iCs w:val="0"/>
          <w:caps w:val="0"/>
          <w:smallCaps w:val="0"/>
          <w:noProof w:val="0"/>
          <w:color w:val="222222"/>
          <w:sz w:val="24"/>
          <w:szCs w:val="24"/>
          <w:lang w:val="en-GB"/>
        </w:rPr>
        <w:t>operate</w:t>
      </w:r>
      <w:r w:rsidRPr="2AD4F236" w:rsidR="74A1EF2D">
        <w:rPr>
          <w:rFonts w:ascii="Arial" w:hAnsi="Arial" w:eastAsia="Arial" w:cs="Arial"/>
          <w:b w:val="0"/>
          <w:bCs w:val="0"/>
          <w:i w:val="0"/>
          <w:iCs w:val="0"/>
          <w:caps w:val="0"/>
          <w:smallCaps w:val="0"/>
          <w:noProof w:val="0"/>
          <w:color w:val="222222"/>
          <w:sz w:val="24"/>
          <w:szCs w:val="24"/>
          <w:lang w:val="en-GB"/>
        </w:rPr>
        <w:t xml:space="preserve"> in rapidly changing environments. Modern technologies, regulatory shifts, and emerging social expectations demand a flexible approach to engagement and planning. As a result, the project team must adopt a learning mindset, continually </w:t>
      </w:r>
      <w:r w:rsidRPr="2AD4F236" w:rsidR="74A1EF2D">
        <w:rPr>
          <w:rFonts w:ascii="Arial" w:hAnsi="Arial" w:eastAsia="Arial" w:cs="Arial"/>
          <w:b w:val="0"/>
          <w:bCs w:val="0"/>
          <w:i w:val="0"/>
          <w:iCs w:val="0"/>
          <w:caps w:val="0"/>
          <w:smallCaps w:val="0"/>
          <w:noProof w:val="0"/>
          <w:color w:val="222222"/>
          <w:sz w:val="24"/>
          <w:szCs w:val="24"/>
          <w:lang w:val="en-GB"/>
        </w:rPr>
        <w:t>seek</w:t>
      </w:r>
      <w:r w:rsidRPr="2AD4F236" w:rsidR="74A1EF2D">
        <w:rPr>
          <w:rFonts w:ascii="Arial" w:hAnsi="Arial" w:eastAsia="Arial" w:cs="Arial"/>
          <w:b w:val="0"/>
          <w:bCs w:val="0"/>
          <w:i w:val="0"/>
          <w:iCs w:val="0"/>
          <w:caps w:val="0"/>
          <w:smallCaps w:val="0"/>
          <w:noProof w:val="0"/>
          <w:color w:val="222222"/>
          <w:sz w:val="24"/>
          <w:szCs w:val="24"/>
          <w:lang w:val="en-GB"/>
        </w:rPr>
        <w:t xml:space="preserve"> feedback and adapting methods as new challenges arise.</w:t>
      </w:r>
    </w:p>
    <w:p xmlns:wp14="http://schemas.microsoft.com/office/word/2010/wordml" w:rsidP="2AD4F236" wp14:paraId="7FDFA244" wp14:textId="3E23A44E">
      <w:pPr>
        <w:shd w:val="clear" w:color="auto" w:fill="FFFFFF" w:themeFill="background1"/>
        <w:bidi w:val="0"/>
        <w:spacing w:before="195" w:beforeAutospacing="off" w:after="195" w:afterAutospacing="off"/>
      </w:pPr>
    </w:p>
    <w:p xmlns:wp14="http://schemas.microsoft.com/office/word/2010/wordml" w:rsidP="2AD4F236" wp14:paraId="4D254868" wp14:textId="5CEA00FF">
      <w:pPr>
        <w:shd w:val="clear" w:color="auto" w:fill="FFFFFF" w:themeFill="background1"/>
        <w:bidi w:val="0"/>
        <w:spacing w:before="195" w:beforeAutospacing="off" w:after="195" w:afterAutospacing="off"/>
      </w:pPr>
      <w:r w:rsidRPr="2AD4F236" w:rsidR="74A1EF2D">
        <w:rPr>
          <w:rFonts w:ascii="Arial" w:hAnsi="Arial" w:eastAsia="Arial" w:cs="Arial"/>
          <w:b w:val="0"/>
          <w:bCs w:val="0"/>
          <w:i w:val="0"/>
          <w:iCs w:val="0"/>
          <w:caps w:val="0"/>
          <w:smallCaps w:val="0"/>
          <w:noProof w:val="0"/>
          <w:color w:val="222222"/>
          <w:sz w:val="24"/>
          <w:szCs w:val="24"/>
          <w:lang w:val="en-GB"/>
        </w:rPr>
        <w:t>Furthermore, the experience demonstrates that successful stakeholder management requires balancing ambition with empathy. The city’s long-term sustainability goals must be matched with an understanding of resident concerns, operational realities, and ethical obligations. Ultimately, the SETMS offers a blueprint for how cities can transition toward intelligent mobility in a way that is transparent, inclusive, and ethically sound. With strong governance and responsive engagement, the project can achieve meaningful and lasting impact.</w:t>
      </w:r>
    </w:p>
    <w:p xmlns:wp14="http://schemas.microsoft.com/office/word/2010/wordml" w:rsidP="2AD4F236" wp14:paraId="3542D593" wp14:textId="143362E0">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696C5372" wp14:textId="4E18A72E">
      <w:pPr>
        <w:shd w:val="clear" w:color="auto" w:fill="FFFFFF" w:themeFill="background1"/>
        <w:bidi w:val="0"/>
        <w:spacing w:before="195" w:beforeAutospacing="off" w:after="195" w:afterAutospacing="off"/>
      </w:pPr>
    </w:p>
    <w:p xmlns:wp14="http://schemas.microsoft.com/office/word/2010/wordml" w:rsidP="2AD4F236" wp14:paraId="36578434" wp14:textId="588E2C29">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486CEEEE" wp14:textId="75A3C8CA">
      <w:pPr>
        <w:shd w:val="clear" w:color="auto" w:fill="FFFFFF" w:themeFill="background1"/>
        <w:bidi w:val="0"/>
        <w:spacing w:before="195" w:beforeAutospacing="off" w:after="195" w:afterAutospacing="off"/>
      </w:pPr>
    </w:p>
    <w:p xmlns:wp14="http://schemas.microsoft.com/office/word/2010/wordml" w:rsidP="2AD4F236" wp14:paraId="33FD1054" wp14:textId="550ACAF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Reflection on Stakeholder Engagement</w:t>
      </w:r>
    </w:p>
    <w:p xmlns:wp14="http://schemas.microsoft.com/office/word/2010/wordml" w:rsidP="2AD4F236" wp14:paraId="2790B18D" wp14:textId="47C2DA6B">
      <w:pPr>
        <w:shd w:val="clear" w:color="auto" w:fill="FFFFFF" w:themeFill="background1"/>
        <w:bidi w:val="0"/>
        <w:spacing w:before="195" w:beforeAutospacing="off" w:after="195" w:afterAutospacing="off"/>
      </w:pPr>
    </w:p>
    <w:p xmlns:wp14="http://schemas.microsoft.com/office/word/2010/wordml" w:rsidP="2AD4F236" wp14:paraId="675D1350" wp14:textId="3753571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Throughout the development of this plan, it became clear that stakeholder management is not a linear process but an ongoing dialogue. By listening to diverse groups—ranging from technical teams to everyday commuters—the project is better positioned to meet both operational and societal expectations.</w:t>
      </w:r>
    </w:p>
    <w:p xmlns:wp14="http://schemas.microsoft.com/office/word/2010/wordml" w:rsidP="2AD4F236" wp14:paraId="3CEAB422" wp14:textId="7E8F49EA">
      <w:pPr>
        <w:shd w:val="clear" w:color="auto" w:fill="FFFFFF" w:themeFill="background1"/>
        <w:bidi w:val="0"/>
        <w:spacing w:before="195" w:beforeAutospacing="off" w:after="195" w:afterAutospacing="off"/>
      </w:pPr>
    </w:p>
    <w:p xmlns:wp14="http://schemas.microsoft.com/office/word/2010/wordml" w:rsidP="2AD4F236" wp14:paraId="37236DFC" wp14:textId="779227E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The process reinforced several key insights:</w:t>
      </w:r>
    </w:p>
    <w:p xmlns:wp14="http://schemas.microsoft.com/office/word/2010/wordml" w:rsidP="2AD4F236" wp14:paraId="61A93171" wp14:textId="4FD2BE7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Transparency builds trust: Regular communication reduces uncertainty and prevents misinformation.</w:t>
      </w:r>
    </w:p>
    <w:p xmlns:wp14="http://schemas.microsoft.com/office/word/2010/wordml" w:rsidP="2AD4F236" wp14:paraId="7A41D040" wp14:textId="566B700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Inclusivity leads to stronger outcomes: When marginalised groups participate, design solutions become more equitable and more fitting for community needs.</w:t>
      </w:r>
    </w:p>
    <w:p xmlns:wp14="http://schemas.microsoft.com/office/word/2010/wordml" w:rsidP="2AD4F236" wp14:paraId="55C9079F" wp14:textId="34ED7A18">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Ethics cannot be an afterthought: Proper data protection and fair consultation processes ensure accountability and long-term acceptance.</w:t>
      </w:r>
    </w:p>
    <w:p xmlns:wp14="http://schemas.microsoft.com/office/word/2010/wordml" w:rsidP="2AD4F236" wp14:paraId="356B5AD8" wp14:textId="18BACC7F">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 Engagement requires adaptability: As the project evolves, new interests emerge, and engagement methods must adjust accordingly.</w:t>
      </w:r>
    </w:p>
    <w:p xmlns:wp14="http://schemas.microsoft.com/office/word/2010/wordml" w:rsidP="2AD4F236" wp14:paraId="12950B3F" wp14:textId="018FE618">
      <w:pPr>
        <w:shd w:val="clear" w:color="auto" w:fill="FFFFFF" w:themeFill="background1"/>
        <w:bidi w:val="0"/>
        <w:spacing w:before="195" w:beforeAutospacing="off" w:after="195" w:afterAutospacing="off"/>
      </w:pPr>
    </w:p>
    <w:p xmlns:wp14="http://schemas.microsoft.com/office/word/2010/wordml" w:rsidP="2AD4F236" wp14:paraId="1AB5A820" wp14:textId="2F77874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29A47BCD" wp14:textId="05137108">
      <w:pPr>
        <w:shd w:val="clear" w:color="auto" w:fill="FFFFFF" w:themeFill="background1"/>
        <w:bidi w:val="0"/>
        <w:spacing w:before="195" w:beforeAutospacing="off" w:after="195" w:afterAutospacing="off"/>
      </w:pPr>
    </w:p>
    <w:p xmlns:wp14="http://schemas.microsoft.com/office/word/2010/wordml" w:rsidP="2AD4F236" wp14:paraId="105FD60A" wp14:textId="53B6AC63">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Importance of Stakeholder Engagement</w:t>
      </w:r>
    </w:p>
    <w:p xmlns:wp14="http://schemas.microsoft.com/office/word/2010/wordml" w:rsidP="2AD4F236" wp14:paraId="36FA3372" wp14:textId="27BB7A86">
      <w:pPr>
        <w:shd w:val="clear" w:color="auto" w:fill="FFFFFF" w:themeFill="background1"/>
        <w:bidi w:val="0"/>
        <w:spacing w:before="195" w:beforeAutospacing="off" w:after="195" w:afterAutospacing="off"/>
      </w:pPr>
    </w:p>
    <w:p xmlns:wp14="http://schemas.microsoft.com/office/word/2010/wordml" w:rsidP="2AD4F236" wp14:paraId="04CAA8E3" wp14:textId="5207CFE5">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Stakeholder engagement has proven essential for aligning interests across the ecosystem. Evidence from research suggests that projects with robust engagement frameworks experience fewer delays, reduced conflict, and higher public acceptance (Bourne, 2015).</w:t>
      </w:r>
    </w:p>
    <w:p xmlns:wp14="http://schemas.microsoft.com/office/word/2010/wordml" w:rsidP="2AD4F236" wp14:paraId="2173BE8D" wp14:textId="6DE48A3D">
      <w:pPr>
        <w:shd w:val="clear" w:color="auto" w:fill="FFFFFF" w:themeFill="background1"/>
        <w:bidi w:val="0"/>
        <w:spacing w:before="195" w:beforeAutospacing="off" w:after="195" w:afterAutospacing="off"/>
      </w:pPr>
    </w:p>
    <w:p xmlns:wp14="http://schemas.microsoft.com/office/word/2010/wordml" w:rsidP="2AD4F236" wp14:paraId="1C6BB1C4" wp14:textId="7727DB8B">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In the context of smart transport, where technology touches the lives of thousands daily, stakeholder engagement becomes indispensable. It ensures that the system is not only technically functional but socially responsive and environmentally responsible.</w:t>
      </w:r>
    </w:p>
    <w:p xmlns:wp14="http://schemas.microsoft.com/office/word/2010/wordml" w:rsidP="2AD4F236" wp14:paraId="14D805B1" wp14:textId="2B08BE92">
      <w:pPr>
        <w:shd w:val="clear" w:color="auto" w:fill="FFFFFF" w:themeFill="background1"/>
        <w:bidi w:val="0"/>
        <w:spacing w:before="195" w:beforeAutospacing="off" w:after="195" w:afterAutospacing="off"/>
      </w:pPr>
    </w:p>
    <w:p xmlns:wp14="http://schemas.microsoft.com/office/word/2010/wordml" w:rsidP="2AD4F236" wp14:paraId="2089BEE2" wp14:textId="02EE032D">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By integrating ethical oversight, transparent communication, and inclusive consultation, the SETMS project positions itself not merely as a transport upgrade, but as a long-term investment in the wellbeing, sustainability, and resilience of the community.</w:t>
      </w:r>
    </w:p>
    <w:p xmlns:wp14="http://schemas.microsoft.com/office/word/2010/wordml" w:rsidP="2AD4F236" wp14:paraId="0C34103B" wp14:textId="04D16D15">
      <w:pPr>
        <w:shd w:val="clear" w:color="auto" w:fill="FFFFFF" w:themeFill="background1"/>
        <w:bidi w:val="0"/>
        <w:spacing w:before="195" w:beforeAutospacing="off" w:after="195" w:afterAutospacing="off"/>
      </w:pPr>
    </w:p>
    <w:p xmlns:wp14="http://schemas.microsoft.com/office/word/2010/wordml" w:rsidP="2AD4F236" wp14:paraId="02791B0D" wp14:textId="4ADEC24E">
      <w:pPr>
        <w:shd w:val="clear" w:color="auto" w:fill="FFFFFF" w:themeFill="background1"/>
        <w:bidi w:val="0"/>
        <w:spacing w:before="195" w:beforeAutospacing="off" w:after="195" w:afterAutospacing="off"/>
      </w:pPr>
      <w:r w:rsidRPr="2AD4F236" w:rsidR="12C2AEF3">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2AD4F236" wp14:paraId="61B8E56E" wp14:textId="33056F86">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68698260" wp14:textId="40E98B9E">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4BD3A644" wp14:textId="1B0B4F1F">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2FE88C7F" wp14:textId="486103C2">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2E4ADF9C" wp14:textId="4E3C89AF">
      <w:p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D4F236" wp14:paraId="58167922" wp14:textId="02CDB221">
      <w:pPr>
        <w:shd w:val="clear" w:color="auto" w:fill="FFFFFF" w:themeFill="background1"/>
        <w:bidi w:val="0"/>
        <w:spacing w:before="195" w:beforeAutospacing="off" w:after="195" w:afterAutospacing="off"/>
      </w:pPr>
    </w:p>
    <w:p xmlns:wp14="http://schemas.microsoft.com/office/word/2010/wordml" w:rsidP="2AD4F236" wp14:paraId="768C0CB3" wp14:textId="4231E6D6">
      <w:pPr>
        <w:shd w:val="clear" w:color="auto" w:fill="FFFFFF" w:themeFill="background1"/>
        <w:bidi w:val="0"/>
        <w:spacing w:before="195" w:beforeAutospacing="off" w:after="195" w:afterAutospacing="off"/>
        <w:rPr>
          <w:rFonts w:ascii="Arial" w:hAnsi="Arial" w:eastAsia="Arial" w:cs="Arial"/>
          <w:b w:val="1"/>
          <w:bCs w:val="1"/>
          <w:i w:val="0"/>
          <w:iCs w:val="0"/>
          <w:caps w:val="0"/>
          <w:smallCaps w:val="0"/>
          <w:noProof w:val="0"/>
          <w:color w:val="222222"/>
          <w:sz w:val="28"/>
          <w:szCs w:val="28"/>
          <w:lang w:val="en-GB"/>
        </w:rPr>
      </w:pPr>
      <w:r w:rsidRPr="2AD4F236" w:rsidR="12C2AEF3">
        <w:rPr>
          <w:rFonts w:ascii="Arial" w:hAnsi="Arial" w:eastAsia="Arial" w:cs="Arial"/>
          <w:b w:val="1"/>
          <w:bCs w:val="1"/>
          <w:i w:val="0"/>
          <w:iCs w:val="0"/>
          <w:caps w:val="0"/>
          <w:smallCaps w:val="0"/>
          <w:noProof w:val="0"/>
          <w:color w:val="222222"/>
          <w:sz w:val="28"/>
          <w:szCs w:val="28"/>
          <w:lang w:val="en-GB"/>
        </w:rPr>
        <w:t>References</w:t>
      </w:r>
      <w:r w:rsidRPr="2AD4F236" w:rsidR="21B2E9D8">
        <w:rPr>
          <w:rFonts w:ascii="Arial" w:hAnsi="Arial" w:eastAsia="Arial" w:cs="Arial"/>
          <w:b w:val="1"/>
          <w:bCs w:val="1"/>
          <w:i w:val="0"/>
          <w:iCs w:val="0"/>
          <w:caps w:val="0"/>
          <w:smallCaps w:val="0"/>
          <w:noProof w:val="0"/>
          <w:color w:val="222222"/>
          <w:sz w:val="28"/>
          <w:szCs w:val="28"/>
          <w:lang w:val="en-GB"/>
        </w:rPr>
        <w:t>:</w:t>
      </w:r>
    </w:p>
    <w:p xmlns:wp14="http://schemas.microsoft.com/office/word/2010/wordml" w:rsidP="2AD4F236" wp14:paraId="1EB2C1C5" wp14:textId="1E69B36D">
      <w:pPr>
        <w:shd w:val="clear" w:color="auto" w:fill="FFFFFF" w:themeFill="background1"/>
        <w:bidi w:val="0"/>
        <w:spacing w:before="195" w:beforeAutospacing="off" w:after="195" w:afterAutospacing="off"/>
      </w:pPr>
    </w:p>
    <w:p xmlns:wp14="http://schemas.microsoft.com/office/word/2010/wordml" w:rsidP="2AD4F236" wp14:paraId="1A3F187C" wp14:textId="0D41EB88">
      <w:pPr>
        <w:pStyle w:val="ListParagraph"/>
        <w:numPr>
          <w:ilvl w:val="0"/>
          <w:numId w:val="2"/>
        </w:numPr>
        <w:shd w:val="clear" w:color="auto" w:fill="FFFFFF" w:themeFill="background1"/>
        <w:bidi w:val="0"/>
        <w:spacing w:before="195" w:beforeAutospacing="off" w:after="195" w:afterAutospacing="off"/>
        <w:rPr>
          <w:sz w:val="24"/>
          <w:szCs w:val="24"/>
        </w:rPr>
      </w:pPr>
      <w:r w:rsidRPr="2AD4F236" w:rsidR="12C2AEF3">
        <w:rPr>
          <w:rFonts w:ascii="Arial" w:hAnsi="Arial" w:eastAsia="Arial" w:cs="Arial"/>
          <w:b w:val="0"/>
          <w:bCs w:val="0"/>
          <w:i w:val="0"/>
          <w:iCs w:val="0"/>
          <w:caps w:val="0"/>
          <w:smallCaps w:val="0"/>
          <w:noProof w:val="0"/>
          <w:color w:val="222222"/>
          <w:sz w:val="24"/>
          <w:szCs w:val="24"/>
          <w:lang w:val="en-GB"/>
        </w:rPr>
        <w:t xml:space="preserve">Bourne, L. (2015) Stakeholder Relationship Management: A Maturity Model for Organisational Implementation. Routledge. Available at: </w:t>
      </w:r>
      <w:hyperlink r:id="R5b2de5307baa428d">
        <w:r w:rsidRPr="2AD4F236" w:rsidR="12C2AEF3">
          <w:rPr>
            <w:rStyle w:val="Hyperlink"/>
            <w:rFonts w:ascii="Arial" w:hAnsi="Arial" w:eastAsia="Arial" w:cs="Arial"/>
            <w:b w:val="0"/>
            <w:bCs w:val="0"/>
            <w:i w:val="0"/>
            <w:iCs w:val="0"/>
            <w:caps w:val="0"/>
            <w:smallCaps w:val="0"/>
            <w:noProof w:val="0"/>
            <w:color w:val="1155CC"/>
            <w:sz w:val="24"/>
            <w:szCs w:val="24"/>
            <w:lang w:val="en-GB"/>
          </w:rPr>
          <w:t>https://www.routledge.com/Stakeholder-Relationship-Management-A-Maturity-Model-for-Organisational-Implementation/Bourne/p/book/9781472453176</w:t>
        </w:r>
      </w:hyperlink>
    </w:p>
    <w:p xmlns:wp14="http://schemas.microsoft.com/office/word/2010/wordml" w:rsidP="2AD4F236" wp14:paraId="0238FCE3" wp14:textId="33D14979">
      <w:pPr>
        <w:shd w:val="clear" w:color="auto" w:fill="FFFFFF" w:themeFill="background1"/>
        <w:bidi w:val="0"/>
        <w:spacing w:before="195" w:beforeAutospacing="off" w:after="195" w:afterAutospacing="off"/>
      </w:pPr>
    </w:p>
    <w:p xmlns:wp14="http://schemas.microsoft.com/office/word/2010/wordml" w:rsidP="2AD4F236" wp14:paraId="3AA7157F" wp14:textId="69177690">
      <w:pPr>
        <w:pStyle w:val="ListParagraph"/>
        <w:numPr>
          <w:ilvl w:val="0"/>
          <w:numId w:val="2"/>
        </w:numPr>
        <w:shd w:val="clear" w:color="auto" w:fill="FFFFFF" w:themeFill="background1"/>
        <w:bidi w:val="0"/>
        <w:spacing w:before="195" w:beforeAutospacing="off" w:after="195" w:afterAutospacing="off"/>
        <w:rPr>
          <w:sz w:val="24"/>
          <w:szCs w:val="24"/>
        </w:rPr>
      </w:pPr>
      <w:r w:rsidRPr="2AD4F236" w:rsidR="12C2AEF3">
        <w:rPr>
          <w:rFonts w:ascii="Arial" w:hAnsi="Arial" w:eastAsia="Arial" w:cs="Arial"/>
          <w:b w:val="0"/>
          <w:bCs w:val="0"/>
          <w:i w:val="0"/>
          <w:iCs w:val="0"/>
          <w:caps w:val="0"/>
          <w:smallCaps w:val="0"/>
          <w:noProof w:val="0"/>
          <w:color w:val="222222"/>
          <w:sz w:val="24"/>
          <w:szCs w:val="24"/>
          <w:lang w:val="en-GB"/>
        </w:rPr>
        <w:t xml:space="preserve">Department for Transport (2023) Decarbonising Transport: A Better, Greener Britain. UK Government. Available at: </w:t>
      </w:r>
      <w:hyperlink r:id="Rb68df77150b84270">
        <w:r w:rsidRPr="2AD4F236" w:rsidR="12C2AEF3">
          <w:rPr>
            <w:rStyle w:val="Hyperlink"/>
            <w:rFonts w:ascii="Arial" w:hAnsi="Arial" w:eastAsia="Arial" w:cs="Arial"/>
            <w:b w:val="0"/>
            <w:bCs w:val="0"/>
            <w:i w:val="0"/>
            <w:iCs w:val="0"/>
            <w:caps w:val="0"/>
            <w:smallCaps w:val="0"/>
            <w:noProof w:val="0"/>
            <w:color w:val="1155CC"/>
            <w:sz w:val="24"/>
            <w:szCs w:val="24"/>
            <w:lang w:val="en-GB"/>
          </w:rPr>
          <w:t>https://www.gov.uk/government/publications/decarbonising-transport-a-better-greener-britain</w:t>
        </w:r>
      </w:hyperlink>
    </w:p>
    <w:p xmlns:wp14="http://schemas.microsoft.com/office/word/2010/wordml" w:rsidP="2AD4F236" wp14:paraId="1B03B36E" wp14:textId="051C65EF">
      <w:pPr>
        <w:shd w:val="clear" w:color="auto" w:fill="FFFFFF" w:themeFill="background1"/>
        <w:bidi w:val="0"/>
        <w:spacing w:before="195" w:beforeAutospacing="off" w:after="195" w:afterAutospacing="off"/>
      </w:pPr>
    </w:p>
    <w:p xmlns:wp14="http://schemas.microsoft.com/office/word/2010/wordml" w:rsidP="2AD4F236" wp14:paraId="17BE217C" wp14:textId="3A97A2A3">
      <w:pPr>
        <w:pStyle w:val="ListParagraph"/>
        <w:numPr>
          <w:ilvl w:val="0"/>
          <w:numId w:val="2"/>
        </w:numPr>
        <w:shd w:val="clear" w:color="auto" w:fill="FFFFFF" w:themeFill="background1"/>
        <w:bidi w:val="0"/>
        <w:spacing w:before="195" w:beforeAutospacing="off" w:after="195" w:afterAutospacing="off"/>
        <w:rPr>
          <w:sz w:val="24"/>
          <w:szCs w:val="24"/>
        </w:rPr>
      </w:pPr>
      <w:r w:rsidRPr="2AD4F236" w:rsidR="12C2AEF3">
        <w:rPr>
          <w:rFonts w:ascii="Arial" w:hAnsi="Arial" w:eastAsia="Arial" w:cs="Arial"/>
          <w:b w:val="0"/>
          <w:bCs w:val="0"/>
          <w:i w:val="0"/>
          <w:iCs w:val="0"/>
          <w:caps w:val="0"/>
          <w:smallCaps w:val="0"/>
          <w:noProof w:val="0"/>
          <w:color w:val="222222"/>
          <w:sz w:val="24"/>
          <w:szCs w:val="24"/>
          <w:lang w:val="en-GB"/>
        </w:rPr>
        <w:t xml:space="preserve">Freeman, R.E. (1984) Strategic Management: A Stakeholder Approach. Available at: </w:t>
      </w:r>
      <w:hyperlink r:id="Ra1beed16ab744e00">
        <w:r w:rsidRPr="2AD4F236" w:rsidR="12C2AEF3">
          <w:rPr>
            <w:rStyle w:val="Hyperlink"/>
            <w:rFonts w:ascii="Arial" w:hAnsi="Arial" w:eastAsia="Arial" w:cs="Arial"/>
            <w:b w:val="0"/>
            <w:bCs w:val="0"/>
            <w:i w:val="0"/>
            <w:iCs w:val="0"/>
            <w:caps w:val="0"/>
            <w:smallCaps w:val="0"/>
            <w:noProof w:val="0"/>
            <w:color w:val="1155CC"/>
            <w:sz w:val="24"/>
            <w:szCs w:val="24"/>
            <w:lang w:val="en-GB"/>
          </w:rPr>
          <w:t>https://www.cambridge.org/core/books/strategic-management/2E22C93C23C0C7F7F1B7C9623B80E4B3</w:t>
        </w:r>
      </w:hyperlink>
    </w:p>
    <w:p xmlns:wp14="http://schemas.microsoft.com/office/word/2010/wordml" w:rsidP="2AD4F236" wp14:paraId="41CD65DE" wp14:textId="72EA5F13">
      <w:pPr>
        <w:shd w:val="clear" w:color="auto" w:fill="FFFFFF" w:themeFill="background1"/>
        <w:bidi w:val="0"/>
        <w:spacing w:before="195" w:beforeAutospacing="off" w:after="195" w:afterAutospacing="off"/>
      </w:pPr>
    </w:p>
    <w:p xmlns:wp14="http://schemas.microsoft.com/office/word/2010/wordml" w:rsidP="2AD4F236" wp14:paraId="64217F10" wp14:textId="5B7DB601">
      <w:pPr>
        <w:pStyle w:val="ListParagraph"/>
        <w:numPr>
          <w:ilvl w:val="0"/>
          <w:numId w:val="2"/>
        </w:numPr>
        <w:shd w:val="clear" w:color="auto" w:fill="FFFFFF" w:themeFill="background1"/>
        <w:bidi w:val="0"/>
        <w:spacing w:before="195" w:beforeAutospacing="off" w:after="195" w:afterAutospacing="off"/>
        <w:rPr>
          <w:sz w:val="24"/>
          <w:szCs w:val="24"/>
        </w:rPr>
      </w:pPr>
      <w:bookmarkStart w:name="_Int_ua8fukeF" w:id="1485268186"/>
      <w:r w:rsidRPr="2AD4F236" w:rsidR="12C2AEF3">
        <w:rPr>
          <w:rFonts w:ascii="Arial" w:hAnsi="Arial" w:eastAsia="Arial" w:cs="Arial"/>
          <w:b w:val="0"/>
          <w:bCs w:val="0"/>
          <w:i w:val="0"/>
          <w:iCs w:val="0"/>
          <w:caps w:val="0"/>
          <w:smallCaps w:val="0"/>
          <w:noProof w:val="0"/>
          <w:color w:val="222222"/>
          <w:sz w:val="24"/>
          <w:szCs w:val="24"/>
          <w:lang w:val="en-GB"/>
        </w:rPr>
        <w:t>Information Commissioner’s Office (2022) Guide to the UK General Data Protection Regulation (UK GDPR).</w:t>
      </w:r>
      <w:bookmarkEnd w:id="1485268186"/>
      <w:r w:rsidRPr="2AD4F236" w:rsidR="12C2AEF3">
        <w:rPr>
          <w:rFonts w:ascii="Arial" w:hAnsi="Arial" w:eastAsia="Arial" w:cs="Arial"/>
          <w:b w:val="0"/>
          <w:bCs w:val="0"/>
          <w:i w:val="0"/>
          <w:iCs w:val="0"/>
          <w:caps w:val="0"/>
          <w:smallCaps w:val="0"/>
          <w:noProof w:val="0"/>
          <w:color w:val="222222"/>
          <w:sz w:val="24"/>
          <w:szCs w:val="24"/>
          <w:lang w:val="en-GB"/>
        </w:rPr>
        <w:t xml:space="preserve"> Available at: </w:t>
      </w:r>
      <w:hyperlink r:id="Rff8f0964278344f6">
        <w:r w:rsidRPr="2AD4F236" w:rsidR="12C2AEF3">
          <w:rPr>
            <w:rStyle w:val="Hyperlink"/>
            <w:rFonts w:ascii="Arial" w:hAnsi="Arial" w:eastAsia="Arial" w:cs="Arial"/>
            <w:b w:val="0"/>
            <w:bCs w:val="0"/>
            <w:i w:val="0"/>
            <w:iCs w:val="0"/>
            <w:caps w:val="0"/>
            <w:smallCaps w:val="0"/>
            <w:noProof w:val="0"/>
            <w:color w:val="1155CC"/>
            <w:sz w:val="24"/>
            <w:szCs w:val="24"/>
            <w:lang w:val="en-GB"/>
          </w:rPr>
          <w:t>https://ico.org.uk/for-organisations/uk-gdpr-guidance-and-resources/</w:t>
        </w:r>
      </w:hyperlink>
    </w:p>
    <w:p xmlns:wp14="http://schemas.microsoft.com/office/word/2010/wordml" w:rsidP="2AD4F236" wp14:paraId="39E11643" wp14:textId="5FAECE7A">
      <w:pPr>
        <w:shd w:val="clear" w:color="auto" w:fill="FFFFFF" w:themeFill="background1"/>
        <w:bidi w:val="0"/>
        <w:spacing w:before="195" w:beforeAutospacing="off" w:after="195" w:afterAutospacing="off"/>
      </w:pPr>
    </w:p>
    <w:p xmlns:wp14="http://schemas.microsoft.com/office/word/2010/wordml" w:rsidP="2AD4F236" wp14:paraId="2528A202" wp14:textId="336435E9">
      <w:pPr>
        <w:pStyle w:val="ListParagraph"/>
        <w:numPr>
          <w:ilvl w:val="0"/>
          <w:numId w:val="2"/>
        </w:numPr>
        <w:shd w:val="clear" w:color="auto" w:fill="FFFFFF" w:themeFill="background1"/>
        <w:bidi w:val="0"/>
        <w:spacing w:before="195" w:beforeAutospacing="off" w:after="195" w:afterAutospacing="off"/>
        <w:rPr>
          <w:sz w:val="24"/>
          <w:szCs w:val="24"/>
        </w:rPr>
      </w:pPr>
      <w:r w:rsidRPr="2AD4F236" w:rsidR="12C2AEF3">
        <w:rPr>
          <w:rFonts w:ascii="Arial" w:hAnsi="Arial" w:eastAsia="Arial" w:cs="Arial"/>
          <w:b w:val="0"/>
          <w:bCs w:val="0"/>
          <w:i w:val="0"/>
          <w:iCs w:val="0"/>
          <w:caps w:val="0"/>
          <w:smallCaps w:val="0"/>
          <w:noProof w:val="0"/>
          <w:color w:val="222222"/>
          <w:sz w:val="24"/>
          <w:szCs w:val="24"/>
          <w:lang w:val="en-GB"/>
        </w:rPr>
        <w:t xml:space="preserve">Mitchell, R.K., Agle, B.R. and Wood, D.J. (1997) ‘Toward a theory of stakeholder identification and salience’, Academy of Management Review, 22(4), pp. 853–886. Available at: </w:t>
      </w:r>
      <w:hyperlink r:id="Rc2980447f09a4b38">
        <w:r w:rsidRPr="2AD4F236" w:rsidR="12C2AEF3">
          <w:rPr>
            <w:rStyle w:val="Hyperlink"/>
            <w:rFonts w:ascii="Arial" w:hAnsi="Arial" w:eastAsia="Arial" w:cs="Arial"/>
            <w:b w:val="0"/>
            <w:bCs w:val="0"/>
            <w:i w:val="0"/>
            <w:iCs w:val="0"/>
            <w:caps w:val="0"/>
            <w:smallCaps w:val="0"/>
            <w:noProof w:val="0"/>
            <w:color w:val="1155CC"/>
            <w:sz w:val="24"/>
            <w:szCs w:val="24"/>
            <w:lang w:val="en-GB"/>
          </w:rPr>
          <w:t>https://journals.aom.org/doi/10.5465/amr.1997.9711022105</w:t>
        </w:r>
      </w:hyperlink>
    </w:p>
    <w:p xmlns:wp14="http://schemas.microsoft.com/office/word/2010/wordml" w:rsidP="2AD4F236" wp14:paraId="75738AA9" wp14:textId="3FF213F4">
      <w:pPr>
        <w:shd w:val="clear" w:color="auto" w:fill="FFFFFF" w:themeFill="background1"/>
        <w:bidi w:val="0"/>
        <w:spacing w:before="195" w:beforeAutospacing="off" w:after="195" w:afterAutospacing="off"/>
      </w:pPr>
    </w:p>
    <w:p xmlns:wp14="http://schemas.microsoft.com/office/word/2010/wordml" w:rsidP="2AD4F236" wp14:paraId="3570521E" wp14:textId="1DC5E5E0">
      <w:pPr>
        <w:pStyle w:val="ListParagraph"/>
        <w:numPr>
          <w:ilvl w:val="0"/>
          <w:numId w:val="2"/>
        </w:numPr>
        <w:shd w:val="clear" w:color="auto" w:fill="FFFFFF" w:themeFill="background1"/>
        <w:bidi w:val="0"/>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AD4F236" w:rsidR="12C2AEF3">
        <w:rPr>
          <w:rFonts w:ascii="Arial" w:hAnsi="Arial" w:eastAsia="Arial" w:cs="Arial"/>
          <w:b w:val="0"/>
          <w:bCs w:val="0"/>
          <w:i w:val="0"/>
          <w:iCs w:val="0"/>
          <w:caps w:val="0"/>
          <w:smallCaps w:val="0"/>
          <w:noProof w:val="0"/>
          <w:color w:val="222222"/>
          <w:sz w:val="24"/>
          <w:szCs w:val="24"/>
          <w:lang w:val="en-GB"/>
        </w:rPr>
        <w:t xml:space="preserve">ISO (2010) ISO 26000: Guidance on Social Responsibility. Available at: </w:t>
      </w:r>
      <w:hyperlink r:id="R5d61858a9f78489c">
        <w:r w:rsidRPr="2AD4F236" w:rsidR="12C2AEF3">
          <w:rPr>
            <w:rStyle w:val="Hyperlink"/>
            <w:rFonts w:ascii="Arial" w:hAnsi="Arial" w:eastAsia="Arial" w:cs="Arial"/>
            <w:b w:val="0"/>
            <w:bCs w:val="0"/>
            <w:i w:val="0"/>
            <w:iCs w:val="0"/>
            <w:caps w:val="0"/>
            <w:smallCaps w:val="0"/>
            <w:noProof w:val="0"/>
            <w:color w:val="1155CC"/>
            <w:sz w:val="24"/>
            <w:szCs w:val="24"/>
            <w:lang w:val="en-GB"/>
          </w:rPr>
          <w:t>https://www.iso.org/standard/42546.html</w:t>
        </w:r>
      </w:hyperlink>
    </w:p>
    <w:p xmlns:wp14="http://schemas.microsoft.com/office/word/2010/wordml" wp14:paraId="5E5787A5" wp14:textId="1750C4E7"/>
    <w:sectPr>
      <w:pgSz w:w="11906" w:h="16838" w:orient="portrait"/>
      <w:pgMar w:top="1440" w:right="1440" w:bottom="1440" w:left="1440" w:header="720" w:footer="720" w:gutter="0"/>
      <w:cols w:space="720"/>
      <w:docGrid w:linePitch="360"/>
      <w:headerReference w:type="default" r:id="Rf42d545827464c6b"/>
      <w:footerReference w:type="default" r:id="R33ad2366db4b474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D664AA" w:rsidTr="0ED664AA" w14:paraId="615C4828">
      <w:trPr>
        <w:trHeight w:val="300"/>
      </w:trPr>
      <w:tc>
        <w:tcPr>
          <w:tcW w:w="3005" w:type="dxa"/>
          <w:tcMar/>
        </w:tcPr>
        <w:p w:rsidR="0ED664AA" w:rsidP="0ED664AA" w:rsidRDefault="0ED664AA" w14:paraId="65B66971" w14:textId="7B67C9FF">
          <w:pPr>
            <w:pStyle w:val="Header"/>
            <w:bidi w:val="0"/>
            <w:ind w:left="-115"/>
            <w:jc w:val="left"/>
          </w:pPr>
        </w:p>
      </w:tc>
      <w:tc>
        <w:tcPr>
          <w:tcW w:w="3005" w:type="dxa"/>
          <w:tcMar/>
        </w:tcPr>
        <w:p w:rsidR="0ED664AA" w:rsidP="0ED664AA" w:rsidRDefault="0ED664AA" w14:paraId="401A0DDD" w14:textId="478FD1A5">
          <w:pPr>
            <w:pStyle w:val="Header"/>
            <w:bidi w:val="0"/>
            <w:jc w:val="center"/>
          </w:pPr>
        </w:p>
      </w:tc>
      <w:tc>
        <w:tcPr>
          <w:tcW w:w="3005" w:type="dxa"/>
          <w:tcMar/>
        </w:tcPr>
        <w:p w:rsidR="0ED664AA" w:rsidP="0ED664AA" w:rsidRDefault="0ED664AA" w14:paraId="312B5123" w14:textId="3C8F33D5">
          <w:pPr>
            <w:pStyle w:val="Header"/>
            <w:bidi w:val="0"/>
            <w:ind w:right="-115"/>
            <w:jc w:val="right"/>
          </w:pPr>
        </w:p>
      </w:tc>
    </w:tr>
  </w:tbl>
  <w:p w:rsidR="0ED664AA" w:rsidP="0ED664AA" w:rsidRDefault="0ED664AA" w14:paraId="09AC04D3" w14:textId="3BEADCDC">
    <w:pPr>
      <w:pStyle w:val="Footer"/>
      <w:bidi w:val="0"/>
    </w:pPr>
  </w:p>
</w:ftr>
</file>

<file path=word/header.xml><?xml version="1.0" encoding="utf-8"?>
<w:hdr xmlns:w14="http://schemas.microsoft.com/office/word/2010/wordml" xmlns:w="http://schemas.openxmlformats.org/wordprocessingml/2006/main">
  <w:p w:rsidR="0ED664AA" w:rsidP="0ED664AA" w:rsidRDefault="0ED664AA" w14:paraId="571DC8A4" w14:textId="49D177E8">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ua8fukeF" int2:invalidationBookmarkName="" int2:hashCode="LUMLeBWJYfDlTn" int2:id="XNfejqwb">
      <int2:extLst>
        <oel:ext uri="426473B9-03D8-482F-96C9-C2C85392BACA">
          <int2:similarityCritique int2:version="1" int2:context="Information Commissioner’s Office (2022) Guide to the UK General Data Protection Regulation (UK GDPR).">
            <int2:source int2:sourceType="Online" int2:sourceTitle="Construction Site Information Boards and GDPR. Navigating Compliance ..." int2:sourceUrl="https://gallio.pro/blog/construction-site-information-boards-and-gdpr-navigating-compliance-requirements-in-the-construction-industry/" int2:sourceSnippet="Guidelines 3/2019 on processing of personal data through video devices. Information Commissioner's Office (2022). Guide to the UK General Data Protection Regulation. Construction Industry Council (2020). GDPR Compliance Guide for the Construction Sector. Regulation (EU) 2016/679 (General Data Protection Regulation). Health and Safety Executive ...">
              <int2:suggestions int2:citationType="Inline">
                <int2:suggestion int2:citationStyle="Mla" int2:isIdentical="0">
                  <int2:citationText>(“Construction Site Information Boards and GDPR. Navigating Compliance ...”)</int2:citationText>
                </int2:suggestion>
                <int2:suggestion int2:citationStyle="Apa" int2:isIdentical="0">
                  <int2:citationText>(“Construction Site Information Boards and GDPR. Navigating Compliance ...”)</int2:citationText>
                </int2:suggestion>
                <int2:suggestion int2:citationStyle="Chicago" int2:isIdentical="0">
                  <int2:citationText>(“Construction Site Information Boards and GDPR. Navigating Compliance ...”)</int2:citationText>
                </int2:suggestion>
              </int2:suggestions>
              <int2:suggestions int2:citationType="Full">
                <int2:suggestion int2:citationStyle="Mla" int2:isIdentical="0">
                  <int2:citationText>&lt;i&gt;Construction Site Information Boards and GDPR. Navigating Compliance ...&lt;/i&gt;, https://gallio.pro/blog/construction-site-information-boards-and-gdpr-navigating-compliance-requirements-in-the-construction-industry/.</int2:citationText>
                </int2:suggestion>
                <int2:suggestion int2:citationStyle="Apa" int2:isIdentical="0">
                  <int2:citationText>&lt;i&gt;Construction Site Information Boards and GDPR. Navigating Compliance ...&lt;/i&gt;. (n.d.). Retrieved from https://gallio.pro/blog/construction-site-information-boards-and-gdpr-navigating-compliance-requirements-in-the-construction-industry/</int2:citationText>
                </int2:suggestion>
                <int2:suggestion int2:citationStyle="Chicago" int2:isIdentical="0">
                  <int2:citationText>“Construction Site Information Boards and GDPR. Navigating Compliance ...” n.d., https://gallio.pro/blog/construction-site-information-boards-and-gdpr-navigating-compliance-requirements-in-the-construction-industry/.</int2:citationText>
                </int2:suggestion>
              </int2:suggestions>
            </int2:source>
          </int2:similarityCritique>
        </oel:ext>
      </int2:extLst>
    </int2:bookmark>
    <int2:entireDocument int2:id="uIT6r0Nv">
      <int2:extLst>
        <oel:ext uri="E302BA01-7950-474C-9AD3-286E660C40A8">
          <int2:similaritySummary int2:version="1" int2:runId="1763641524879" int2:tilesCheckedInThisRun="4" int2:totalNumOfTiles="203" int2:similarityAnnotationCount="1" int2:numWords="2353" int2:numFlaggedWords="14"/>
        </oel:ext>
      </int2:extLst>
    </int2:entireDocument>
  </int2:observations>
  <int2:intelligenceSettings/>
  <int2:onDemandWorkflows>
    <int2:onDemandWorkflow int2:type="SimilarityCheck" int2:paragraphVersions="362DD312-2592D435 126D4B3E-1448BC48 4E2E4C64-465881AA 68668DE7-16CCE5FE 3E6A332C-743F569A 02624B7E-0A21E66D 7F36EC9D-44D0FB64 4CCE8B6A-1FF68096 038EC8D8-1DC53204 63CCCFC6-1B28C0B0 3FDB0F3E-619893B1 10DD7183-24027D55 4354199F-251CE685 44B42725-09906946 4B5E625C-04045679 018CE785-2107BF78 5EC88E37-4AAF9FF7 4F0B3034-45F89090 674E1BC4-64C67305 6ADA7676-33EE0D7C 29724739-229BABFF 703BFDA2-15862646 608E9BFA-4E8936E1 79DB991F-41F731ED 58494449-2745D3A1 3EA60E5C-4798C5BD 32F4DE1B-7322116E 0A086B7A-71475034 3C56510B-16F46DE8 11BD7980-76960ACC 654882F2-360249BB 5F51363E-6279C535 5DCF69A0-3FA88A26 490FD394-307374F9 2F5E6A2F-6620ACA5 3BE23B68-51A959D1 066F6F7B-21F43C8A 60188542-0117C070 5EF3374E-28A76D0C 37C38F3F-23E578FA 108FEB09-4CEA37EB 03733AA5-0349F29B 745AE37B-6311BFA7 6989ABD7-5FA58316 644401DB-5780C04B 2D7DBA38-5D9009A9 32F75B1E-4399D351 16DF438E-19651EFE 443B297C-03FD9F76 5C18E28F-06780821 0605E735-13B0C74D 4AF53163-3CF5B4D6 498738C6-27108DA1 3C37997A-25C8AC6D 7432775A-62300CF4 7DD097D5-76175E49 327006B1-4AFCBCFB 7ACCCC66-438816A1 06F9A3F5-5776F26F 4761CAD0-20423520 1D416321-5462B2C3 18952E6F-7FE0EA9F 16AE81B1-4D4C57AA 39866A8E-33258CA2 1767F5D2-2F70649C 06520656-3D64C903 4022E72B-11CA8FD9 30B6E44C-7AFDBB9D 26673E02-05125CF0 5CF7F5A3-07016CA7 262EE09F-0025BB91 39C90C0D-338B706C 38C10DEA-012AB78D 50E120D4-59C4A4B6 3630794D-1AF6F6CA 2600723D-43C04F16 526442C4-4A7A12B8 22CCF8D5-2840A1FA 01D0FE6C-7C28BEFC 4D1380A1-7824F5D9 21B3D514-746D2B29 3372A5A3-65CCAD45 79AD90E3-37A1C625 4BDF2F64-59DA3E7B 67D1CAB1-6047040D 3B18655F-0E5D82AA 790BFCC2-782A5CD1 64585381-796DCD49 22438DC8-7EC24551 6CC54BCC-74E2946F 2EB52AFA-404E430C 67CBDCAE-386C04F1 32E0D043-5447BDD4 4DBB4920-573BDEBD 0682F7AA-559D0B91 259BB647-030EF3E7 74E0E529-4623C1E7 0EDE2F5A-27397BE0 3B434B4C-2838D102 73C08C02-72C56A52 4BC536F3-4F7E2E31 01D84A12-76D3A949 70CCDF68-39A21080 5AC272DD-39FA1004 260DBCE0-0BF03028 24465F05-797E820B 50947E3F-51FD2E1A 393AC500-0BBF16B5 44980E05-391CD4C5 110DAA4B-3E78C6CD 06B3C01B-32DF4143 343EB215-39AD7F53 0385666A-1F7B8D6B 630DB043-28925B98 29D070C0-4ED6E13A 1A71B641-0AD4883C 682F049B-4FA41800 220E2DFC-39BB77BC 303B7FBB-366F7342 24C6B6F9-338EBC39 50D66CAA-60F927B4 4ECD5A57-1E796EA8 0F6FA5C7-3964161B 20BDC973-42035826 7CF96DEC-53C145B2 15D808E9-059FEBF9 151D1091-03AAF387 150E1FB5-35A94836 3310D5ED-1009908C 1DB23CBA-5FA4A045 36319293-39C35B41 61D91F8C-752CC843 4D58FBEB-29DD00E7 1AE761A9-51B33BB8 2FD612A3-2CDCD04F 436006B0-737F85B7 39CE19BC-347DE75A 7D0929A9-75AD8749 7DA2318A-30A942BB 1F5C847C-48EE7299 0C15E8B4-2B8C3022 1A725785-262FED9F 07733EEA-47F8A917 75AF11C4-3063DE05 5411794B-6B28DE28 59726DEA-6A55C793 0D2EB4FF-66D29663 7FCBF068-387BD17A 5053686F-28B339E6 5C585A5E-43FD6D6E 0573B9C1-4ED74616 37AE5CFC-05FF66F8 1C509138-28BBAF76 1C3FDF99-4DED3CE4 12258193-18D94B44 1F3CB60E-07D2B701 50007C9A-18F03CD9 3C610709-5607C9E5 77280C48-05753A24 72B6AE1A-34E09A86 1318EDD2-4BC35AE2 77C8A2A4-65C607B3 67167AC0-03F95442 2A0E3EFA-02B81E57 7775B9E6-2407A36E 63053883-44F76F13 1CF5B036-0815E25C 5DFA18D0-2995FFF9 37394BF6-1917538C 1F712C74-2FF24453 72031668-0FB1CAB3 7662C3AC-145D262C 29B82591-6F9CE406 38FAB9E8-22AF1DC9 2FB1F2BC-7339862E 3A469C6D-299683C2 630AF8B2-36C29EC8 0AAD8AA7-563776E4 2B357B94-65F4C62B 6418CB37-3AB3999C 77338ED2-088AD08B 4E5AD022-3C1744A3 136E35FA-0474B257 73B553F3-5BF9A2AB 2EF45DF3-3F1F5E94 3CF0727D-4B7A0FE5 6194AD1A-709EB6B4 1FED2D67-6A39507E 5BDA5BD3-67F9B526 124E123E-3FBEBB7A 15737F56-7CA2D9FA 3513615C-2C4089E0 314E290F-582813C9 273671A4-58F0DE50 5A2C37DE-131BA97D 3A8658B9-722660B7 0D2F5F1A-568B34B1 4EFA8E08-2771F47E 21E29B42-32365F35 054EE036-0FC10A93 7BFBCDCE-325248D1 6FD6B160-5B66380E 0C93CA41-1D3E016F 0FC75805-793DD3CD 787A1443-0500CDE3 7CC18334-443BD31C 0B8864AC-152752B5 4D5EAFBF-0DEB55AF 7DDFF3F3-296CA6B3 17C16A32-091A22B6 095D997D-27E1F74F 1D8065CD-69CB2FC7 2E198F1D-0377FA81 07934693-6D12A50B 7ACBE9CB-5A4C46F5 0318014F-49C8E7BF 08314DE8-6A521857 58DC79A5-70DE71DD 75AD3EC8-55C96EA1 3D8F67C1-5F02354E 2CD64C0A-0C4C1600 45D6F87E-1203295C 68027CCA-52898151 15F6F0B2-5E57EE47 2FBF8EA8-04138E52 3BF4DAAC-025574A1 0FBF47EF-645CC8D3 1976D623-7DD4FAA3 47978880-5421FB59 3DFF64A8-54B02573 63568C45-2F14A5E3 630D8778-693864C2 26419C38-05246B98 36E7C858-6AE434B2 1A55B285-4A3B5BBE 4B722C81-2E22B05F 3DBE3584-1981682D 212C0809-2F777530 3EE3FB6C-7E52F772 6EF1A855-0C74653A 7CC85D5B-26527198 042A2FC0-4013F99E 5D762418-252E7368 20001A17-0249FA95 437C0AFA-0A940D24 5F84E2A6-1FEE9EA1 3AFCB345-58F9C77B 7D6564D8-71BC79A8 227528C1-149EC814 4B784CAC-22E445FA 41DCB3CF-24F1D395 136E6DEA-24A52627 48833BE1-4D6FEDEF 7BEF2854-61558DAF 442EFC2E-471FED77 255BE110-6FC79282 1D8AB83A-66F12BEC 22F796F2-31023B25 33A10A29-6039C562 40BE1FB7-693B62B1 71179333-2709BF7E 44D75FEA-633D46D6 0A6BC18C-5C9D146B 5E09E72F-7973A173 26AAB09C-596F8C0D 47F391D2-57146488 20B48D2B-2A7252BC 29BE82AD-026FB8E3 0426C283-32B24D61 06DDCF3F-7F70695F 25CB123E-7EF462DE 1FC6903D-2D1E6F1B 5F693175-33A533A8 330BA819-3C40197A 6CCDAF44-7D26BD14 588403E9-2971BA1A 2CF78D2A-5BA363CD 79E19153-3E868B3A 4F9C5E74-576275DB 5868A6ED-68A2D325 394F8EAB-3522F7CF 78594BFD-671EBE91 7FDFA244-3E23A44E 4D254868-5CEA00FF 3542D593-143362E0 696C5372-4E18A72E 36578434-588E2C29 486CEEEE-75A3C8CA 33FD1054-550ACAF8 2790B18D-47C2DA6B 675D1350-3753571E 3CEAB422-7E8F49EA 37236DFC-779227E5 61A93171-4FD2BE75 7A41D040-566B700D 55C9079F-34ED7A18 356B5AD8-18BACC7F 12950B3F-018FE618 1AB5A820-2F77874E 29A47BCD-05137108 105FD60A-53B6AC63 36FA3372-27BB7A86 04CAA8E3-5207CFE5 2173BE8D-6DE48A3D 1C6BB1C4-7727DB8B 14D805B1-2B08BE92 2089BEE2-02EE032D 0C34103B-04D16D15 02791B0D-4ADEC24E 61B8E56E-33056F86 68698260-40E98B9E 4BD3A644-1B0B4F1F 2FE88C7F-486103C2 2E4ADF9C-4E3C89AF 58167922-02CDB221 768C0CB3-4231E6D6 1EB2C1C5-1E69B36D 1A3F187C-0D41EB88 0238FCE3-33D14979 3AA7157F-69177690 1B03B36E-051C65EF 17BE217C-3A97A2A3 41CD65DE-72EA5F13 64217F10-5B7DB601 39E11643-5FAECE7A 2528A202-336435E9 75738AA9-3FF213F4 3570521E-1DC5E5E0 5E5787A5-1750C4E7"/>
  </int2:onDemandWorkflows>
</int2:intelligence>
</file>

<file path=word/numbering.xml><?xml version="1.0" encoding="utf-8"?>
<w:numbering xmlns:w="http://schemas.openxmlformats.org/wordprocessingml/2006/main">
  <w:abstractNum xmlns:w="http://schemas.openxmlformats.org/wordprocessingml/2006/main" w:abstractNumId="3">
    <w:nsid w:val="68ad9a3f"/>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f2836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f3ef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9D929D"/>
    <w:rsid w:val="003D8C1C"/>
    <w:rsid w:val="073071F4"/>
    <w:rsid w:val="073071F4"/>
    <w:rsid w:val="077E94D8"/>
    <w:rsid w:val="07F1E067"/>
    <w:rsid w:val="083964A1"/>
    <w:rsid w:val="096B1A8C"/>
    <w:rsid w:val="09C111B3"/>
    <w:rsid w:val="09C111B3"/>
    <w:rsid w:val="09C774CE"/>
    <w:rsid w:val="0A688645"/>
    <w:rsid w:val="0BF49557"/>
    <w:rsid w:val="0DC2F62B"/>
    <w:rsid w:val="0ED664AA"/>
    <w:rsid w:val="11A03086"/>
    <w:rsid w:val="12708E0D"/>
    <w:rsid w:val="12C2AEF3"/>
    <w:rsid w:val="17D09301"/>
    <w:rsid w:val="189913AD"/>
    <w:rsid w:val="1DAA5FE3"/>
    <w:rsid w:val="1E55351B"/>
    <w:rsid w:val="1F7CB649"/>
    <w:rsid w:val="1F9F8AE5"/>
    <w:rsid w:val="21B2E9D8"/>
    <w:rsid w:val="256C1FF4"/>
    <w:rsid w:val="291E2BB5"/>
    <w:rsid w:val="2AD4F236"/>
    <w:rsid w:val="2BF6B8E3"/>
    <w:rsid w:val="2D898AAE"/>
    <w:rsid w:val="3134E1B3"/>
    <w:rsid w:val="313FED4B"/>
    <w:rsid w:val="31BCCFC0"/>
    <w:rsid w:val="31D5575D"/>
    <w:rsid w:val="31E55175"/>
    <w:rsid w:val="349F0FA7"/>
    <w:rsid w:val="35B1A64D"/>
    <w:rsid w:val="3671D3B1"/>
    <w:rsid w:val="38175FCA"/>
    <w:rsid w:val="38AC8EDE"/>
    <w:rsid w:val="3AEC6EC3"/>
    <w:rsid w:val="3CB35CC0"/>
    <w:rsid w:val="3CB35CC0"/>
    <w:rsid w:val="3D1C0A68"/>
    <w:rsid w:val="4349BB09"/>
    <w:rsid w:val="489DC60B"/>
    <w:rsid w:val="489DC60B"/>
    <w:rsid w:val="4E463748"/>
    <w:rsid w:val="5881A741"/>
    <w:rsid w:val="58D9A62E"/>
    <w:rsid w:val="599D929D"/>
    <w:rsid w:val="5E51CFDE"/>
    <w:rsid w:val="61828066"/>
    <w:rsid w:val="621536CC"/>
    <w:rsid w:val="63BA03C0"/>
    <w:rsid w:val="63EC1369"/>
    <w:rsid w:val="65B7AFF2"/>
    <w:rsid w:val="6941C6BE"/>
    <w:rsid w:val="6C7AF80E"/>
    <w:rsid w:val="6EAEB37C"/>
    <w:rsid w:val="6EAEB37C"/>
    <w:rsid w:val="706BDCFA"/>
    <w:rsid w:val="706BDCFA"/>
    <w:rsid w:val="734D564F"/>
    <w:rsid w:val="74636C5B"/>
    <w:rsid w:val="74A1EF2D"/>
    <w:rsid w:val="7B822310"/>
    <w:rsid w:val="7ECFC674"/>
    <w:rsid w:val="7F44F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D929D"/>
  <w15:chartTrackingRefBased/>
  <w15:docId w15:val="{EDFA38EB-1C59-4EBC-BBE5-59770F6A40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AD4F23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2AD4F236"/>
    <w:pPr>
      <w:spacing/>
      <w:ind w:left="720"/>
      <w:contextualSpacing/>
    </w:pPr>
  </w:style>
  <w:style w:type="paragraph" w:styleId="Heading2">
    <w:uiPriority w:val="9"/>
    <w:name w:val="heading 2"/>
    <w:basedOn w:val="Normal"/>
    <w:next w:val="Normal"/>
    <w:unhideWhenUsed/>
    <w:qFormat/>
    <w:rsid w:val="2AD4F23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AD4F23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 w:type="paragraph" w:styleId="Header">
    <w:uiPriority w:val="99"/>
    <w:name w:val="header"/>
    <w:basedOn w:val="Normal"/>
    <w:unhideWhenUsed/>
    <w:rsid w:val="0ED664AA"/>
    <w:pPr>
      <w:tabs>
        <w:tab w:val="center" w:leader="none" w:pos="4680"/>
        <w:tab w:val="right" w:leader="none" w:pos="9360"/>
      </w:tabs>
      <w:spacing w:after="0" w:line="240" w:lineRule="auto"/>
    </w:pPr>
  </w:style>
  <w:style w:type="paragraph" w:styleId="Footer">
    <w:uiPriority w:val="99"/>
    <w:name w:val="footer"/>
    <w:basedOn w:val="Normal"/>
    <w:unhideWhenUsed/>
    <w:rsid w:val="0ED664A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outledge.com/Stakeholder-Relationship-Management-A-Maturity-Model-for-Organisational-Implementation/Bourne/p/book/9781472453176" TargetMode="External" Id="R5b2de5307baa428d" /><Relationship Type="http://schemas.openxmlformats.org/officeDocument/2006/relationships/hyperlink" Target="https://www.gov.uk/government/publications/decarbonising-transport-a-better-greener-britain" TargetMode="External" Id="Rb68df77150b84270" /><Relationship Type="http://schemas.openxmlformats.org/officeDocument/2006/relationships/hyperlink" Target="https://www.cambridge.org/core/books/strategic-management/2E22C93C23C0C7F7F1B7C9623B80E4B3" TargetMode="External" Id="Ra1beed16ab744e00" /><Relationship Type="http://schemas.openxmlformats.org/officeDocument/2006/relationships/hyperlink" Target="https://ico.org.uk/for-organisations/uk-gdpr-guidance-and-resources/" TargetMode="External" Id="Rff8f0964278344f6" /><Relationship Type="http://schemas.openxmlformats.org/officeDocument/2006/relationships/hyperlink" Target="https://journals.aom.org/doi/10.5465/amr.1997.9711022105" TargetMode="External" Id="Rc2980447f09a4b38" /><Relationship Type="http://schemas.openxmlformats.org/officeDocument/2006/relationships/hyperlink" Target="https://www.iso.org/standard/42546.html" TargetMode="External" Id="R5d61858a9f78489c" /><Relationship Type="http://schemas.microsoft.com/office/2020/10/relationships/intelligence" Target="/word/intelligence2.xml" Id="R93945f6a22444d87" /><Relationship Type="http://schemas.openxmlformats.org/officeDocument/2006/relationships/numbering" Target="/word/numbering.xml" Id="Rfb41a5a882e94fc2" /><Relationship Type="http://schemas.openxmlformats.org/officeDocument/2006/relationships/image" Target="/media/image.png" Id="rId1385679890" /><Relationship Type="http://schemas.openxmlformats.org/officeDocument/2006/relationships/header" Target="/word/header.xml" Id="Rf42d545827464c6b" /><Relationship Type="http://schemas.openxmlformats.org/officeDocument/2006/relationships/footer" Target="/word/footer.xml" Id="R33ad2366db4b47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Sadaf Safdar (2313180)</dc:creator>
  <keywords/>
  <dc:description/>
  <lastModifiedBy>Sadaf Safdar (2313180)</lastModifiedBy>
  <revision>4</revision>
  <dcterms:created xsi:type="dcterms:W3CDTF">2025-11-20T11:50:49.1610085Z</dcterms:created>
  <dcterms:modified xsi:type="dcterms:W3CDTF">2025-11-20T22:33:28.5346463Z</dcterms:modified>
</coreProperties>
</file>