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spacing w:before="1900"/>
        <w:jc w:val="center"/>
      </w:pPr>
      <w:r>
        <w:rPr>
          <w:rFonts w:ascii="Arial" w:hAnsi="Arial"/>
          <w:b/>
          <w:color w:val="5F7065"/>
          <w:sz w:val="32"/>
        </w:rPr>
        <w:t>BUSINESS PLAN</w:t>
      </w:r>
    </w:p>
    <w:p>
      <w:pPr>
        <w:widowControl/>
        <w:spacing w:before="240"/>
        <w:jc w:val="center"/>
      </w:pPr>
      <w:r>
        <w:rPr>
          <w:rFonts w:ascii="Arial" w:hAnsi="Arial"/>
          <w:b/>
          <w:color w:val="2D4E3F"/>
          <w:sz w:val="68"/>
        </w:rPr>
        <w:t>ECOBAKE BAKERY</w:t>
      </w:r>
    </w:p>
    <w:p>
      <w:pPr>
        <w:widowControl/>
        <w:jc w:val="center"/>
      </w:pPr>
      <w:r>
        <w:rPr>
          <w:i/>
          <w:color w:val="646464"/>
          <w:sz w:val="28"/>
        </w:rPr>
        <w:t>Fresh baking. Less waste. Stronger community.</w:t>
      </w:r>
    </w:p>
    <w:p>
      <w:pPr>
        <w:widowControl/>
        <w:spacing w:before="500"/>
        <w:jc w:val="center"/>
      </w:pPr>
      <w:r>
        <w:rPr>
          <w:color w:val="A0B0A4"/>
          <w:sz w:val="24"/>
        </w:rPr>
        <w:t>━━━━━━━━━━━━━━━━━━━━━━━━━━━━━━━━</w:t>
      </w:r>
    </w:p>
    <w:p>
      <w:pPr>
        <w:widowControl/>
        <w:spacing w:before="700"/>
        <w:jc w:val="center"/>
      </w:pPr>
      <w:r>
        <w:rPr>
          <w:sz w:val="24"/>
        </w:rPr>
        <w:t>Proposed small bakery business</w:t>
        <w:br/>
      </w:r>
      <w:r>
        <w:rPr>
          <w:sz w:val="24"/>
        </w:rPr>
        <w:t>Location: United Kingdom (proposed local high street)</w:t>
        <w:br/>
      </w:r>
      <w:r>
        <w:rPr>
          <w:sz w:val="24"/>
        </w:rPr>
        <w:t>Prepared for: Business Planning Assignment</w:t>
        <w:br/>
      </w:r>
      <w:r>
        <w:rPr>
          <w:sz w:val="24"/>
        </w:rPr>
        <w:t>Date: October 2026</w:t>
        <w:br/>
      </w:r>
    </w:p>
    <w:p>
      <w:pPr>
        <w:widowControl/>
        <w:spacing w:before="1400"/>
        <w:jc w:val="center"/>
      </w:pPr>
      <w:r>
        <w:rPr>
          <w:color w:val="505050"/>
          <w:sz w:val="20"/>
        </w:rPr>
        <w:t>A business concept focused on quality products, responsible operations and local employment.</w:t>
      </w:r>
    </w:p>
    <w:p>
      <w:pPr>
        <w:widowControl/>
      </w:pPr>
      <w:r>
        <w:br w:type="page"/>
      </w:r>
    </w:p>
    <w:p>
      <w:pPr>
        <w:pStyle w:val="Heading1"/>
        <w:widowControl/>
      </w:pPr>
      <w:r>
        <w:t>2. Executive Summary</w:t>
      </w:r>
    </w:p>
    <w:p>
      <w:pPr>
        <w:widowControl/>
      </w:pPr>
      <w:r>
        <w:t>EcoBake Bakery is a proposed independent bakery in the United Kingdom selling freshly prepared bread, rolls, pastries, cakes, cupcakes, cookies and celebration cakes. It will serve local residents, families, students and workers through a small shop, takeaway sales and pre-orders made in person or through social media. The business will compete through product freshness, friendly service, fair pricing and a clear commitment to reducing food waste and supporting the local community.</w:t>
      </w:r>
    </w:p>
    <w:p>
      <w:pPr>
        <w:widowControl/>
      </w:pPr>
      <w:r>
        <w:t>The bakery’s purpose is to show that a small food business can pursue commercial success while taking practical environmental and social responsibility. Planned actions include preparing quantities based on expected demand, tracking unsold stock, choosing recyclable or compostable packaging where suitable local facilities exist, and using energy and water carefully. Where safe and practical, suitable surplus products may be offered at a reduced price or donated through an agreed community arrangement. The bakery will also seek to buy from reliable local suppliers when quality, availability and price are competitive.</w:t>
      </w:r>
    </w:p>
    <w:p>
      <w:pPr>
        <w:widowControl/>
      </w:pPr>
      <w:r>
        <w:t>The main customers will be people seeking convenient everyday baked goods, alongside customers ordering cakes for birthdays and celebrations. The product range will include lower-priced individual items as well as made-to-order products. Marketing will combine social media, a visible shopfront, introductory offers, a loyalty scheme and relationships with nearby organisations.</w:t>
      </w:r>
    </w:p>
    <w:p>
      <w:pPr>
        <w:widowControl/>
      </w:pPr>
      <w:r>
        <w:t>The estimated start-up requirement is £23,500. The proposed funding mix is £5,000 in owner contribution and £18,500 in external finance, subject to eligibility and approval. The budget covers premises, equipment, initial stock, marketing, insurance and working capital. A monthly sales target of £15,000 is used for planning, not as a guarantee. The owner will monitor cash flow, product margins and break-even sales before making expansion decisions.</w:t>
      </w:r>
    </w:p>
    <w:p>
      <w:pPr>
        <w:widowControl/>
      </w:pPr>
      <w:r>
        <w:t>The key priorities before launch are to confirm local demand, compare competitors and premises, obtain supplier quotes, complete food-business registration at least 28 days before trading, and establish documented food-safety and allergen procedures (Food Standards Agency, 2026a; 2026b).</w:t>
      </w:r>
    </w:p>
    <w:p>
      <w:pPr>
        <w:widowControl/>
      </w:pPr>
      <w:r>
        <w:br w:type="page"/>
      </w:r>
    </w:p>
    <w:p>
      <w:pPr>
        <w:pStyle w:val="Heading1"/>
        <w:widowControl/>
      </w:pPr>
      <w:r>
        <w:t>3. Table of Contents</w:t>
      </w:r>
    </w:p>
    <w:tbl>
      <w:tblPr>
        <w:tblW w:type="auto" w:w="0"/>
        <w:jc w:val="center"/>
        <w:tblLayout w:type="fixed"/>
        <w:tblLook w:firstColumn="1" w:firstRow="1" w:lastColumn="0" w:lastRow="0" w:noHBand="0" w:noVBand="1" w:val="04A0"/>
      </w:tblPr>
      <w:tblGrid>
        <w:gridCol w:w="8352"/>
        <w:gridCol w:w="1152"/>
      </w:tblGrid>
      <w:tr>
        <w:tc>
          <w:tcPr>
            <w:tcW w:type="dxa" w:w="8352"/>
            <w:vAlign w:val="center"/>
            <w:shd w:fill="F1F5F1"/>
          </w:tcPr>
          <w:p>
            <w:pPr>
              <w:spacing w:after="160"/>
            </w:pPr>
            <w:r>
              <w:rPr>
                <w:rFonts w:ascii="Arial" w:hAnsi="Arial"/>
                <w:sz w:val="22"/>
              </w:rPr>
              <w:t>1. Title Page</w:t>
            </w:r>
          </w:p>
        </w:tc>
        <w:tc>
          <w:tcPr>
            <w:tcW w:type="dxa" w:w="1152"/>
            <w:vAlign w:val="center"/>
            <w:shd w:fill="F1F5F1"/>
          </w:tcPr>
          <w:p>
            <w:pPr>
              <w:spacing w:after="160"/>
              <w:jc w:val="right"/>
            </w:pPr>
            <w:r>
              <w:rPr>
                <w:rFonts w:ascii="Arial" w:hAnsi="Arial"/>
                <w:sz w:val="22"/>
              </w:rPr>
              <w:t>1</w:t>
            </w:r>
          </w:p>
        </w:tc>
      </w:tr>
      <w:tr>
        <w:tc>
          <w:tcPr>
            <w:tcW w:type="dxa" w:w="8352"/>
            <w:vAlign w:val="center"/>
          </w:tcPr>
          <w:p>
            <w:pPr>
              <w:spacing w:after="160"/>
            </w:pPr>
            <w:r>
              <w:rPr>
                <w:rFonts w:ascii="Arial" w:hAnsi="Arial"/>
                <w:sz w:val="22"/>
              </w:rPr>
              <w:t>2. Executive Summary</w:t>
            </w:r>
          </w:p>
        </w:tc>
        <w:tc>
          <w:tcPr>
            <w:tcW w:type="dxa" w:w="1152"/>
            <w:vAlign w:val="center"/>
          </w:tcPr>
          <w:p>
            <w:pPr>
              <w:spacing w:after="160"/>
              <w:jc w:val="right"/>
            </w:pPr>
            <w:r>
              <w:rPr>
                <w:rFonts w:ascii="Arial" w:hAnsi="Arial"/>
                <w:sz w:val="22"/>
              </w:rPr>
              <w:t>2</w:t>
            </w:r>
          </w:p>
        </w:tc>
      </w:tr>
      <w:tr>
        <w:tc>
          <w:tcPr>
            <w:tcW w:type="dxa" w:w="8352"/>
            <w:vAlign w:val="center"/>
            <w:shd w:fill="F1F5F1"/>
          </w:tcPr>
          <w:p>
            <w:pPr>
              <w:spacing w:after="160"/>
            </w:pPr>
            <w:r>
              <w:rPr>
                <w:rFonts w:ascii="Arial" w:hAnsi="Arial"/>
                <w:sz w:val="22"/>
              </w:rPr>
              <w:t>3. Table of Contents</w:t>
            </w:r>
          </w:p>
        </w:tc>
        <w:tc>
          <w:tcPr>
            <w:tcW w:type="dxa" w:w="1152"/>
            <w:vAlign w:val="center"/>
            <w:shd w:fill="F1F5F1"/>
          </w:tcPr>
          <w:p>
            <w:pPr>
              <w:spacing w:after="160"/>
              <w:jc w:val="right"/>
            </w:pPr>
            <w:r>
              <w:rPr>
                <w:rFonts w:ascii="Arial" w:hAnsi="Arial"/>
                <w:sz w:val="22"/>
              </w:rPr>
              <w:t>3</w:t>
            </w:r>
          </w:p>
        </w:tc>
      </w:tr>
      <w:tr>
        <w:tc>
          <w:tcPr>
            <w:tcW w:type="dxa" w:w="8352"/>
            <w:vAlign w:val="center"/>
          </w:tcPr>
          <w:p>
            <w:pPr>
              <w:spacing w:after="160"/>
            </w:pPr>
            <w:r>
              <w:rPr>
                <w:rFonts w:ascii="Arial" w:hAnsi="Arial"/>
                <w:sz w:val="22"/>
              </w:rPr>
              <w:t>4. Overview of the Business Idea</w:t>
            </w:r>
          </w:p>
        </w:tc>
        <w:tc>
          <w:tcPr>
            <w:tcW w:type="dxa" w:w="1152"/>
            <w:vAlign w:val="center"/>
          </w:tcPr>
          <w:p>
            <w:pPr>
              <w:spacing w:after="160"/>
              <w:jc w:val="right"/>
            </w:pPr>
            <w:r>
              <w:rPr>
                <w:rFonts w:ascii="Arial" w:hAnsi="Arial"/>
                <w:sz w:val="22"/>
              </w:rPr>
              <w:t>4</w:t>
            </w:r>
          </w:p>
        </w:tc>
      </w:tr>
      <w:tr>
        <w:tc>
          <w:tcPr>
            <w:tcW w:type="dxa" w:w="8352"/>
            <w:vAlign w:val="center"/>
            <w:shd w:fill="F1F5F1"/>
          </w:tcPr>
          <w:p>
            <w:pPr>
              <w:spacing w:after="160"/>
            </w:pPr>
            <w:r>
              <w:rPr>
                <w:rFonts w:ascii="Arial" w:hAnsi="Arial"/>
                <w:sz w:val="22"/>
              </w:rPr>
              <w:t>5. Market Research</w:t>
            </w:r>
          </w:p>
        </w:tc>
        <w:tc>
          <w:tcPr>
            <w:tcW w:type="dxa" w:w="1152"/>
            <w:vAlign w:val="center"/>
            <w:shd w:fill="F1F5F1"/>
          </w:tcPr>
          <w:p>
            <w:pPr>
              <w:spacing w:after="160"/>
              <w:jc w:val="right"/>
            </w:pPr>
            <w:r>
              <w:rPr>
                <w:rFonts w:ascii="Arial" w:hAnsi="Arial"/>
                <w:sz w:val="22"/>
              </w:rPr>
              <w:t>5</w:t>
            </w:r>
          </w:p>
        </w:tc>
      </w:tr>
      <w:tr>
        <w:tc>
          <w:tcPr>
            <w:tcW w:type="dxa" w:w="8352"/>
            <w:vAlign w:val="center"/>
          </w:tcPr>
          <w:p>
            <w:pPr>
              <w:spacing w:after="160"/>
            </w:pPr>
            <w:r>
              <w:rPr>
                <w:rFonts w:ascii="Arial" w:hAnsi="Arial"/>
                <w:sz w:val="22"/>
              </w:rPr>
              <w:t>6. Marketing Communication</w:t>
            </w:r>
          </w:p>
        </w:tc>
        <w:tc>
          <w:tcPr>
            <w:tcW w:type="dxa" w:w="1152"/>
            <w:vAlign w:val="center"/>
          </w:tcPr>
          <w:p>
            <w:pPr>
              <w:spacing w:after="160"/>
              <w:jc w:val="right"/>
            </w:pPr>
            <w:r>
              <w:rPr>
                <w:rFonts w:ascii="Arial" w:hAnsi="Arial"/>
                <w:sz w:val="22"/>
              </w:rPr>
              <w:t>6</w:t>
            </w:r>
          </w:p>
        </w:tc>
      </w:tr>
      <w:tr>
        <w:tc>
          <w:tcPr>
            <w:tcW w:type="dxa" w:w="8352"/>
            <w:vAlign w:val="center"/>
            <w:shd w:fill="F1F5F1"/>
          </w:tcPr>
          <w:p>
            <w:pPr>
              <w:spacing w:after="160"/>
            </w:pPr>
            <w:r>
              <w:rPr>
                <w:rFonts w:ascii="Arial" w:hAnsi="Arial"/>
                <w:sz w:val="22"/>
              </w:rPr>
              <w:t>7. Financials and Funding Requirements</w:t>
            </w:r>
          </w:p>
        </w:tc>
        <w:tc>
          <w:tcPr>
            <w:tcW w:type="dxa" w:w="1152"/>
            <w:vAlign w:val="center"/>
            <w:shd w:fill="F1F5F1"/>
          </w:tcPr>
          <w:p>
            <w:pPr>
              <w:spacing w:after="160"/>
              <w:jc w:val="right"/>
            </w:pPr>
            <w:r>
              <w:rPr>
                <w:rFonts w:ascii="Arial" w:hAnsi="Arial"/>
                <w:sz w:val="22"/>
              </w:rPr>
              <w:t>7</w:t>
            </w:r>
          </w:p>
        </w:tc>
      </w:tr>
      <w:tr>
        <w:tc>
          <w:tcPr>
            <w:tcW w:type="dxa" w:w="8352"/>
            <w:vAlign w:val="center"/>
          </w:tcPr>
          <w:p>
            <w:pPr>
              <w:spacing w:after="160"/>
            </w:pPr>
            <w:r>
              <w:rPr>
                <w:rFonts w:ascii="Arial" w:hAnsi="Arial"/>
                <w:sz w:val="22"/>
              </w:rPr>
              <w:t>8. Reference List</w:t>
            </w:r>
          </w:p>
        </w:tc>
        <w:tc>
          <w:tcPr>
            <w:tcW w:type="dxa" w:w="1152"/>
            <w:vAlign w:val="center"/>
          </w:tcPr>
          <w:p>
            <w:pPr>
              <w:spacing w:after="160"/>
              <w:jc w:val="right"/>
            </w:pPr>
            <w:r>
              <w:rPr>
                <w:rFonts w:ascii="Arial" w:hAnsi="Arial"/>
                <w:sz w:val="22"/>
              </w:rPr>
              <w:t>8</w:t>
            </w:r>
          </w:p>
        </w:tc>
      </w:tr>
    </w:tbl>
    <w:p>
      <w:pPr>
        <w:widowControl/>
      </w:pPr>
      <w:r>
        <w:t>Note: The reference list is provided on page 8 and is excluded from the assignment word count. Financial figures are estimates for planning and must be validated against actual local quotations.</w:t>
      </w:r>
    </w:p>
    <w:p>
      <w:pPr>
        <w:widowControl/>
      </w:pPr>
      <w:r>
        <w:br w:type="page"/>
      </w:r>
    </w:p>
    <w:p>
      <w:pPr>
        <w:pStyle w:val="Heading1"/>
        <w:widowControl/>
      </w:pPr>
      <w:r>
        <w:t>4. Overview of the Business Idea</w:t>
      </w:r>
    </w:p>
    <w:p>
      <w:pPr>
        <w:pStyle w:val="Heading2"/>
        <w:widowControl/>
      </w:pPr>
      <w:r>
        <w:t>4.1 Business concept</w:t>
      </w:r>
    </w:p>
    <w:p>
      <w:pPr>
        <w:widowControl/>
      </w:pPr>
      <w:r>
        <w:t>EcoBake Bakery will be a small independent bakery operating from rented retail premises in a suitable local shopping area in England. It will prepare and sell fresh bread, rolls, pastries, cakes, cupcakes, cookies and made-to-order celebration cakes. The initial model will focus on takeaway and collection, with local delivery considered only if it is affordable and operationally practical.</w:t>
      </w:r>
    </w:p>
    <w:p>
      <w:pPr>
        <w:pStyle w:val="Heading2"/>
        <w:widowControl/>
      </w:pPr>
      <w:r>
        <w:t>4.2 Mission, vision and objectives</w:t>
      </w:r>
    </w:p>
    <w:p>
      <w:pPr>
        <w:widowControl/>
      </w:pPr>
      <w:r>
        <w:t>Mission: to provide enjoyable, affordable baked goods while reducing avoidable waste and contributing positively to the local community. Vision: to become a trusted neighbourhood bakery known for consistent quality, welcoming service and responsible business practices.</w:t>
      </w:r>
    </w:p>
    <w:p>
      <w:pPr>
        <w:widowControl/>
      </w:pPr>
      <w:r>
        <w:t>The first-year objectives are to:</w:t>
      </w:r>
    </w:p>
    <w:p>
      <w:pPr>
        <w:pStyle w:val="ListBullet"/>
        <w:widowControl/>
        <w:spacing w:after="40"/>
      </w:pPr>
      <w:r>
        <w:t>Build a base of regular customers and establish a recognisable local brand.</w:t>
      </w:r>
    </w:p>
    <w:p>
      <w:pPr>
        <w:pStyle w:val="ListBullet"/>
        <w:widowControl/>
        <w:spacing w:after="40"/>
      </w:pPr>
      <w:r>
        <w:t>Maintain consistent product quality, hygiene and accurate allergen information.</w:t>
      </w:r>
    </w:p>
    <w:p>
      <w:pPr>
        <w:pStyle w:val="ListBullet"/>
        <w:widowControl/>
        <w:spacing w:after="40"/>
      </w:pPr>
      <w:r>
        <w:t>Track production and sales to reduce avoidable food waste.</w:t>
      </w:r>
    </w:p>
    <w:p>
      <w:pPr>
        <w:pStyle w:val="ListBullet"/>
        <w:widowControl/>
        <w:spacing w:after="40"/>
      </w:pPr>
      <w:r>
        <w:t>Use suitable lower-impact packaging where practical and available.</w:t>
      </w:r>
    </w:p>
    <w:p>
      <w:pPr>
        <w:pStyle w:val="ListBullet"/>
        <w:widowControl/>
        <w:spacing w:after="40"/>
      </w:pPr>
      <w:r>
        <w:t>Create local work opportunities as sales and cash flow allow.</w:t>
      </w:r>
    </w:p>
    <w:p>
      <w:pPr>
        <w:pStyle w:val="ListBullet"/>
        <w:widowControl/>
        <w:spacing w:after="40"/>
      </w:pPr>
      <w:r>
        <w:t>Monitor sales, expenses and cash flow each month to assess financial progress.</w:t>
      </w:r>
    </w:p>
    <w:p>
      <w:pPr>
        <w:pStyle w:val="Heading2"/>
        <w:widowControl/>
      </w:pPr>
      <w:r>
        <w:t>4.3 Products and unique selling point</w:t>
      </w:r>
    </w:p>
    <w:p>
      <w:pPr>
        <w:widowControl/>
      </w:pPr>
      <w:r>
        <w:t>The product range will cover everyday purchases and special occasions. Illustrative prices are £1.50–£3.00 for selected pastries or individual treats and £20–£45 for selected celebration cakes; final prices will be set after recipe costing and competitor research. Custom orders will require clear collection times and deposit terms.</w:t>
      </w:r>
    </w:p>
    <w:p>
      <w:pPr>
        <w:widowControl/>
      </w:pPr>
      <w:r>
        <w:t>The unique selling point is the combination of fresh products, approachable service and measurable waste-reduction actions. The bakery will avoid making broad claims such as “zero waste” unless it can substantiate them. It will instead communicate specific actions, such as recording unsold stock, planning batches around demand and choosing packaging according to local recycling facilities.</w:t>
      </w:r>
    </w:p>
    <w:p>
      <w:pPr>
        <w:pStyle w:val="Heading2"/>
        <w:widowControl/>
      </w:pPr>
      <w:r>
        <w:t>4.4 Ownership and day-to-day management</w:t>
      </w:r>
    </w:p>
    <w:p>
      <w:pPr>
        <w:widowControl/>
      </w:pPr>
      <w:r>
        <w:t>The owner-manager will oversee purchasing, baking schedules, customer service, bookkeeping, promotion and supplier relationships. Depending on demand, the business may employ a baker and a part-time assistant. Before opening, it will confirm the premises are suitable, arrange appropriate insurance and register the food business with the local authority at least 28 days before trading (Food Standards Agency, 2026a).</w:t>
      </w:r>
    </w:p>
    <w:p>
      <w:pPr>
        <w:widowControl/>
      </w:pPr>
      <w:r>
        <w:br w:type="page"/>
      </w:r>
    </w:p>
    <w:p>
      <w:pPr>
        <w:pStyle w:val="Heading1"/>
        <w:widowControl/>
      </w:pPr>
      <w:r>
        <w:t>5. Market Research</w:t>
      </w:r>
    </w:p>
    <w:p>
      <w:pPr>
        <w:pStyle w:val="Heading2"/>
        <w:widowControl/>
      </w:pPr>
      <w:r>
        <w:t>5.1 Target customers and customer needs</w:t>
      </w:r>
    </w:p>
    <w:p>
      <w:pPr>
        <w:widowControl/>
      </w:pPr>
      <w:r>
        <w:t>The proposed target market consists of local residents and families buying bread and treats, students and workers seeking convenient snacks, and customers ordering cakes for birthdays or events. Their likely priorities include freshness, taste, convenient opening hours, fair prices, reliable service and clear ingredient information. These are initial assumptions to test rather than proven findings.</w:t>
      </w:r>
    </w:p>
    <w:p>
      <w:pPr>
        <w:pStyle w:val="Heading2"/>
        <w:widowControl/>
      </w:pPr>
      <w:r>
        <w:t>5.2 Competitors and research plan</w:t>
      </w:r>
    </w:p>
    <w:p>
      <w:pPr>
        <w:widowControl/>
      </w:pPr>
      <w:r>
        <w:t>Likely competitors include supermarket bakery counters, independent bakeries, cafés and home-based cake makers. Supermarkets may compete on convenience and price; specialist bakeries may compete through variety, custom designs or established reputations. EcoBake will seek to differentiate itself through freshness, approachable customer service, made-to-order cakes and practical sustainability measures.</w:t>
      </w:r>
    </w:p>
    <w:p>
      <w:pPr>
        <w:widowControl/>
      </w:pPr>
      <w:r>
        <w:t>Before committing to premises, the owner should map competitors within the local catchment area, compare menus and prices, read publicly available customer reviews and observe busy periods. Primary research should include a short customer questionnaire and conversations with local residents. Questions should test preferred products, likely purchase frequency, acceptable prices, dietary needs and interest in pre-orders. Results should be recorded and used to refine the menu and opening hours. No local survey results are claimed in this plan.</w:t>
      </w:r>
    </w:p>
    <w:p>
      <w:pPr>
        <w:pStyle w:val="Heading2"/>
        <w:widowControl/>
      </w:pPr>
      <w:r>
        <w:t>5.3 PESTEL analysis</w:t>
      </w:r>
    </w:p>
    <w:p>
      <w:pPr>
        <w:widowControl/>
      </w:pPr>
      <w:r>
        <w:t>Political: Government decisions on trade, taxation, employment and environmental policy may influence ingredient availability, labour costs and business obligations. The bakery will review relevant guidance and compare domestic suppliers where practical.</w:t>
      </w:r>
    </w:p>
    <w:p>
      <w:pPr>
        <w:widowControl/>
      </w:pPr>
      <w:r>
        <w:t>Economic: Inflation in ingredients, rent, energy and wages can reduce margins, while pressure on household budgets may affect discretionary purchases. EcoBake will cost each recipe, review prices when necessary, offer products at different price points and monitor cash flow. Wage planning must account for current legal rates; from April 2026, the National Living Wage for workers aged 21 and over is £12.71 per hour (GOV.UK, 2026).</w:t>
      </w:r>
    </w:p>
    <w:p>
      <w:pPr>
        <w:widowControl/>
      </w:pPr>
      <w:r>
        <w:t>Social: Demand may be shaped by convenience, celebration occasions, dietary requirements and interest in local businesses. The bakery will use feedback to adapt its range and provide accurate allergen information.</w:t>
      </w:r>
    </w:p>
    <w:p>
      <w:pPr>
        <w:widowControl/>
      </w:pPr>
      <w:r>
        <w:t>Technological: Digital payments, social media, online pre-orders and stock records can improve convenience and planning. The owner will choose affordable systems and protect customer information.</w:t>
      </w:r>
    </w:p>
    <w:p>
      <w:pPr>
        <w:widowControl/>
      </w:pPr>
      <w:r>
        <w:t>Environmental: Food waste, packaging and energy use are material concerns for a bakery. Batch planning, suitable surplus-food arrangements, efficient equipment and packaging selected for local recycling options will help reduce impact.</w:t>
      </w:r>
    </w:p>
    <w:p>
      <w:pPr>
        <w:widowControl/>
      </w:pPr>
      <w:r>
        <w:t>Legal: The business must follow applicable food hygiene, allergen, employment, consumer and health-and-safety requirements. It will register with the local authority before opening and use written procedures for food safety and allergen control (Food Standards Agency, 2026a; 2026b).</w:t>
      </w:r>
    </w:p>
    <w:p>
      <w:pPr>
        <w:widowControl/>
      </w:pPr>
      <w:r>
        <w:t>Overall, the market research and PESTEL analysis suggest that the business should validate local demand, control costs and meet legal requirements before launch. Its environmental and community commitments should be practical, measurable and affordable.</w:t>
      </w:r>
    </w:p>
    <w:p>
      <w:pPr>
        <w:widowControl/>
      </w:pPr>
      <w:r>
        <w:br w:type="page"/>
      </w:r>
    </w:p>
    <w:p>
      <w:pPr>
        <w:pStyle w:val="Heading1"/>
        <w:widowControl/>
      </w:pPr>
      <w:r>
        <w:t>6. Marketing Communication</w:t>
      </w:r>
    </w:p>
    <w:p>
      <w:pPr>
        <w:widowControl/>
      </w:pPr>
      <w:r>
        <w:t>EcoBake Bakery will use integrated marketing communication: a consistent message across the shop, printed materials and digital channels. The central message will be “Fresh baking. Less waste. Stronger community.” Communication will focus on product quality, fair prices, made-to-order cakes and specific sustainability actions rather than unverified environmental claims.</w:t>
      </w:r>
    </w:p>
    <w:p>
      <w:pPr>
        <w:pStyle w:val="Heading2"/>
        <w:widowControl/>
      </w:pPr>
      <w:r>
        <w:t>6.1 Digital communication</w:t>
      </w:r>
    </w:p>
    <w:p>
      <w:pPr>
        <w:widowControl/>
      </w:pPr>
      <w:r>
        <w:t>The bakery will create business profiles on suitable social media platforms and publish clear product photographs, menus, opening hours, prices and ordering instructions. Posts may feature daily specials, seasonal products, baking previews and customer reviews shared with permission. A simple online order form or dedicated business email can help manage cake enquiries. Messages should be answered promptly, and collection or delivery terms should be stated clearly.</w:t>
      </w:r>
    </w:p>
    <w:p>
      <w:pPr>
        <w:pStyle w:val="Heading2"/>
        <w:widowControl/>
      </w:pPr>
      <w:r>
        <w:t>6.2 Local promotion and customer retention</w:t>
      </w:r>
    </w:p>
    <w:p>
      <w:pPr>
        <w:widowControl/>
      </w:pPr>
      <w:r>
        <w:t>Offline promotion will include an attractive shopfront, readable price displays, flyers in permitted local locations and participation in community events where costs are reasonable. The bakery may approach nearby workplaces, schools or community groups about suitable catering orders, subject to their policies. Introductory offers can encourage trial, while a simple loyalty scheme can reward repeat purchases without undermining margins.</w:t>
      </w:r>
    </w:p>
    <w:p>
      <w:pPr>
        <w:pStyle w:val="Heading2"/>
        <w:widowControl/>
      </w:pPr>
      <w:r>
        <w:t>6.3 Promotional budget and measures</w:t>
      </w:r>
    </w:p>
    <w:p>
      <w:pPr>
        <w:widowControl/>
      </w:pPr>
      <w:r>
        <w:t>An initial marketing budget of £1,000 is included in the start-up estimate, with an illustrative ongoing allowance of £250 per month. Spending will prioritise low-cost digital content, basic signage, printed menus and local launch promotion. The owner will track weekly sales, average transaction value, repeat purchases, custom-cake enquiries, social media engagement and promotion redemption. If a channel does not produce useful enquiries or sales, the budget will be redirected.</w:t>
      </w:r>
    </w:p>
    <w:p>
      <w:pPr>
        <w:pStyle w:val="Heading2"/>
        <w:widowControl/>
      </w:pPr>
      <w:r>
        <w:t>6.4 Communication standards</w:t>
      </w:r>
    </w:p>
    <w:p>
      <w:pPr>
        <w:widowControl/>
      </w:pPr>
      <w:r>
        <w:t>All communication will be polite, accurate and consistent. Prices, product descriptions, availability and order deadlines will be clear. Allergen information must be accurate and available to customers before purchase; staff will be trained not to guess about ingredients or cross-contamination (Food Standards Agency, 2026b). Customer photographs or testimonials will only be used with permission. The bakery will respond to complaints calmly, offer a practical resolution where appropriate and use feedback to improve products and service.</w:t>
      </w:r>
    </w:p>
    <w:p>
      <w:pPr>
        <w:widowControl/>
      </w:pPr>
      <w:r>
        <w:t>This approach is intended to build awareness, convert first-time visitors into customers and encourage repeat purchases. It will be reviewed monthly against sales and customer feedback.</w:t>
      </w:r>
    </w:p>
    <w:p>
      <w:pPr>
        <w:widowControl/>
      </w:pPr>
      <w:r>
        <w:br w:type="page"/>
      </w:r>
    </w:p>
    <w:p>
      <w:pPr>
        <w:pStyle w:val="Heading1"/>
        <w:widowControl/>
      </w:pPr>
      <w:r>
        <w:t>7. Financials and Funding Requirements</w:t>
      </w:r>
    </w:p>
    <w:p>
      <w:pPr>
        <w:widowControl/>
      </w:pPr>
      <w:r>
        <w:t>EcoBake Bakery estimates that it will require £23,500 to open a small rented-premises bakery. This is a planning estimate, not a supplier quotation. Before launch, the owner must obtain local quotes for rent, equipment, insurance, ingredients and any premises work.</w:t>
      </w:r>
    </w:p>
    <w:p>
      <w:pPr>
        <w:pStyle w:val="Heading2"/>
        <w:widowControl/>
      </w:pPr>
      <w:r>
        <w:t>7.1 Estimated start-up budget</w:t>
      </w:r>
    </w:p>
    <w:tbl>
      <w:tblPr>
        <w:tblStyle w:val="LightShading-Accent1"/>
        <w:tblW w:type="auto" w:w="0"/>
        <w:jc w:val="center"/>
        <w:tblLook w:firstColumn="1" w:firstRow="1" w:lastColumn="0" w:lastRow="0" w:noHBand="0" w:noVBand="1" w:val="04A0"/>
      </w:tblPr>
      <w:tblGrid>
        <w:gridCol w:w="4997"/>
        <w:gridCol w:w="4997"/>
      </w:tblGrid>
      <w:tr>
        <w:tc>
          <w:tcPr>
            <w:tcW w:type="dxa" w:w="4997"/>
          </w:tcPr>
          <w:p>
            <w:pPr>
              <w:spacing w:after="20"/>
            </w:pPr>
            <w:r>
              <w:rPr>
                <w:sz w:val="17"/>
              </w:rPr>
              <w:t>Premises deposit and initial rent</w:t>
            </w:r>
          </w:p>
        </w:tc>
        <w:tc>
          <w:tcPr>
            <w:tcW w:type="dxa" w:w="4997"/>
          </w:tcPr>
          <w:p>
            <w:pPr>
              <w:spacing w:after="20"/>
              <w:jc w:val="right"/>
            </w:pPr>
            <w:r>
              <w:rPr>
                <w:sz w:val="17"/>
              </w:rPr>
              <w:t>£4,000</w:t>
            </w:r>
          </w:p>
        </w:tc>
      </w:tr>
      <w:tr>
        <w:tc>
          <w:tcPr>
            <w:tcW w:type="dxa" w:w="4997"/>
          </w:tcPr>
          <w:p>
            <w:pPr>
              <w:spacing w:after="20"/>
            </w:pPr>
            <w:r>
              <w:rPr>
                <w:sz w:val="17"/>
              </w:rPr>
              <w:t>Ovens, mixer and baking equipment</w:t>
            </w:r>
          </w:p>
        </w:tc>
        <w:tc>
          <w:tcPr>
            <w:tcW w:type="dxa" w:w="4997"/>
          </w:tcPr>
          <w:p>
            <w:pPr>
              <w:spacing w:after="20"/>
              <w:jc w:val="right"/>
            </w:pPr>
            <w:r>
              <w:rPr>
                <w:sz w:val="17"/>
              </w:rPr>
              <w:t>£8,000</w:t>
            </w:r>
          </w:p>
        </w:tc>
      </w:tr>
      <w:tr>
        <w:tc>
          <w:tcPr>
            <w:tcW w:type="dxa" w:w="4997"/>
          </w:tcPr>
          <w:p>
            <w:pPr>
              <w:spacing w:after="20"/>
            </w:pPr>
            <w:r>
              <w:rPr>
                <w:sz w:val="17"/>
              </w:rPr>
              <w:t>Display cabinets, furniture and smallwares</w:t>
            </w:r>
          </w:p>
        </w:tc>
        <w:tc>
          <w:tcPr>
            <w:tcW w:type="dxa" w:w="4997"/>
          </w:tcPr>
          <w:p>
            <w:pPr>
              <w:spacing w:after="20"/>
              <w:jc w:val="right"/>
            </w:pPr>
            <w:r>
              <w:rPr>
                <w:sz w:val="17"/>
              </w:rPr>
              <w:t>£3,000</w:t>
            </w:r>
          </w:p>
        </w:tc>
      </w:tr>
      <w:tr>
        <w:tc>
          <w:tcPr>
            <w:tcW w:type="dxa" w:w="4997"/>
          </w:tcPr>
          <w:p>
            <w:pPr>
              <w:spacing w:after="20"/>
            </w:pPr>
            <w:r>
              <w:rPr>
                <w:sz w:val="17"/>
              </w:rPr>
              <w:t>Initial ingredients and packaging</w:t>
            </w:r>
          </w:p>
        </w:tc>
        <w:tc>
          <w:tcPr>
            <w:tcW w:type="dxa" w:w="4997"/>
          </w:tcPr>
          <w:p>
            <w:pPr>
              <w:spacing w:after="20"/>
              <w:jc w:val="right"/>
            </w:pPr>
            <w:r>
              <w:rPr>
                <w:sz w:val="17"/>
              </w:rPr>
              <w:t>£1,500</w:t>
            </w:r>
          </w:p>
        </w:tc>
      </w:tr>
      <w:tr>
        <w:tc>
          <w:tcPr>
            <w:tcW w:type="dxa" w:w="4997"/>
          </w:tcPr>
          <w:p>
            <w:pPr>
              <w:spacing w:after="20"/>
            </w:pPr>
            <w:r>
              <w:rPr>
                <w:sz w:val="17"/>
              </w:rPr>
              <w:t>Branding, signage and launch marketing</w:t>
            </w:r>
          </w:p>
        </w:tc>
        <w:tc>
          <w:tcPr>
            <w:tcW w:type="dxa" w:w="4997"/>
          </w:tcPr>
          <w:p>
            <w:pPr>
              <w:spacing w:after="20"/>
              <w:jc w:val="right"/>
            </w:pPr>
            <w:r>
              <w:rPr>
                <w:sz w:val="17"/>
              </w:rPr>
              <w:t>£1,000</w:t>
            </w:r>
          </w:p>
        </w:tc>
      </w:tr>
      <w:tr>
        <w:tc>
          <w:tcPr>
            <w:tcW w:type="dxa" w:w="4997"/>
          </w:tcPr>
          <w:p>
            <w:pPr>
              <w:spacing w:after="20"/>
            </w:pPr>
            <w:r>
              <w:rPr>
                <w:sz w:val="17"/>
              </w:rPr>
              <w:t>Insurance and professional/administrative costs</w:t>
            </w:r>
          </w:p>
        </w:tc>
        <w:tc>
          <w:tcPr>
            <w:tcW w:type="dxa" w:w="4997"/>
          </w:tcPr>
          <w:p>
            <w:pPr>
              <w:spacing w:after="20"/>
              <w:jc w:val="right"/>
            </w:pPr>
            <w:r>
              <w:rPr>
                <w:sz w:val="17"/>
              </w:rPr>
              <w:t>£1,000</w:t>
            </w:r>
          </w:p>
        </w:tc>
      </w:tr>
      <w:tr>
        <w:tc>
          <w:tcPr>
            <w:tcW w:type="dxa" w:w="4997"/>
          </w:tcPr>
          <w:p>
            <w:pPr>
              <w:spacing w:after="20"/>
            </w:pPr>
            <w:r>
              <w:rPr>
                <w:sz w:val="17"/>
              </w:rPr>
              <w:t>Opening working-capital reserve</w:t>
            </w:r>
          </w:p>
        </w:tc>
        <w:tc>
          <w:tcPr>
            <w:tcW w:type="dxa" w:w="4997"/>
          </w:tcPr>
          <w:p>
            <w:pPr>
              <w:spacing w:after="20"/>
              <w:jc w:val="right"/>
            </w:pPr>
            <w:r>
              <w:rPr>
                <w:sz w:val="17"/>
              </w:rPr>
              <w:t>£5,000</w:t>
            </w:r>
          </w:p>
        </w:tc>
      </w:tr>
      <w:tr>
        <w:tc>
          <w:tcPr>
            <w:tcW w:type="dxa" w:w="4997"/>
          </w:tcPr>
          <w:p>
            <w:pPr>
              <w:spacing w:after="20"/>
            </w:pPr>
            <w:r>
              <w:rPr>
                <w:b/>
                <w:sz w:val="17"/>
              </w:rPr>
              <w:t>TOTAL FUNDING REQUIRED</w:t>
            </w:r>
          </w:p>
        </w:tc>
        <w:tc>
          <w:tcPr>
            <w:tcW w:type="dxa" w:w="4997"/>
          </w:tcPr>
          <w:p>
            <w:pPr>
              <w:spacing w:after="20"/>
              <w:jc w:val="right"/>
            </w:pPr>
            <w:r>
              <w:rPr>
                <w:b/>
                <w:sz w:val="17"/>
              </w:rPr>
              <w:t>£23,500</w:t>
            </w:r>
          </w:p>
        </w:tc>
      </w:tr>
    </w:tbl>
    <w:p>
      <w:pPr>
        <w:pStyle w:val="Heading2"/>
        <w:widowControl/>
      </w:pPr>
      <w:r>
        <w:t>7.2 Funding sources</w:t>
      </w:r>
    </w:p>
    <w:p>
      <w:pPr>
        <w:widowControl/>
      </w:pPr>
      <w:r>
        <w:t>The proposed funding mix is £5,000 from the owner’s savings or contribution (21.3%) and £18,500 from external finance (78.7%). The external portion could be sought through a suitable small-business loan or investment from an adult investor, subject to eligibility, affordability and approval. A UK Start Up Loan programme currently advertises loans of £500–£25,000 for eligible applicants aged 18 or over, with a fixed interest rate and repayment terms; the business must verify the current conditions before applying (Business.gov.uk, n.d.). If the proposed owner is not eligible, the plan would need an alternative funding arrangement. No funding is assumed to have been approved.</w:t>
      </w:r>
    </w:p>
    <w:p>
      <w:pPr>
        <w:pStyle w:val="Heading2"/>
        <w:widowControl/>
      </w:pPr>
      <w:r>
        <w:t>7.3 Illustrative monthly operating forecast</w:t>
      </w:r>
    </w:p>
    <w:tbl>
      <w:tblPr>
        <w:tblStyle w:val="LightShading-Accent1"/>
        <w:tblW w:type="auto" w:w="0"/>
        <w:jc w:val="center"/>
        <w:tblLook w:firstColumn="1" w:firstRow="1" w:lastColumn="0" w:lastRow="0" w:noHBand="0" w:noVBand="1" w:val="04A0"/>
      </w:tblPr>
      <w:tblGrid>
        <w:gridCol w:w="4997"/>
        <w:gridCol w:w="4997"/>
      </w:tblGrid>
      <w:tr>
        <w:tc>
          <w:tcPr>
            <w:tcW w:type="dxa" w:w="4997"/>
          </w:tcPr>
          <w:p>
            <w:pPr>
              <w:spacing w:after="0"/>
            </w:pPr>
            <w:r>
              <w:rPr>
                <w:sz w:val="16"/>
              </w:rPr>
              <w:t>Sales revenue</w:t>
            </w:r>
          </w:p>
        </w:tc>
        <w:tc>
          <w:tcPr>
            <w:tcW w:type="dxa" w:w="4997"/>
          </w:tcPr>
          <w:p>
            <w:pPr>
              <w:spacing w:after="0"/>
              <w:jc w:val="right"/>
            </w:pPr>
            <w:r>
              <w:rPr>
                <w:sz w:val="16"/>
              </w:rPr>
              <w:t>£15,000</w:t>
            </w:r>
          </w:p>
        </w:tc>
      </w:tr>
      <w:tr>
        <w:tc>
          <w:tcPr>
            <w:tcW w:type="dxa" w:w="4997"/>
          </w:tcPr>
          <w:p>
            <w:pPr>
              <w:spacing w:after="0"/>
            </w:pPr>
            <w:r>
              <w:rPr>
                <w:sz w:val="16"/>
              </w:rPr>
              <w:t>Ingredients and packaging</w:t>
            </w:r>
          </w:p>
        </w:tc>
        <w:tc>
          <w:tcPr>
            <w:tcW w:type="dxa" w:w="4997"/>
          </w:tcPr>
          <w:p>
            <w:pPr>
              <w:spacing w:after="0"/>
              <w:jc w:val="right"/>
            </w:pPr>
            <w:r>
              <w:rPr>
                <w:sz w:val="16"/>
              </w:rPr>
              <w:t>£4,500</w:t>
            </w:r>
          </w:p>
        </w:tc>
      </w:tr>
      <w:tr>
        <w:tc>
          <w:tcPr>
            <w:tcW w:type="dxa" w:w="4997"/>
          </w:tcPr>
          <w:p>
            <w:pPr>
              <w:spacing w:after="0"/>
            </w:pPr>
            <w:r>
              <w:rPr>
                <w:sz w:val="16"/>
              </w:rPr>
              <w:t>Rent and service charges</w:t>
            </w:r>
          </w:p>
        </w:tc>
        <w:tc>
          <w:tcPr>
            <w:tcW w:type="dxa" w:w="4997"/>
          </w:tcPr>
          <w:p>
            <w:pPr>
              <w:spacing w:after="0"/>
              <w:jc w:val="right"/>
            </w:pPr>
            <w:r>
              <w:rPr>
                <w:sz w:val="16"/>
              </w:rPr>
              <w:t>£1,500</w:t>
            </w:r>
          </w:p>
        </w:tc>
      </w:tr>
      <w:tr>
        <w:tc>
          <w:tcPr>
            <w:tcW w:type="dxa" w:w="4997"/>
          </w:tcPr>
          <w:p>
            <w:pPr>
              <w:spacing w:after="0"/>
            </w:pPr>
            <w:r>
              <w:rPr>
                <w:sz w:val="16"/>
              </w:rPr>
              <w:t>Staff costs</w:t>
            </w:r>
          </w:p>
        </w:tc>
        <w:tc>
          <w:tcPr>
            <w:tcW w:type="dxa" w:w="4997"/>
          </w:tcPr>
          <w:p>
            <w:pPr>
              <w:spacing w:after="0"/>
              <w:jc w:val="right"/>
            </w:pPr>
            <w:r>
              <w:rPr>
                <w:sz w:val="16"/>
              </w:rPr>
              <w:t>£4,000</w:t>
            </w:r>
          </w:p>
        </w:tc>
      </w:tr>
      <w:tr>
        <w:tc>
          <w:tcPr>
            <w:tcW w:type="dxa" w:w="4997"/>
          </w:tcPr>
          <w:p>
            <w:pPr>
              <w:spacing w:after="0"/>
            </w:pPr>
            <w:r>
              <w:rPr>
                <w:sz w:val="16"/>
              </w:rPr>
              <w:t>Utilities</w:t>
            </w:r>
          </w:p>
        </w:tc>
        <w:tc>
          <w:tcPr>
            <w:tcW w:type="dxa" w:w="4997"/>
          </w:tcPr>
          <w:p>
            <w:pPr>
              <w:spacing w:after="0"/>
              <w:jc w:val="right"/>
            </w:pPr>
            <w:r>
              <w:rPr>
                <w:sz w:val="16"/>
              </w:rPr>
              <w:t>£500</w:t>
            </w:r>
          </w:p>
        </w:tc>
      </w:tr>
      <w:tr>
        <w:tc>
          <w:tcPr>
            <w:tcW w:type="dxa" w:w="4997"/>
          </w:tcPr>
          <w:p>
            <w:pPr>
              <w:spacing w:after="0"/>
            </w:pPr>
            <w:r>
              <w:rPr>
                <w:sz w:val="16"/>
              </w:rPr>
              <w:t>Marketing</w:t>
            </w:r>
          </w:p>
        </w:tc>
        <w:tc>
          <w:tcPr>
            <w:tcW w:type="dxa" w:w="4997"/>
          </w:tcPr>
          <w:p>
            <w:pPr>
              <w:spacing w:after="0"/>
              <w:jc w:val="right"/>
            </w:pPr>
            <w:r>
              <w:rPr>
                <w:sz w:val="16"/>
              </w:rPr>
              <w:t>£250</w:t>
            </w:r>
          </w:p>
        </w:tc>
      </w:tr>
      <w:tr>
        <w:tc>
          <w:tcPr>
            <w:tcW w:type="dxa" w:w="4997"/>
          </w:tcPr>
          <w:p>
            <w:pPr>
              <w:spacing w:after="0"/>
            </w:pPr>
            <w:r>
              <w:rPr>
                <w:sz w:val="16"/>
              </w:rPr>
              <w:t>Insurance, administration and other costs</w:t>
            </w:r>
          </w:p>
        </w:tc>
        <w:tc>
          <w:tcPr>
            <w:tcW w:type="dxa" w:w="4997"/>
          </w:tcPr>
          <w:p>
            <w:pPr>
              <w:spacing w:after="0"/>
              <w:jc w:val="right"/>
            </w:pPr>
            <w:r>
              <w:rPr>
                <w:sz w:val="16"/>
              </w:rPr>
              <w:t>£750</w:t>
            </w:r>
          </w:p>
        </w:tc>
      </w:tr>
      <w:tr>
        <w:tc>
          <w:tcPr>
            <w:tcW w:type="dxa" w:w="4997"/>
          </w:tcPr>
          <w:p>
            <w:pPr>
              <w:spacing w:after="0"/>
            </w:pPr>
            <w:r>
              <w:rPr>
                <w:sz w:val="16"/>
              </w:rPr>
              <w:t>Total estimated expenses</w:t>
            </w:r>
          </w:p>
        </w:tc>
        <w:tc>
          <w:tcPr>
            <w:tcW w:type="dxa" w:w="4997"/>
          </w:tcPr>
          <w:p>
            <w:pPr>
              <w:spacing w:after="0"/>
              <w:jc w:val="right"/>
            </w:pPr>
            <w:r>
              <w:rPr>
                <w:sz w:val="16"/>
              </w:rPr>
              <w:t>£11,500</w:t>
            </w:r>
          </w:p>
        </w:tc>
      </w:tr>
      <w:tr>
        <w:tc>
          <w:tcPr>
            <w:tcW w:type="dxa" w:w="4997"/>
          </w:tcPr>
          <w:p>
            <w:pPr>
              <w:spacing w:after="0"/>
            </w:pPr>
            <w:r>
              <w:rPr>
                <w:sz w:val="16"/>
              </w:rPr>
              <w:t>Estimated operating surplus before excluded items</w:t>
            </w:r>
          </w:p>
        </w:tc>
        <w:tc>
          <w:tcPr>
            <w:tcW w:type="dxa" w:w="4997"/>
          </w:tcPr>
          <w:p>
            <w:pPr>
              <w:spacing w:after="0"/>
              <w:jc w:val="right"/>
            </w:pPr>
            <w:r>
              <w:rPr>
                <w:sz w:val="16"/>
              </w:rPr>
              <w:t>£3,500</w:t>
            </w:r>
          </w:p>
        </w:tc>
      </w:tr>
    </w:tbl>
    <w:p>
      <w:pPr>
        <w:widowControl/>
      </w:pPr>
      <w:r>
        <w:t>The £3,500 figure is an illustrative operating surplus, not guaranteed profit. It excludes potential depreciation, tax, loan repayments and any owner pay not included in staff costs. The owner will monitor actual cash flow, margins and break-even sales monthly. If sales are below target, the business will adjust production, promotion and costs before considering expansion.</w:t>
      </w:r>
    </w:p>
    <w:p>
      <w:pPr>
        <w:widowControl/>
      </w:pPr>
      <w:r>
        <w:br w:type="page"/>
      </w:r>
    </w:p>
    <w:p>
      <w:pPr>
        <w:pStyle w:val="Heading1"/>
        <w:widowControl/>
      </w:pPr>
      <w:r>
        <w:t>8. Reference List</w:t>
      </w:r>
    </w:p>
    <w:p>
      <w:pPr>
        <w:widowControl/>
      </w:pPr>
      <w:r>
        <w:t>Business.gov.uk (n.d.) ‘Applying for a Start Up Loan’. Available at: https://www.business.gov.uk/support/funding-for-business/applying-for-start-up-loan/ (Accessed: 25 October 2026).</w:t>
      </w:r>
    </w:p>
    <w:p>
      <w:pPr>
        <w:widowControl/>
      </w:pPr>
      <w:r>
        <w:t>Food Standards Agency (2026a) ‘Food business registration’. Available at: https://www.gov.uk/guidance/food-business-registration (Accessed: 25 October 2026).</w:t>
      </w:r>
    </w:p>
    <w:p>
      <w:pPr>
        <w:widowControl/>
      </w:pPr>
      <w:r>
        <w:t>Food Standards Agency (2026b) ‘Allergen guidance for food businesses’. Available at: https://www.gov.uk/government/publications/allergen-guidance-for-food-businesses (Accessed: 25 October 2026).</w:t>
      </w:r>
    </w:p>
    <w:p>
      <w:pPr>
        <w:widowControl/>
      </w:pPr>
      <w:r>
        <w:t>GOV.UK (2026) ‘National Minimum Wage and National Living Wage rates’. Available at: https://www.gov.uk/national-minimum-wage-rates (Accessed: 25 October 2026).</w:t>
      </w:r>
    </w:p>
    <w:p>
      <w:pPr>
        <w:widowControl/>
      </w:pPr>
      <w:r>
        <w:t>Chartered Institute of Personnel and Development (CIPD) (n.d.) ‘PESTLE analysis’. Available at: https://www.cipd.org/uk/knowledge/factsheets/pestle-analysis-factsheet/ (Accessed: 25 October 2026).</w:t>
      </w:r>
    </w:p>
    <w:p>
      <w:pPr>
        <w:widowControl/>
      </w:pPr>
      <w:r>
        <w:t>Note: The references above support general business-planning, food registration, allergen, wage and PESTEL-analysis information. The proposed market assumptions, prices, start-up budget and sales forecast are illustrative estimates created for this business-plan assignment and should be validated with local research and quotations.</w:t>
      </w:r>
    </w:p>
    <w:sectPr w:rsidR="00FC693F" w:rsidRPr="0006063C" w:rsidSect="00034616">
      <w:footerReference w:type="default" r:id="rId9"/>
      <w:pgSz w:w="12240" w:h="15840"/>
      <w:pgMar w:top="979" w:right="1123" w:bottom="936" w:left="112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sz w:val="16"/>
      </w:rPr>
      <w:t xml:space="preserve">EcoBake Bakery Business Plan  |  Page </w:t>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52" w:lineRule="auto"/>
    </w:pPr>
    <w:rPr>
      <w:rFonts w:ascii="Arial" w:hAnsi="Arial"/>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80"/>
      <w:outlineLvl w:val="0"/>
    </w:pPr>
    <w:rPr>
      <w:rFonts w:asciiTheme="majorHAnsi" w:eastAsiaTheme="majorEastAsia" w:hAnsiTheme="majorHAnsi" w:cstheme="majorBidi" w:ascii="Arial" w:hAnsi="Arial"/>
      <w:b/>
      <w:bCs/>
      <w:color w:val="2D4E3F"/>
      <w:sz w:val="36"/>
      <w:szCs w:val="28"/>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Theme="majorHAnsi" w:eastAsiaTheme="majorEastAsia" w:hAnsiTheme="majorHAnsi" w:cstheme="majorBidi" w:ascii="Arial" w:hAnsi="Arial"/>
      <w:b/>
      <w:bCs/>
      <w:color w:val="2D4E3F"/>
      <w:sz w:val="24"/>
      <w:szCs w:val="26"/>
    </w:rPr>
  </w:style>
  <w:style w:type="paragraph" w:styleId="Heading3">
    <w:name w:val="heading 3"/>
    <w:basedOn w:val="Normal"/>
    <w:next w:val="Normal"/>
    <w:link w:val="Heading3Char"/>
    <w:uiPriority w:val="9"/>
    <w:unhideWhenUsed/>
    <w:qFormat/>
    <w:rsid w:val="00FC693F"/>
    <w:pPr>
      <w:keepNext/>
      <w:keepLines/>
      <w:spacing w:before="120" w:after="80"/>
      <w:outlineLvl w:val="2"/>
    </w:pPr>
    <w:rPr>
      <w:rFonts w:asciiTheme="majorHAnsi" w:eastAsiaTheme="majorEastAsia" w:hAnsiTheme="majorHAnsi" w:cstheme="majorBidi" w:ascii="Arial" w:hAnsi="Arial"/>
      <w:b/>
      <w:bCs/>
      <w:color w:val="2D4E3F"/>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80" w:line="240" w:lineRule="auto" w:before="120"/>
      <w:contextualSpacing/>
    </w:pPr>
    <w:rPr>
      <w:rFonts w:asciiTheme="majorHAnsi" w:eastAsiaTheme="majorEastAsia" w:hAnsiTheme="majorHAnsi" w:cstheme="majorBidi" w:ascii="Arial" w:hAnsi="Arial"/>
      <w:b/>
      <w:color w:val="2D4E3F"/>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