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E347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 xml:space="preserve">You should use this </w:t>
      </w:r>
      <w:proofErr w:type="gramStart"/>
      <w:r w:rsidRPr="7560A895">
        <w:rPr>
          <w:rFonts w:eastAsia="Arial"/>
          <w:i/>
          <w:iCs/>
          <w:color w:val="000000" w:themeColor="text1"/>
          <w:sz w:val="24"/>
          <w:szCs w:val="24"/>
        </w:rPr>
        <w:t>particular document</w:t>
      </w:r>
      <w:proofErr w:type="gramEnd"/>
      <w:r w:rsidRPr="7560A895">
        <w:rPr>
          <w:rFonts w:eastAsia="Arial"/>
          <w:i/>
          <w:iCs/>
          <w:color w:val="000000" w:themeColor="text1"/>
          <w:sz w:val="24"/>
          <w:szCs w:val="24"/>
        </w:rPr>
        <w:t xml:space="preserve">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123ECBF"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 xml:space="preserve">Initial police training has an array of factors that can potentially generate stress to individuals. However, for the purpose of this brief discussion, we will be focusing and analysing one potential factor that can conceivably cause stress. This is the lack of cohesion within a team. We will focus on the first element of the five dysfunctions of a team model developed by Patrick Lencioni and compare coping strategies used to alleviate stress and develop resilience. </w:t>
      </w:r>
    </w:p>
    <w:p w14:paraId="1A3E2CD6" w14:textId="77777777" w:rsidR="00ED294A" w:rsidRDefault="00ED294A" w:rsidP="00ED294A">
      <w:pPr>
        <w:spacing w:line="276" w:lineRule="auto"/>
        <w:jc w:val="both"/>
        <w:rPr>
          <w:rFonts w:asciiTheme="minorHAnsi" w:hAnsiTheme="minorHAnsi" w:cstheme="minorHAnsi"/>
          <w:iCs/>
          <w:sz w:val="22"/>
          <w:szCs w:val="22"/>
        </w:rPr>
      </w:pPr>
    </w:p>
    <w:p w14:paraId="5E4AD23A"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 xml:space="preserve">Before we can continue, we need to define stress and resilience. We can define both terms by simply using the Cambridge Dictionary. Stress is defined as ‘great worry caused by a difficult situation’ (Resilience | </w:t>
      </w:r>
      <w:r>
        <w:rPr>
          <w:rFonts w:asciiTheme="minorHAnsi" w:hAnsiTheme="minorHAnsi" w:cstheme="minorHAnsi"/>
          <w:sz w:val="22"/>
          <w:szCs w:val="22"/>
        </w:rPr>
        <w:t>Cambridge Dictionary, 2020</w:t>
      </w:r>
      <w:r>
        <w:rPr>
          <w:rFonts w:asciiTheme="minorHAnsi" w:hAnsiTheme="minorHAnsi" w:cstheme="minorHAnsi"/>
          <w:iCs/>
          <w:sz w:val="22"/>
          <w:szCs w:val="22"/>
        </w:rPr>
        <w:t xml:space="preserve">) and resilience is defined as ‘the ability to be happy, successful etc. again after something difficult or bad has happened’ (Stress | Cambridge Dictionary, 2020) </w:t>
      </w:r>
    </w:p>
    <w:p w14:paraId="776FD5A8" w14:textId="77777777" w:rsidR="00ED294A" w:rsidRDefault="00ED294A" w:rsidP="00ED294A">
      <w:pPr>
        <w:spacing w:line="276" w:lineRule="auto"/>
        <w:jc w:val="both"/>
        <w:rPr>
          <w:rFonts w:asciiTheme="minorHAnsi" w:hAnsiTheme="minorHAnsi" w:cstheme="minorHAnsi"/>
          <w:b/>
          <w:iCs/>
          <w:sz w:val="22"/>
          <w:szCs w:val="22"/>
        </w:rPr>
      </w:pPr>
    </w:p>
    <w:p w14:paraId="18647F07"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The need to work productively as a member of a team is demonstrated in the College of Policing Competency and Values framework. One of core competencies and values outlined by the College of Policing is the need to work collaboratively, and therefore includes teamwork. To add substance to this argument we can cite directly from the College Policing whom state ‘It is critical for us to build and retain our partner’s trust and confidence in us and a key part of achieving this is through the way we work with others’. (We are collaborative – College of Policing, 2020)</w:t>
      </w:r>
    </w:p>
    <w:p w14:paraId="6269DFB8" w14:textId="77777777" w:rsidR="00ED294A" w:rsidRDefault="00ED294A" w:rsidP="00ED294A">
      <w:pPr>
        <w:spacing w:line="276" w:lineRule="auto"/>
        <w:jc w:val="both"/>
        <w:rPr>
          <w:rFonts w:asciiTheme="minorHAnsi" w:hAnsiTheme="minorHAnsi" w:cstheme="minorHAnsi"/>
          <w:b/>
          <w:iCs/>
          <w:sz w:val="22"/>
          <w:szCs w:val="22"/>
        </w:rPr>
      </w:pPr>
    </w:p>
    <w:p w14:paraId="12B88E2F"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 xml:space="preserve">According to Patrick Lencioni there are five dysfunctions that teams frequently battle with. These cause distractions, poor morale and misconceptions between team members and as a result can affect the overall effectiveness of a team. The first dysfunction is the lack of trust among team members and this is what we will be focusing on as a cause of stress. Lencioni explains this by saying “Essentially, this stems from </w:t>
      </w:r>
      <w:proofErr w:type="gramStart"/>
      <w:r>
        <w:rPr>
          <w:rFonts w:asciiTheme="minorHAnsi" w:hAnsiTheme="minorHAnsi" w:cstheme="minorHAnsi"/>
          <w:iCs/>
          <w:sz w:val="22"/>
          <w:szCs w:val="22"/>
        </w:rPr>
        <w:t>individuals</w:t>
      </w:r>
      <w:proofErr w:type="gramEnd"/>
      <w:r>
        <w:rPr>
          <w:rFonts w:asciiTheme="minorHAnsi" w:hAnsiTheme="minorHAnsi" w:cstheme="minorHAnsi"/>
          <w:iCs/>
          <w:sz w:val="22"/>
          <w:szCs w:val="22"/>
        </w:rPr>
        <w:t xml:space="preserve"> unwillingness to be vulnerable within the group. Team members who are not open with each other about their mistakes and weaknesses make it impossible to build a foundation for trust”. (Lencioni, 2012) </w:t>
      </w:r>
    </w:p>
    <w:p w14:paraId="4D33499C" w14:textId="77777777" w:rsidR="00ED294A" w:rsidRDefault="00ED294A" w:rsidP="00ED294A">
      <w:pPr>
        <w:spacing w:line="276" w:lineRule="auto"/>
        <w:jc w:val="both"/>
        <w:rPr>
          <w:rFonts w:asciiTheme="minorHAnsi" w:hAnsiTheme="minorHAnsi" w:cstheme="minorHAnsi"/>
          <w:iCs/>
          <w:sz w:val="22"/>
          <w:szCs w:val="22"/>
        </w:rPr>
      </w:pPr>
    </w:p>
    <w:p w14:paraId="439BC9C7" w14:textId="77777777" w:rsidR="00ED294A" w:rsidRDefault="00ED294A" w:rsidP="00ED294A">
      <w:pPr>
        <w:spacing w:line="276" w:lineRule="auto"/>
        <w:jc w:val="both"/>
        <w:rPr>
          <w:rFonts w:asciiTheme="minorHAnsi" w:hAnsiTheme="minorHAnsi" w:cstheme="minorHAnsi"/>
          <w:iCs/>
          <w:sz w:val="22"/>
          <w:szCs w:val="22"/>
        </w:rPr>
      </w:pPr>
    </w:p>
    <w:p w14:paraId="4A98A48B"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During initial police training, a group of 24 individuals with no prior knowledge of each other’s personalities were brought together to become a working group and team. In 1965 American psychological researcher, Bruce Tuckman, conducted research into how groups develop and formulated a model known as ‘Tuckman’s stages of Group Development’. To briefly summarise Tuckman argued that groups develop in four stages; forming, storming, norming and performing. (Tuckman 1965).</w:t>
      </w:r>
    </w:p>
    <w:p w14:paraId="5CED4CC0" w14:textId="77777777" w:rsidR="00ED294A" w:rsidRDefault="00ED294A" w:rsidP="00ED294A">
      <w:pPr>
        <w:spacing w:line="276" w:lineRule="auto"/>
        <w:jc w:val="both"/>
        <w:rPr>
          <w:rFonts w:asciiTheme="minorHAnsi" w:hAnsiTheme="minorHAnsi" w:cstheme="minorHAnsi"/>
          <w:iCs/>
          <w:sz w:val="22"/>
          <w:szCs w:val="22"/>
        </w:rPr>
      </w:pPr>
    </w:p>
    <w:p w14:paraId="16A63CF1"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 xml:space="preserve">The forming stage is self-explanatory in initial police training. The group forms during the first few weeks and team members are on their best behaviour and keep to safe topics of conversation. The storming stage of group development occurs when individuals within the group start to gain trust amongst each other. Arising from this increase in trust individuals gain more confidence and assurance in voicing their opinions and as a result plausibly cause tensions within the group. </w:t>
      </w:r>
    </w:p>
    <w:p w14:paraId="027C9F34" w14:textId="77777777" w:rsidR="00ED294A" w:rsidRDefault="00ED294A" w:rsidP="00ED294A">
      <w:pPr>
        <w:spacing w:line="276" w:lineRule="auto"/>
        <w:jc w:val="both"/>
        <w:rPr>
          <w:rFonts w:asciiTheme="minorHAnsi" w:hAnsiTheme="minorHAnsi" w:cstheme="minorHAnsi"/>
          <w:iCs/>
          <w:sz w:val="22"/>
          <w:szCs w:val="22"/>
        </w:rPr>
      </w:pPr>
    </w:p>
    <w:p w14:paraId="01F44378"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 xml:space="preserve">During the fourth week of training, the group conduced an exercise. The premise of this exercise required each member of the group to self-identify their strengths and weaknesses and share these in front of the whole group.  However, during this exercise a select few cavalier individuals stated they were not aware of any weaknesses they may have. As afore mentioned </w:t>
      </w:r>
      <w:proofErr w:type="spellStart"/>
      <w:r>
        <w:rPr>
          <w:rFonts w:asciiTheme="minorHAnsi" w:hAnsiTheme="minorHAnsi" w:cstheme="minorHAnsi"/>
          <w:iCs/>
          <w:sz w:val="22"/>
          <w:szCs w:val="22"/>
        </w:rPr>
        <w:t>Loconci</w:t>
      </w:r>
      <w:proofErr w:type="spellEnd"/>
      <w:r>
        <w:rPr>
          <w:rFonts w:asciiTheme="minorHAnsi" w:hAnsiTheme="minorHAnsi" w:cstheme="minorHAnsi"/>
          <w:iCs/>
          <w:sz w:val="22"/>
          <w:szCs w:val="22"/>
        </w:rPr>
        <w:t xml:space="preserve"> declared “Team members who are not open with each other about their mistakes and weaknesses make it impossible to build a foundation of trust.” This group exercise consequently caused stress within the team and resulted in the group going through a very turbulent ‘storming’ phase as per Tuckman’s’ Stages of Group Development Model. </w:t>
      </w:r>
    </w:p>
    <w:p w14:paraId="12CD0134" w14:textId="77777777" w:rsidR="00ED294A" w:rsidRDefault="00ED294A" w:rsidP="00ED294A">
      <w:pPr>
        <w:spacing w:line="276" w:lineRule="auto"/>
        <w:jc w:val="both"/>
        <w:rPr>
          <w:rFonts w:asciiTheme="minorHAnsi" w:hAnsiTheme="minorHAnsi" w:cstheme="minorHAnsi"/>
          <w:iCs/>
          <w:sz w:val="22"/>
          <w:szCs w:val="22"/>
        </w:rPr>
      </w:pPr>
    </w:p>
    <w:p w14:paraId="5DB3F19D" w14:textId="77777777" w:rsidR="00ED294A" w:rsidRDefault="00ED294A" w:rsidP="00ED294A">
      <w:pPr>
        <w:spacing w:line="276" w:lineRule="auto"/>
        <w:jc w:val="both"/>
        <w:rPr>
          <w:rFonts w:asciiTheme="minorHAnsi" w:hAnsiTheme="minorHAnsi" w:cstheme="minorHAnsi"/>
          <w:iCs/>
          <w:sz w:val="22"/>
          <w:szCs w:val="22"/>
        </w:rPr>
      </w:pPr>
      <w:r>
        <w:rPr>
          <w:rFonts w:asciiTheme="minorHAnsi" w:hAnsiTheme="minorHAnsi" w:cstheme="minorHAnsi"/>
          <w:iCs/>
          <w:sz w:val="22"/>
          <w:szCs w:val="22"/>
        </w:rPr>
        <w:t xml:space="preserve">Now we have established and evidenced a root for stress we can next compare and discuss coping strategies applied to develop resilience and minimise stress. The first coping strategy we can look at is ‘canteen culture’. Canteen culture as defined by the Collins dictionary as “the alleged clannishness of the police force, whereby the prevalent attitudes inhibit officers from reporting or speaking against malpractice, racism etc”.  (Collinsdictonry.com, 2020) At the time of writing the Black Lives Matter </w:t>
      </w:r>
      <w:proofErr w:type="gramStart"/>
      <w:r>
        <w:rPr>
          <w:rFonts w:asciiTheme="minorHAnsi" w:hAnsiTheme="minorHAnsi" w:cstheme="minorHAnsi"/>
          <w:iCs/>
          <w:sz w:val="22"/>
          <w:szCs w:val="22"/>
        </w:rPr>
        <w:t>protests against</w:t>
      </w:r>
      <w:proofErr w:type="gramEnd"/>
      <w:r>
        <w:rPr>
          <w:rFonts w:asciiTheme="minorHAnsi" w:hAnsiTheme="minorHAnsi" w:cstheme="minorHAnsi"/>
          <w:iCs/>
          <w:sz w:val="22"/>
          <w:szCs w:val="22"/>
        </w:rPr>
        <w:t xml:space="preserve"> perceived rudimental racist behaviour by the police is of uttermost prevalence in modern society. Nonetheless, this cultural and societal controversy has been present for a significant period.  So much so that the </w:t>
      </w:r>
      <w:proofErr w:type="spellStart"/>
      <w:r>
        <w:rPr>
          <w:rFonts w:asciiTheme="minorHAnsi" w:hAnsiTheme="minorHAnsi" w:cstheme="minorHAnsi"/>
          <w:iCs/>
          <w:sz w:val="22"/>
          <w:szCs w:val="22"/>
        </w:rPr>
        <w:t>MacPhearson</w:t>
      </w:r>
      <w:proofErr w:type="spellEnd"/>
      <w:r>
        <w:rPr>
          <w:rFonts w:asciiTheme="minorHAnsi" w:hAnsiTheme="minorHAnsi" w:cstheme="minorHAnsi"/>
          <w:iCs/>
          <w:sz w:val="22"/>
          <w:szCs w:val="22"/>
        </w:rPr>
        <w:t xml:space="preserve"> Report (1999) which followed the heart-rending death of Stephen Lawrence found that police were ‘institutionally racist’ and this has caused deep-seated damage to the perceptions of the police in the United Kingdom.</w:t>
      </w:r>
    </w:p>
    <w:p w14:paraId="5B49026C" w14:textId="77777777" w:rsidR="00ED294A" w:rsidRDefault="00ED294A" w:rsidP="00ED294A">
      <w:pPr>
        <w:spacing w:line="276" w:lineRule="auto"/>
        <w:jc w:val="both"/>
        <w:rPr>
          <w:rFonts w:asciiTheme="minorHAnsi" w:hAnsiTheme="minorHAnsi" w:cstheme="minorHAnsi"/>
          <w:iCs/>
          <w:sz w:val="22"/>
          <w:szCs w:val="22"/>
        </w:rPr>
      </w:pPr>
    </w:p>
    <w:p w14:paraId="1AEED090" w14:textId="77777777" w:rsidR="00ED294A" w:rsidRDefault="00ED294A" w:rsidP="00ED294A">
      <w:pPr>
        <w:spacing w:line="276" w:lineRule="auto"/>
        <w:rPr>
          <w:rFonts w:asciiTheme="minorHAnsi" w:hAnsiTheme="minorHAnsi" w:cstheme="minorHAnsi"/>
          <w:iCs/>
          <w:sz w:val="22"/>
          <w:szCs w:val="22"/>
        </w:rPr>
      </w:pPr>
      <w:r>
        <w:rPr>
          <w:rFonts w:asciiTheme="minorHAnsi" w:hAnsiTheme="minorHAnsi" w:cstheme="minorHAnsi"/>
          <w:iCs/>
          <w:sz w:val="22"/>
          <w:szCs w:val="22"/>
        </w:rPr>
        <w:t xml:space="preserve">However, for the purpose of this discussion we can argue that canteen culture is an effective coping strategy. As Waddington (1999) writes, “what occurs in the canteen is expressive talk designed to give purpose and meaning to inherently problematic occupational experiences”. Like other </w:t>
      </w:r>
      <w:proofErr w:type="gramStart"/>
      <w:r>
        <w:rPr>
          <w:rFonts w:asciiTheme="minorHAnsi" w:hAnsiTheme="minorHAnsi" w:cstheme="minorHAnsi"/>
          <w:iCs/>
          <w:sz w:val="22"/>
          <w:szCs w:val="22"/>
        </w:rPr>
        <w:t>front line</w:t>
      </w:r>
      <w:proofErr w:type="gramEnd"/>
      <w:r>
        <w:rPr>
          <w:rFonts w:asciiTheme="minorHAnsi" w:hAnsiTheme="minorHAnsi" w:cstheme="minorHAnsi"/>
          <w:iCs/>
          <w:sz w:val="22"/>
          <w:szCs w:val="22"/>
        </w:rPr>
        <w:t xml:space="preserve"> emergency services, police officers adopt a fatalistic attitude. They do this as a technique to coping with pusillanimous realism that might engulf them. (Menzies 1960) </w:t>
      </w:r>
    </w:p>
    <w:p w14:paraId="56C3EA4B" w14:textId="77777777" w:rsidR="00ED294A" w:rsidRDefault="00ED294A" w:rsidP="00ED294A">
      <w:pPr>
        <w:spacing w:line="276" w:lineRule="auto"/>
        <w:rPr>
          <w:rFonts w:asciiTheme="minorHAnsi" w:hAnsiTheme="minorHAnsi" w:cstheme="minorHAnsi"/>
          <w:iCs/>
          <w:sz w:val="22"/>
          <w:szCs w:val="22"/>
        </w:rPr>
      </w:pPr>
    </w:p>
    <w:p w14:paraId="3500321D" w14:textId="77777777" w:rsidR="00ED294A" w:rsidRDefault="00ED294A" w:rsidP="00ED294A">
      <w:pPr>
        <w:spacing w:line="276" w:lineRule="auto"/>
        <w:rPr>
          <w:rFonts w:asciiTheme="minorHAnsi" w:hAnsiTheme="minorHAnsi" w:cstheme="minorHAnsi"/>
          <w:iCs/>
          <w:sz w:val="22"/>
          <w:szCs w:val="22"/>
        </w:rPr>
      </w:pPr>
      <w:r>
        <w:rPr>
          <w:rFonts w:asciiTheme="minorHAnsi" w:hAnsiTheme="minorHAnsi" w:cstheme="minorHAnsi"/>
          <w:iCs/>
          <w:sz w:val="22"/>
          <w:szCs w:val="22"/>
        </w:rPr>
        <w:t xml:space="preserve">Going back to our example of a poor team dynamic causing stress to individuals, a canteen culture organically formed and bonded the group together. Psychologist Jennifer </w:t>
      </w:r>
      <w:proofErr w:type="spellStart"/>
      <w:r>
        <w:rPr>
          <w:rFonts w:asciiTheme="minorHAnsi" w:hAnsiTheme="minorHAnsi" w:cstheme="minorHAnsi"/>
          <w:iCs/>
          <w:sz w:val="22"/>
          <w:szCs w:val="22"/>
        </w:rPr>
        <w:t>Bosson</w:t>
      </w:r>
      <w:proofErr w:type="spellEnd"/>
      <w:r>
        <w:rPr>
          <w:rFonts w:asciiTheme="minorHAnsi" w:hAnsiTheme="minorHAnsi" w:cstheme="minorHAnsi"/>
          <w:iCs/>
          <w:sz w:val="22"/>
          <w:szCs w:val="22"/>
        </w:rPr>
        <w:t xml:space="preserve"> writes in her 2006 New York Times Article ‘one of the surest routes to friendship is disliking the same things about other people’. With a scattering of individuals in the group exhibiting a somewhat trivial attitude to the College of Policing Competency and Values framework, it resulted in a canteen culture developing amongst the group members who behaved in a competent and virtuoso manner. Arising from this the individuals within the group who shared the same mentality formed close friendships and professional working relationships resulting in a well-founded support, encouragement and guidance structure amongst the group. The conversations that bonded the group quite literally occurred in the canteen and as a result demonstrates how canteen culture can be an assured coping mechanism for stress and a prudent technique to help build resilience. </w:t>
      </w:r>
    </w:p>
    <w:p w14:paraId="638F4778" w14:textId="77777777" w:rsidR="00ED294A" w:rsidRDefault="00ED294A" w:rsidP="00ED294A">
      <w:pPr>
        <w:spacing w:line="276" w:lineRule="auto"/>
        <w:rPr>
          <w:rFonts w:asciiTheme="minorHAnsi" w:hAnsiTheme="minorHAnsi" w:cstheme="minorHAnsi"/>
          <w:iCs/>
          <w:sz w:val="22"/>
          <w:szCs w:val="22"/>
        </w:rPr>
      </w:pPr>
    </w:p>
    <w:p w14:paraId="0AB5A4A2" w14:textId="77777777" w:rsidR="00ED294A" w:rsidRDefault="00ED294A" w:rsidP="00ED294A">
      <w:pPr>
        <w:spacing w:line="276" w:lineRule="auto"/>
        <w:rPr>
          <w:rFonts w:asciiTheme="minorHAnsi" w:hAnsiTheme="minorHAnsi" w:cstheme="minorHAnsi"/>
          <w:iCs/>
          <w:sz w:val="22"/>
          <w:szCs w:val="22"/>
        </w:rPr>
      </w:pPr>
      <w:r>
        <w:rPr>
          <w:rFonts w:asciiTheme="minorHAnsi" w:hAnsiTheme="minorHAnsi" w:cstheme="minorHAnsi"/>
          <w:iCs/>
          <w:sz w:val="22"/>
          <w:szCs w:val="22"/>
        </w:rPr>
        <w:t xml:space="preserve">Another coping strategy we can consider as a method to combat stress and boost resilience is humour. Police officers are examples of employees who may have to experience traumatic stressors with relative frequency (van der Ploeg et al. 2003). Coping humour is one such type of humour and defined as ‘to utilise </w:t>
      </w:r>
      <w:r>
        <w:rPr>
          <w:rFonts w:asciiTheme="minorHAnsi" w:hAnsiTheme="minorHAnsi" w:cstheme="minorHAnsi"/>
          <w:iCs/>
          <w:sz w:val="22"/>
          <w:szCs w:val="22"/>
        </w:rPr>
        <w:lastRenderedPageBreak/>
        <w:t xml:space="preserve">humour as a method for coping with stressful or demanding situations’ (Chen and Martin, 2007). </w:t>
      </w:r>
      <w:proofErr w:type="gramStart"/>
      <w:r>
        <w:rPr>
          <w:rFonts w:asciiTheme="minorHAnsi" w:hAnsiTheme="minorHAnsi" w:cstheme="minorHAnsi"/>
          <w:iCs/>
          <w:sz w:val="22"/>
          <w:szCs w:val="22"/>
        </w:rPr>
        <w:t>Referring back</w:t>
      </w:r>
      <w:proofErr w:type="gramEnd"/>
      <w:r>
        <w:rPr>
          <w:rFonts w:asciiTheme="minorHAnsi" w:hAnsiTheme="minorHAnsi" w:cstheme="minorHAnsi"/>
          <w:iCs/>
          <w:sz w:val="22"/>
          <w:szCs w:val="22"/>
        </w:rPr>
        <w:t xml:space="preserve"> to our example a type of humour, which is known universally as ‘gallows humour’ was used to help the group cope in the stressful setting of a poor team dynamic. Gallows humour is commonplace among individuals who face stressful or traumatic situations on a regular occurrence. It is often described as the ‘only way to get by’ in such a scenario (Garrick, 2006).  Gallows humour may even give people a sense of control over the uncontrollable (</w:t>
      </w:r>
      <w:proofErr w:type="spellStart"/>
      <w:r>
        <w:rPr>
          <w:rFonts w:asciiTheme="minorHAnsi" w:hAnsiTheme="minorHAnsi" w:cstheme="minorHAnsi"/>
          <w:iCs/>
          <w:sz w:val="22"/>
          <w:szCs w:val="22"/>
        </w:rPr>
        <w:t>Thornson</w:t>
      </w:r>
      <w:proofErr w:type="spellEnd"/>
      <w:r>
        <w:rPr>
          <w:rFonts w:asciiTheme="minorHAnsi" w:hAnsiTheme="minorHAnsi" w:cstheme="minorHAnsi"/>
          <w:iCs/>
          <w:sz w:val="22"/>
          <w:szCs w:val="22"/>
        </w:rPr>
        <w:t xml:space="preserve"> 1985). In the ‘storming’ stage of the group formation, where individuals within the group were subjected to a stressful environment gallows humour was plentiful. We can therefore argue that hallows humour is an effective method of dealing with stress and helps build resilience. </w:t>
      </w:r>
    </w:p>
    <w:p w14:paraId="75798CC0" w14:textId="77777777" w:rsidR="00ED294A" w:rsidRDefault="00ED294A" w:rsidP="00ED294A">
      <w:pPr>
        <w:spacing w:line="276" w:lineRule="auto"/>
        <w:rPr>
          <w:rFonts w:asciiTheme="minorHAnsi" w:hAnsiTheme="minorHAnsi" w:cstheme="minorHAnsi"/>
          <w:iCs/>
          <w:sz w:val="22"/>
          <w:szCs w:val="22"/>
        </w:rPr>
      </w:pPr>
    </w:p>
    <w:p w14:paraId="5319A0E7" w14:textId="77777777" w:rsidR="00ED294A" w:rsidRDefault="00ED294A" w:rsidP="00ED294A">
      <w:pPr>
        <w:spacing w:line="276" w:lineRule="auto"/>
        <w:rPr>
          <w:rFonts w:asciiTheme="minorHAnsi" w:hAnsiTheme="minorHAnsi" w:cstheme="minorHAnsi"/>
          <w:iCs/>
          <w:sz w:val="22"/>
          <w:szCs w:val="22"/>
        </w:rPr>
      </w:pPr>
      <w:r>
        <w:rPr>
          <w:rFonts w:asciiTheme="minorHAnsi" w:hAnsiTheme="minorHAnsi" w:cstheme="minorHAnsi"/>
          <w:iCs/>
          <w:sz w:val="22"/>
          <w:szCs w:val="22"/>
        </w:rPr>
        <w:t xml:space="preserve">Before </w:t>
      </w:r>
      <w:proofErr w:type="gramStart"/>
      <w:r>
        <w:rPr>
          <w:rFonts w:asciiTheme="minorHAnsi" w:hAnsiTheme="minorHAnsi" w:cstheme="minorHAnsi"/>
          <w:iCs/>
          <w:sz w:val="22"/>
          <w:szCs w:val="22"/>
        </w:rPr>
        <w:t>draw</w:t>
      </w:r>
      <w:proofErr w:type="gramEnd"/>
      <w:r>
        <w:rPr>
          <w:rFonts w:asciiTheme="minorHAnsi" w:hAnsiTheme="minorHAnsi" w:cstheme="minorHAnsi"/>
          <w:iCs/>
          <w:sz w:val="22"/>
          <w:szCs w:val="22"/>
        </w:rPr>
        <w:t xml:space="preserve"> this discussion to a close, it is worth acknowledging other recognisable individualist coping strategies such as the use of exercise and physical activity as a coping strategy. Research has found that exercise to be markedly advantageous in alleviating major stressors (Harris et al 2006). Regular cardiovascular exercise boosts endorphins within the body and reduces stress levels within an individual. </w:t>
      </w:r>
    </w:p>
    <w:p w14:paraId="193EA133" w14:textId="77777777" w:rsidR="00ED294A" w:rsidRDefault="00ED294A" w:rsidP="00ED294A">
      <w:pPr>
        <w:spacing w:line="276" w:lineRule="auto"/>
        <w:rPr>
          <w:rFonts w:asciiTheme="minorHAnsi" w:hAnsiTheme="minorHAnsi" w:cstheme="minorHAnsi"/>
          <w:iCs/>
          <w:sz w:val="22"/>
          <w:szCs w:val="22"/>
        </w:rPr>
      </w:pPr>
    </w:p>
    <w:p w14:paraId="12BAEEDB" w14:textId="77777777" w:rsidR="00ED294A" w:rsidRDefault="00ED294A" w:rsidP="00ED294A">
      <w:pPr>
        <w:spacing w:line="276" w:lineRule="auto"/>
        <w:rPr>
          <w:rFonts w:asciiTheme="minorHAnsi" w:hAnsiTheme="minorHAnsi" w:cstheme="minorHAnsi"/>
          <w:iCs/>
          <w:sz w:val="22"/>
          <w:szCs w:val="22"/>
        </w:rPr>
      </w:pPr>
      <w:r>
        <w:rPr>
          <w:rFonts w:asciiTheme="minorHAnsi" w:hAnsiTheme="minorHAnsi" w:cstheme="minorHAnsi"/>
          <w:iCs/>
          <w:sz w:val="22"/>
          <w:szCs w:val="22"/>
        </w:rPr>
        <w:t xml:space="preserve">Other verified coping strategies for an individual is to find a creative output. This can involve simple tasks such as painting, writing or video gaming (Independent News Paper, 2020). The methodology behind this is that the creative activity focuses the mind on another task rather than focusing on the stressor.  Finally, emotionally focused coping strategies such as releasing pent-up emotions via conversations with others and mediating is another coping strategy we can consider. </w:t>
      </w:r>
    </w:p>
    <w:p w14:paraId="286A0C6B" w14:textId="77777777" w:rsidR="00ED294A" w:rsidRDefault="00ED294A" w:rsidP="00ED294A">
      <w:pPr>
        <w:spacing w:line="276" w:lineRule="auto"/>
        <w:rPr>
          <w:rFonts w:asciiTheme="minorHAnsi" w:hAnsiTheme="minorHAnsi" w:cstheme="minorHAnsi"/>
          <w:iCs/>
          <w:sz w:val="22"/>
          <w:szCs w:val="22"/>
        </w:rPr>
      </w:pPr>
    </w:p>
    <w:p w14:paraId="076B3BF1" w14:textId="77777777" w:rsidR="00ED294A" w:rsidRDefault="00ED294A" w:rsidP="00ED294A">
      <w:pPr>
        <w:spacing w:line="276" w:lineRule="auto"/>
        <w:rPr>
          <w:rFonts w:asciiTheme="minorHAnsi" w:hAnsiTheme="minorHAnsi" w:cstheme="minorHAnsi"/>
          <w:iCs/>
          <w:sz w:val="22"/>
          <w:szCs w:val="22"/>
        </w:rPr>
      </w:pPr>
      <w:r>
        <w:rPr>
          <w:rFonts w:asciiTheme="minorHAnsi" w:hAnsiTheme="minorHAnsi" w:cstheme="minorHAnsi"/>
          <w:iCs/>
          <w:sz w:val="22"/>
          <w:szCs w:val="22"/>
        </w:rPr>
        <w:t xml:space="preserve">In conclusion, and after comparing and discussing an assortment of coping strategies, it would be fair to conclude that the most effective way to build resilience and reduce stress in a policing environment is to use a variety of the afore mentioned strategies. Canteen culture not only builds social bonds but also can potentially build strong working relationships between peers, and as the College of Policing specifies teamwork is one of the core competencies for Police Officers.  </w:t>
      </w:r>
    </w:p>
    <w:p w14:paraId="37E74293" w14:textId="77777777" w:rsidR="00ED294A" w:rsidRDefault="00ED294A" w:rsidP="00ED294A">
      <w:pPr>
        <w:spacing w:line="276" w:lineRule="auto"/>
        <w:rPr>
          <w:rFonts w:asciiTheme="minorHAnsi" w:hAnsiTheme="minorHAnsi" w:cstheme="minorHAnsi"/>
          <w:iCs/>
          <w:sz w:val="22"/>
          <w:szCs w:val="22"/>
        </w:rPr>
      </w:pPr>
    </w:p>
    <w:p w14:paraId="3DF1D9D1" w14:textId="77777777" w:rsidR="00ED294A" w:rsidRDefault="00ED294A" w:rsidP="00ED294A">
      <w:pPr>
        <w:spacing w:line="276" w:lineRule="auto"/>
        <w:rPr>
          <w:rFonts w:asciiTheme="minorHAnsi" w:hAnsiTheme="minorHAnsi" w:cstheme="minorHAnsi"/>
          <w:iCs/>
          <w:sz w:val="22"/>
          <w:szCs w:val="22"/>
        </w:rPr>
      </w:pPr>
      <w:r>
        <w:rPr>
          <w:rFonts w:asciiTheme="minorHAnsi" w:hAnsiTheme="minorHAnsi" w:cstheme="minorHAnsi"/>
          <w:iCs/>
          <w:sz w:val="22"/>
          <w:szCs w:val="22"/>
        </w:rPr>
        <w:t xml:space="preserve">Humour is also a well-established coping strategy for police officers. </w:t>
      </w:r>
      <w:proofErr w:type="gramStart"/>
      <w:r>
        <w:rPr>
          <w:rFonts w:asciiTheme="minorHAnsi" w:hAnsiTheme="minorHAnsi" w:cstheme="minorHAnsi"/>
          <w:iCs/>
          <w:sz w:val="22"/>
          <w:szCs w:val="22"/>
        </w:rPr>
        <w:t>In particular, we</w:t>
      </w:r>
      <w:proofErr w:type="gramEnd"/>
      <w:r>
        <w:rPr>
          <w:rFonts w:asciiTheme="minorHAnsi" w:hAnsiTheme="minorHAnsi" w:cstheme="minorHAnsi"/>
          <w:iCs/>
          <w:sz w:val="22"/>
          <w:szCs w:val="22"/>
        </w:rPr>
        <w:t xml:space="preserve"> can argue that gallows humour is a prudent method for building resilience and common practice amongst police officers. Finally, a balance of exercise, emotionally focused strategies and creative outputs can all help reduce stress and build resilience. A healthy balance of all these coping strategies can help Police Officers work effectively and productively and become valuable assets to the public and wider community. In 2019 nearly 500,000 sick days were taken for mental health reasons within the entire British Police Force (Policing Insight, 2020) This alarming statistic highlights the absolute importance of finding realistic, practical and healthy coping strategies. Police forces should encourage officers and other members of staff to find achievable coping strategies to improve the productivity of the workforce and thus offering a more sharpened service to the public. </w:t>
      </w:r>
    </w:p>
    <w:p w14:paraId="023E0DA8" w14:textId="77777777" w:rsidR="00ED294A" w:rsidRDefault="00ED294A" w:rsidP="00ED294A">
      <w:pPr>
        <w:spacing w:line="276" w:lineRule="auto"/>
        <w:rPr>
          <w:rFonts w:asciiTheme="minorHAnsi" w:hAnsiTheme="minorHAnsi" w:cstheme="minorHAnsi"/>
          <w:iCs/>
          <w:sz w:val="22"/>
          <w:szCs w:val="22"/>
        </w:rPr>
      </w:pPr>
    </w:p>
    <w:p w14:paraId="219E9AA2" w14:textId="77777777" w:rsidR="00ED294A" w:rsidRDefault="00ED294A" w:rsidP="00ED294A">
      <w:pPr>
        <w:spacing w:line="276" w:lineRule="auto"/>
        <w:jc w:val="both"/>
        <w:rPr>
          <w:rFonts w:asciiTheme="minorHAnsi" w:hAnsiTheme="minorHAnsi" w:cstheme="minorHAnsi"/>
          <w:b/>
          <w:iCs/>
          <w:sz w:val="22"/>
          <w:szCs w:val="22"/>
        </w:rPr>
      </w:pPr>
      <w:r>
        <w:rPr>
          <w:rFonts w:asciiTheme="minorHAnsi" w:hAnsiTheme="minorHAnsi" w:cstheme="minorHAnsi"/>
          <w:b/>
          <w:iCs/>
          <w:sz w:val="22"/>
          <w:szCs w:val="22"/>
        </w:rPr>
        <w:t>WORD COUNT: 1516</w:t>
      </w:r>
    </w:p>
    <w:p w14:paraId="5C9EFFF6" w14:textId="77777777" w:rsidR="00ED294A" w:rsidRDefault="00ED294A" w:rsidP="00ED294A">
      <w:pPr>
        <w:spacing w:line="276" w:lineRule="auto"/>
        <w:jc w:val="both"/>
        <w:rPr>
          <w:rFonts w:asciiTheme="minorHAnsi" w:hAnsiTheme="minorHAnsi" w:cstheme="minorHAnsi"/>
          <w:b/>
          <w:iCs/>
          <w:sz w:val="22"/>
          <w:szCs w:val="22"/>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2D5AEF2"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Before we divulge into a conversational analysis and evaluation of a policing incident involving </w:t>
      </w:r>
      <w:proofErr w:type="gramStart"/>
      <w:r w:rsidRPr="00C86BE9">
        <w:rPr>
          <w:rFonts w:asciiTheme="minorHAnsi" w:hAnsiTheme="minorHAnsi" w:cstheme="minorHAnsi"/>
          <w:sz w:val="22"/>
          <w:szCs w:val="22"/>
        </w:rPr>
        <w:t>conflict</w:t>
      </w:r>
      <w:proofErr w:type="gramEnd"/>
      <w:r w:rsidRPr="00C86BE9">
        <w:rPr>
          <w:rFonts w:asciiTheme="minorHAnsi" w:hAnsiTheme="minorHAnsi" w:cstheme="minorHAnsi"/>
          <w:sz w:val="22"/>
          <w:szCs w:val="22"/>
        </w:rPr>
        <w:t xml:space="preserve"> we must lay down the foundations by detailing the incident that will be the premises of our discussion. </w:t>
      </w:r>
    </w:p>
    <w:p w14:paraId="7AA54032" w14:textId="77777777" w:rsidR="00DC4981" w:rsidRPr="00C86BE9" w:rsidRDefault="00DC4981" w:rsidP="00DC4981">
      <w:pPr>
        <w:jc w:val="both"/>
        <w:rPr>
          <w:rFonts w:asciiTheme="minorHAnsi" w:hAnsiTheme="minorHAnsi" w:cstheme="minorHAnsi"/>
          <w:sz w:val="22"/>
          <w:szCs w:val="22"/>
        </w:rPr>
      </w:pPr>
    </w:p>
    <w:p w14:paraId="309CB454"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On a dreary and drizzly July evening, a low risk scheduled call was sitting on the police command and control system. The call was simply titled and listed as ‘strange male in petrol station’. The petrol station is familiar backdrop within the United Kingdom, 12 dependable pumps and a small shop selling a collection of coffee, snacks and basic vehicle equipment.  The petrol station cashier had </w:t>
      </w:r>
      <w:proofErr w:type="gramStart"/>
      <w:r w:rsidRPr="00C86BE9">
        <w:rPr>
          <w:rFonts w:asciiTheme="minorHAnsi" w:hAnsiTheme="minorHAnsi" w:cstheme="minorHAnsi"/>
          <w:sz w:val="22"/>
          <w:szCs w:val="22"/>
        </w:rPr>
        <w:t>rang</w:t>
      </w:r>
      <w:proofErr w:type="gramEnd"/>
      <w:r w:rsidRPr="00C86BE9">
        <w:rPr>
          <w:rFonts w:asciiTheme="minorHAnsi" w:hAnsiTheme="minorHAnsi" w:cstheme="minorHAnsi"/>
          <w:sz w:val="22"/>
          <w:szCs w:val="22"/>
        </w:rPr>
        <w:t xml:space="preserve"> the police to say a topless male was refusing to leave the forecourt and causing members of the public to feel alarmed by his presence. Due to the low risk grading and no obvious crime being committed, a Community Support Officer (CSO) attended to help assist the removal of the male. </w:t>
      </w:r>
    </w:p>
    <w:p w14:paraId="06BEBF3B" w14:textId="77777777" w:rsidR="00DC4981" w:rsidRPr="00C86BE9" w:rsidRDefault="00DC4981" w:rsidP="00DC4981">
      <w:pPr>
        <w:jc w:val="both"/>
        <w:rPr>
          <w:rFonts w:asciiTheme="minorHAnsi" w:hAnsiTheme="minorHAnsi" w:cstheme="minorHAnsi"/>
          <w:sz w:val="22"/>
          <w:szCs w:val="22"/>
        </w:rPr>
      </w:pPr>
    </w:p>
    <w:p w14:paraId="5EBADD33"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My tutor and myself were in an unmarked police car and by chance happened to drive past the garage. We could clearly see the topless male and thought that it was curious due to the weather. As we drove past the garage, the CSO put in an urgent call for assistance. We instantaneously turned the car around and scrambled to the garage. As we swooped into the forecourt, what would greet us was a formidable sight. </w:t>
      </w:r>
    </w:p>
    <w:p w14:paraId="41C4D228" w14:textId="77777777" w:rsidR="00DC4981" w:rsidRPr="00C86BE9" w:rsidRDefault="00DC4981" w:rsidP="00DC4981">
      <w:pPr>
        <w:jc w:val="both"/>
        <w:rPr>
          <w:rFonts w:asciiTheme="minorHAnsi" w:hAnsiTheme="minorHAnsi" w:cstheme="minorHAnsi"/>
          <w:sz w:val="22"/>
          <w:szCs w:val="22"/>
        </w:rPr>
      </w:pPr>
    </w:p>
    <w:p w14:paraId="36BF2033"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The potbellied topless male was standing in the forecourt waving an enormous hunting knife above his head. The male was also incoherently shouting. As you looked around the forecourt, you could sense the fear and panic from members of the public. My tutor and myself instinctively vaulted out of the car and hotfooted towards the knife-wielding enthusiast.  With pepper-spray locked, loaded and pointed at the male, we kept </w:t>
      </w:r>
      <w:r w:rsidRPr="00C86BE9">
        <w:rPr>
          <w:rFonts w:asciiTheme="minorHAnsi" w:hAnsiTheme="minorHAnsi" w:cstheme="minorHAnsi"/>
          <w:sz w:val="22"/>
          <w:szCs w:val="22"/>
        </w:rPr>
        <w:lastRenderedPageBreak/>
        <w:t xml:space="preserve">on approaching and with great booming shouts of ‘put the knife down’, the male finally threw the knife on the ground. This gave me the opportunity to use force and grab the male to handcuff and arrest him. </w:t>
      </w:r>
    </w:p>
    <w:p w14:paraId="5D430BEF" w14:textId="77777777" w:rsidR="00DC4981" w:rsidRPr="00C86BE9" w:rsidRDefault="00DC4981" w:rsidP="00DC4981">
      <w:pPr>
        <w:jc w:val="both"/>
        <w:rPr>
          <w:rFonts w:asciiTheme="minorHAnsi" w:hAnsiTheme="minorHAnsi" w:cstheme="minorHAnsi"/>
          <w:sz w:val="22"/>
          <w:szCs w:val="22"/>
        </w:rPr>
      </w:pPr>
    </w:p>
    <w:p w14:paraId="702DADA2"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During the interview, our knife-waving aficionado remonstrated that he could not recall the incident due to mental health grounds. This only increases the risk to the public as the male could of conceivably ran away from the courageous and daring officers and towards innocent members of the public. Fortunately, the CPS did not agree with the males’ credulous defence and sent him to the crown court.  </w:t>
      </w:r>
    </w:p>
    <w:p w14:paraId="236B0994" w14:textId="77777777" w:rsidR="00DC4981" w:rsidRPr="00C86BE9" w:rsidRDefault="00DC4981" w:rsidP="00DC4981">
      <w:pPr>
        <w:jc w:val="both"/>
        <w:rPr>
          <w:rFonts w:asciiTheme="minorHAnsi" w:hAnsiTheme="minorHAnsi" w:cstheme="minorHAnsi"/>
          <w:sz w:val="22"/>
          <w:szCs w:val="22"/>
        </w:rPr>
      </w:pPr>
    </w:p>
    <w:p w14:paraId="5C5B31A1"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With such a startling incident, there are multiple topics and we can discuss and analyse. The first topic of discussion is to look how effective tactical communications caused the male to throw the knife to the ground.   </w:t>
      </w:r>
    </w:p>
    <w:p w14:paraId="318BD68A" w14:textId="77777777" w:rsidR="00DC4981" w:rsidRPr="00C86BE9" w:rsidRDefault="00DC4981" w:rsidP="00DC4981">
      <w:pPr>
        <w:jc w:val="both"/>
        <w:rPr>
          <w:rFonts w:asciiTheme="minorHAnsi" w:hAnsiTheme="minorHAnsi" w:cstheme="minorHAnsi"/>
          <w:sz w:val="22"/>
          <w:szCs w:val="22"/>
        </w:rPr>
      </w:pPr>
    </w:p>
    <w:p w14:paraId="5CB238EF"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Communication is a complex topic, but for simplicity, we can concentrate on Albert Mehrabian’s research in the 1960s. Mehrabian’s research found that when delivering a message from person to person only 7% of the message is communicated through words. 38% of the message is delivered through para-linguistics. Para-linguistics encompasses elements such as tone, volume, intonation, pitch and the pace of words being delivered. Finally, the bulk of communication is compromised from non-verbal aspects. As contented by Mehrabian non-verbal aspects of communication make up 55% of how a message is delivered. Non-verbal communication embodies posture, stance, position, distance, eye contact and facial expressions. (Mehrabian, 1981)</w:t>
      </w:r>
    </w:p>
    <w:p w14:paraId="3C3F09A2" w14:textId="77777777" w:rsidR="00DC4981" w:rsidRPr="00C86BE9" w:rsidRDefault="00DC4981" w:rsidP="00DC4981">
      <w:pPr>
        <w:jc w:val="both"/>
        <w:rPr>
          <w:rFonts w:asciiTheme="minorHAnsi" w:hAnsiTheme="minorHAnsi" w:cstheme="minorHAnsi"/>
          <w:sz w:val="22"/>
          <w:szCs w:val="22"/>
        </w:rPr>
      </w:pPr>
    </w:p>
    <w:p w14:paraId="59615967"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Going back to our scenario, the words used by officers to the subject were straightforward and manifest. Officers used the words ‘drop the knife now’. Officers elected these words, as they were a plainspoken and straightforward command. Historic scholarly research by Stanley Milgram (1963) found that subjects were more likely to obey and comply in some circumstances than others. One of these being that obedience is highest when commands are given by an authority figure. (Milgram, 1963) </w:t>
      </w:r>
    </w:p>
    <w:p w14:paraId="06AF9E30" w14:textId="77777777" w:rsidR="00DC4981" w:rsidRPr="00C86BE9" w:rsidRDefault="00DC4981" w:rsidP="00DC4981">
      <w:pPr>
        <w:jc w:val="both"/>
        <w:rPr>
          <w:rFonts w:asciiTheme="minorHAnsi" w:hAnsiTheme="minorHAnsi" w:cstheme="minorHAnsi"/>
          <w:sz w:val="22"/>
          <w:szCs w:val="22"/>
        </w:rPr>
      </w:pPr>
    </w:p>
    <w:p w14:paraId="1A543BC8"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We can add depth to this argument as in certain circumstances police officers are seen to have a de facto authority. This authority not only comes from law but also comes through custom. The extent to which citizens trust the police and see the police as a legitimate authority comes from police officers conduct. The absolute bedrock of British Policing is policing by consent. (Policing by Consent, UKGOV 2012). If the public have, trust and confidence in the Police this can conceivably manufacture a sense of acquiescence. Once this acquiescence has been established the public are more likely to respond to police actions (Bradford et al, 2009). Despite Mehrabian arguing that only 7% of communication comes from words, deciding the most appropriate words are essential in gaining compliance to a conflict situation. The public will also be more willing to listen to these commands if public approval and trust is established.  </w:t>
      </w:r>
    </w:p>
    <w:p w14:paraId="2C861ECE" w14:textId="77777777" w:rsidR="00DC4981" w:rsidRPr="00C86BE9" w:rsidRDefault="00DC4981" w:rsidP="00DC4981">
      <w:pPr>
        <w:jc w:val="both"/>
        <w:rPr>
          <w:rFonts w:asciiTheme="minorHAnsi" w:hAnsiTheme="minorHAnsi" w:cstheme="minorHAnsi"/>
          <w:sz w:val="22"/>
          <w:szCs w:val="22"/>
        </w:rPr>
      </w:pPr>
    </w:p>
    <w:p w14:paraId="305892B0"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The next constitute of communication we can analyse is para-linguistics. In our scenario, the tone of the words used were a clear, slow tempo and assertive shout. The rationale for this was two-fold. Firstly, a loud and clear shout proceeded in members of the public and the offender recognise that the police were there to take definitive action. The five-step communication model is a well-versed model used by the police for managing conflict. The College of Policing recognises the 5-step appeal as a prudent conflict management technique. (College of Policing, 2019). </w:t>
      </w:r>
    </w:p>
    <w:p w14:paraId="51003936" w14:textId="77777777" w:rsidR="00DC4981" w:rsidRPr="00C86BE9" w:rsidRDefault="00DC4981" w:rsidP="00DC4981">
      <w:pPr>
        <w:jc w:val="both"/>
        <w:rPr>
          <w:rFonts w:asciiTheme="minorHAnsi" w:hAnsiTheme="minorHAnsi" w:cstheme="minorHAnsi"/>
          <w:sz w:val="22"/>
          <w:szCs w:val="22"/>
        </w:rPr>
      </w:pPr>
    </w:p>
    <w:p w14:paraId="109FAD34"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The five-step appeal model is series of stages officers can go through to get offenders to comply. In our scenario, the first three steps of the appeal were not realistic or achievable. The situation was too dynamic for a simple appeal, too dynamic for a reasoned appeal and too dynamic for a personal appeal. The command of ‘drop the knife now’ was a final appeal.</w:t>
      </w:r>
    </w:p>
    <w:p w14:paraId="58C45C89" w14:textId="77777777" w:rsidR="00DC4981" w:rsidRPr="00C86BE9" w:rsidRDefault="00DC4981" w:rsidP="00DC4981">
      <w:pPr>
        <w:jc w:val="both"/>
        <w:rPr>
          <w:rFonts w:asciiTheme="minorHAnsi" w:hAnsiTheme="minorHAnsi" w:cstheme="minorHAnsi"/>
          <w:sz w:val="22"/>
          <w:szCs w:val="22"/>
        </w:rPr>
      </w:pPr>
    </w:p>
    <w:p w14:paraId="001ED9E7"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Secondly, the reason for using afore mentioned words and para-linguistics could be analysed using Shannon and Weaver’s (1949) communication model. This model highlights and identifies the component parts of communication. To outline, the communication model displays that the sender must decode messages given </w:t>
      </w:r>
      <w:r w:rsidRPr="00C86BE9">
        <w:rPr>
          <w:rFonts w:asciiTheme="minorHAnsi" w:hAnsiTheme="minorHAnsi" w:cstheme="minorHAnsi"/>
          <w:sz w:val="22"/>
          <w:szCs w:val="22"/>
        </w:rPr>
        <w:lastRenderedPageBreak/>
        <w:t xml:space="preserve">out by the subject. In our scenario, the sender is the officers and subject </w:t>
      </w:r>
      <w:proofErr w:type="gramStart"/>
      <w:r w:rsidRPr="00C86BE9">
        <w:rPr>
          <w:rFonts w:asciiTheme="minorHAnsi" w:hAnsiTheme="minorHAnsi" w:cstheme="minorHAnsi"/>
          <w:sz w:val="22"/>
          <w:szCs w:val="22"/>
        </w:rPr>
        <w:t>is</w:t>
      </w:r>
      <w:proofErr w:type="gramEnd"/>
      <w:r w:rsidRPr="00C86BE9">
        <w:rPr>
          <w:rFonts w:asciiTheme="minorHAnsi" w:hAnsiTheme="minorHAnsi" w:cstheme="minorHAnsi"/>
          <w:sz w:val="22"/>
          <w:szCs w:val="22"/>
        </w:rPr>
        <w:t xml:space="preserve"> the offender. The offender was communicating classic signs of aggression. The offender was shirtless and oscillating a large knife above his head.  After decoding this message, the officers decided the best medium of communication was a short sharp command. The officers then considered and evaluated the response from the offender to see if the message had been received. </w:t>
      </w:r>
    </w:p>
    <w:p w14:paraId="3A9A1623" w14:textId="77777777" w:rsidR="00DC4981" w:rsidRPr="00C86BE9" w:rsidRDefault="00DC4981" w:rsidP="00DC4981">
      <w:pPr>
        <w:jc w:val="both"/>
        <w:rPr>
          <w:rFonts w:asciiTheme="minorHAnsi" w:hAnsiTheme="minorHAnsi" w:cstheme="minorHAnsi"/>
          <w:sz w:val="22"/>
          <w:szCs w:val="22"/>
        </w:rPr>
      </w:pPr>
    </w:p>
    <w:p w14:paraId="444FFE6E"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Whilst on the other hand the receiver, the knife-wielding enthusiast, decodes the message given by the officers. This is the most challenging and problematic process of Shannon and Weaver’s communication model since it involves the perceptual process. </w:t>
      </w:r>
      <w:proofErr w:type="gramStart"/>
      <w:r w:rsidRPr="00C86BE9">
        <w:rPr>
          <w:rFonts w:asciiTheme="minorHAnsi" w:hAnsiTheme="minorHAnsi" w:cstheme="minorHAnsi"/>
          <w:sz w:val="22"/>
          <w:szCs w:val="22"/>
        </w:rPr>
        <w:t>In essence, the</w:t>
      </w:r>
      <w:proofErr w:type="gramEnd"/>
      <w:r w:rsidRPr="00C86BE9">
        <w:rPr>
          <w:rFonts w:asciiTheme="minorHAnsi" w:hAnsiTheme="minorHAnsi" w:cstheme="minorHAnsi"/>
          <w:sz w:val="22"/>
          <w:szCs w:val="22"/>
        </w:rPr>
        <w:t xml:space="preserve"> perceptual process is when people see the same things in difference ways. This process acts as a filter in how somebody interprets a message. When communicating each receiver uses this process filter to give meaning to the message being decoded. The perceptual process filter is naturally different from person to person. (Kennedy, 2000). It is therefore futile to be certain how a subject will decode a message and therefore this stage is the most dangerous. </w:t>
      </w:r>
    </w:p>
    <w:p w14:paraId="4BE08F49" w14:textId="77777777" w:rsidR="00DC4981" w:rsidRPr="00C86BE9" w:rsidRDefault="00DC4981" w:rsidP="00DC4981">
      <w:pPr>
        <w:jc w:val="both"/>
        <w:rPr>
          <w:rFonts w:asciiTheme="minorHAnsi" w:hAnsiTheme="minorHAnsi" w:cstheme="minorHAnsi"/>
          <w:sz w:val="22"/>
          <w:szCs w:val="22"/>
        </w:rPr>
      </w:pPr>
    </w:p>
    <w:p w14:paraId="00E5CEBF"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The final element of this communication model is feedback. Officers may instantly receive feedback when the subject’s gestures matched the words being communicated. This is self-evident in our scenario with the subject deciding to throw the knife away. </w:t>
      </w:r>
    </w:p>
    <w:p w14:paraId="0B392618" w14:textId="77777777" w:rsidR="00DC4981" w:rsidRPr="00C86BE9" w:rsidRDefault="00DC4981" w:rsidP="00DC4981">
      <w:pPr>
        <w:jc w:val="both"/>
        <w:rPr>
          <w:rFonts w:asciiTheme="minorHAnsi" w:hAnsiTheme="minorHAnsi" w:cstheme="minorHAnsi"/>
          <w:sz w:val="22"/>
          <w:szCs w:val="22"/>
        </w:rPr>
      </w:pPr>
    </w:p>
    <w:p w14:paraId="2A771CBF" w14:textId="77777777" w:rsidR="00DC4981" w:rsidRPr="00C86BE9" w:rsidRDefault="00DC4981" w:rsidP="00DC4981">
      <w:pPr>
        <w:jc w:val="both"/>
        <w:rPr>
          <w:rFonts w:asciiTheme="minorHAnsi" w:hAnsiTheme="minorHAnsi" w:cstheme="minorHAnsi"/>
          <w:b/>
          <w:sz w:val="22"/>
          <w:szCs w:val="22"/>
        </w:rPr>
      </w:pPr>
    </w:p>
    <w:p w14:paraId="369688F1"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The concluding part of communication we can discuss is, according to Mehrabian, the most critical element of communication and this is non-verbal. Positioning, eye contact, distance and posture all form vital ingredients of non-verbal communication. When approaching the offender officers are at a natural disadvantage because they cannot predict the actions of the offender. The offender may already have refined intentions. (Keegan, 2001). With this is mind maintaining a reactionary gap and standing outside the fighting-arc is paramount for officer safety. </w:t>
      </w:r>
    </w:p>
    <w:p w14:paraId="48105490"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br/>
        <w:t xml:space="preserve">When approaching the offender establishing safety measures are critical. In our scenario, both officers approached the subject from opposite sides causing the subject to feel ‘boxed in’.  Another non-verbal communication tactic shown by the officers was drawing and pointing PAVA at the offender.  </w:t>
      </w:r>
    </w:p>
    <w:p w14:paraId="3588F3BA" w14:textId="77777777" w:rsidR="00DC4981" w:rsidRPr="00C86BE9" w:rsidRDefault="00DC4981" w:rsidP="00DC4981">
      <w:pPr>
        <w:jc w:val="both"/>
        <w:rPr>
          <w:rFonts w:asciiTheme="minorHAnsi" w:hAnsiTheme="minorHAnsi" w:cstheme="minorHAnsi"/>
          <w:sz w:val="22"/>
          <w:szCs w:val="22"/>
        </w:rPr>
      </w:pPr>
    </w:p>
    <w:p w14:paraId="61FAF11F"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Jeff Cooper first coined the colour code system, which is commonly recognised as ‘Copper’s Colour Code’. (Wiley, 2007) The code is a platform to give police officers an immediate and visual system of reflecting the changes of threat. In summary, condition white is where the officer is ‘switched off.’ Condition yellow is where officers are switched on and have an acceptable level of situational awareness.  Condition orange is where the officer must assess, evaluate and </w:t>
      </w:r>
      <w:proofErr w:type="gramStart"/>
      <w:r w:rsidRPr="00C86BE9">
        <w:rPr>
          <w:rFonts w:asciiTheme="minorHAnsi" w:hAnsiTheme="minorHAnsi" w:cstheme="minorHAnsi"/>
          <w:sz w:val="22"/>
          <w:szCs w:val="22"/>
        </w:rPr>
        <w:t>make a decision</w:t>
      </w:r>
      <w:proofErr w:type="gramEnd"/>
      <w:r w:rsidRPr="00C86BE9">
        <w:rPr>
          <w:rFonts w:asciiTheme="minorHAnsi" w:hAnsiTheme="minorHAnsi" w:cstheme="minorHAnsi"/>
          <w:sz w:val="22"/>
          <w:szCs w:val="22"/>
        </w:rPr>
        <w:t xml:space="preserve"> of action and finally condition red is the flight or fight response. </w:t>
      </w:r>
    </w:p>
    <w:p w14:paraId="73012832" w14:textId="77777777" w:rsidR="00DC4981" w:rsidRPr="00C86BE9" w:rsidRDefault="00DC4981" w:rsidP="00DC4981">
      <w:pPr>
        <w:jc w:val="both"/>
        <w:rPr>
          <w:rFonts w:asciiTheme="minorHAnsi" w:hAnsiTheme="minorHAnsi" w:cstheme="minorHAnsi"/>
          <w:sz w:val="22"/>
          <w:szCs w:val="22"/>
        </w:rPr>
      </w:pPr>
    </w:p>
    <w:p w14:paraId="0E7002A0"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Condition orange was applied in our scenario. Due to elevated risk of threat, an immediate decision was made. This being loud verbal communication, a safe approach and drawing </w:t>
      </w:r>
      <w:proofErr w:type="spellStart"/>
      <w:r w:rsidRPr="00C86BE9">
        <w:rPr>
          <w:rFonts w:asciiTheme="minorHAnsi" w:hAnsiTheme="minorHAnsi" w:cstheme="minorHAnsi"/>
          <w:sz w:val="22"/>
          <w:szCs w:val="22"/>
        </w:rPr>
        <w:t>pava</w:t>
      </w:r>
      <w:proofErr w:type="spellEnd"/>
      <w:r w:rsidRPr="00C86BE9">
        <w:rPr>
          <w:rFonts w:asciiTheme="minorHAnsi" w:hAnsiTheme="minorHAnsi" w:cstheme="minorHAnsi"/>
          <w:sz w:val="22"/>
          <w:szCs w:val="22"/>
        </w:rPr>
        <w:t xml:space="preserve">. </w:t>
      </w:r>
    </w:p>
    <w:p w14:paraId="7A215C5C" w14:textId="77777777" w:rsidR="00DC4981" w:rsidRPr="00C86BE9" w:rsidRDefault="00DC4981" w:rsidP="00DC4981">
      <w:pPr>
        <w:jc w:val="both"/>
        <w:rPr>
          <w:rFonts w:asciiTheme="minorHAnsi" w:hAnsiTheme="minorHAnsi" w:cstheme="minorHAnsi"/>
          <w:sz w:val="22"/>
          <w:szCs w:val="22"/>
        </w:rPr>
      </w:pPr>
    </w:p>
    <w:p w14:paraId="6CE12403"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With the highly stressed environment and truly dynamic nature of the situation the effect of stress could also </w:t>
      </w:r>
      <w:proofErr w:type="gramStart"/>
      <w:r w:rsidRPr="00C86BE9">
        <w:rPr>
          <w:rFonts w:asciiTheme="minorHAnsi" w:hAnsiTheme="minorHAnsi" w:cstheme="minorHAnsi"/>
          <w:sz w:val="22"/>
          <w:szCs w:val="22"/>
        </w:rPr>
        <w:t>of</w:t>
      </w:r>
      <w:proofErr w:type="gramEnd"/>
      <w:r w:rsidRPr="00C86BE9">
        <w:rPr>
          <w:rFonts w:asciiTheme="minorHAnsi" w:hAnsiTheme="minorHAnsi" w:cstheme="minorHAnsi"/>
          <w:sz w:val="22"/>
          <w:szCs w:val="22"/>
        </w:rPr>
        <w:t xml:space="preserve"> been considered. One side effect of such officers operating in such a tense situation is tunnel vision. This means officers are not able to see anything in their peripheral vision (Strasburger, 2019)</w:t>
      </w:r>
    </w:p>
    <w:p w14:paraId="142F8B31"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br/>
      </w:r>
      <w:r w:rsidRPr="00C86BE9">
        <w:rPr>
          <w:rFonts w:asciiTheme="minorHAnsi" w:hAnsiTheme="minorHAnsi" w:cstheme="minorHAnsi"/>
          <w:sz w:val="22"/>
          <w:szCs w:val="22"/>
        </w:rPr>
        <w:br/>
        <w:t xml:space="preserve">This can be confirmed when studying and analysing the incident. Leon Festinger introduced the concept of cognitive dissonance in 1956. He defines this as ‘when two simultaneously held cognitions are inconsistent, this will produce a state of conflict because the dissonance in unpleasant’ Cognitive dissonance is consequently a mental conflict that people experience when they are presented with evidence that their assumptions and beliefs are wrong. An officer may not recall large detail of the situation but may remember small minute </w:t>
      </w:r>
      <w:r w:rsidRPr="00C86BE9">
        <w:rPr>
          <w:rFonts w:asciiTheme="minorHAnsi" w:hAnsiTheme="minorHAnsi" w:cstheme="minorHAnsi"/>
          <w:sz w:val="22"/>
          <w:szCs w:val="22"/>
        </w:rPr>
        <w:lastRenderedPageBreak/>
        <w:t xml:space="preserve">details. This was apparent when analysing the job as body worn video and viewing CCTV was required to understand the full picture of the scenario. </w:t>
      </w:r>
    </w:p>
    <w:p w14:paraId="7EFB9344" w14:textId="77777777" w:rsidR="00DC4981" w:rsidRPr="00C86BE9" w:rsidRDefault="00DC4981" w:rsidP="00DC4981">
      <w:pPr>
        <w:jc w:val="both"/>
        <w:rPr>
          <w:rFonts w:asciiTheme="minorHAnsi" w:hAnsiTheme="minorHAnsi" w:cstheme="minorHAnsi"/>
          <w:sz w:val="22"/>
          <w:szCs w:val="22"/>
        </w:rPr>
      </w:pPr>
    </w:p>
    <w:p w14:paraId="144D87F3"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As we can see communication is a vast topic, a mix of verbal and non-verbal communication is required by officers to assist in managing conflict. The scenario shows how effective communication is a prudent tactic for managing conflict. The tactics used achieved a successful outcome with the offender dropping the knife. However, we now need to discuss the </w:t>
      </w:r>
      <w:proofErr w:type="gramStart"/>
      <w:r w:rsidRPr="00C86BE9">
        <w:rPr>
          <w:rFonts w:asciiTheme="minorHAnsi" w:hAnsiTheme="minorHAnsi" w:cstheme="minorHAnsi"/>
          <w:sz w:val="22"/>
          <w:szCs w:val="22"/>
        </w:rPr>
        <w:t>decision making</w:t>
      </w:r>
      <w:proofErr w:type="gramEnd"/>
      <w:r w:rsidRPr="00C86BE9">
        <w:rPr>
          <w:rFonts w:asciiTheme="minorHAnsi" w:hAnsiTheme="minorHAnsi" w:cstheme="minorHAnsi"/>
          <w:sz w:val="22"/>
          <w:szCs w:val="22"/>
        </w:rPr>
        <w:t xml:space="preserve"> processes when using these tactics and we can do this by discussing </w:t>
      </w:r>
      <w:proofErr w:type="spellStart"/>
      <w:r w:rsidRPr="00C86BE9">
        <w:rPr>
          <w:rFonts w:asciiTheme="minorHAnsi" w:hAnsiTheme="minorHAnsi" w:cstheme="minorHAnsi"/>
          <w:sz w:val="22"/>
          <w:szCs w:val="22"/>
        </w:rPr>
        <w:t>Betari’s</w:t>
      </w:r>
      <w:proofErr w:type="spellEnd"/>
      <w:r w:rsidRPr="00C86BE9">
        <w:rPr>
          <w:rFonts w:asciiTheme="minorHAnsi" w:hAnsiTheme="minorHAnsi" w:cstheme="minorHAnsi"/>
          <w:sz w:val="22"/>
          <w:szCs w:val="22"/>
        </w:rPr>
        <w:t xml:space="preserve"> Box and the emotional vs rational brain. </w:t>
      </w:r>
    </w:p>
    <w:p w14:paraId="7D652CA5" w14:textId="77777777" w:rsidR="00DC4981" w:rsidRPr="00C86BE9" w:rsidRDefault="00DC4981" w:rsidP="00DC4981">
      <w:pPr>
        <w:jc w:val="both"/>
        <w:rPr>
          <w:rFonts w:asciiTheme="minorHAnsi" w:hAnsiTheme="minorHAnsi" w:cstheme="minorHAnsi"/>
          <w:sz w:val="22"/>
          <w:szCs w:val="22"/>
        </w:rPr>
      </w:pPr>
    </w:p>
    <w:p w14:paraId="2D6EBF10" w14:textId="77777777" w:rsidR="00DC4981" w:rsidRPr="00C86BE9" w:rsidRDefault="00DC4981" w:rsidP="00DC4981">
      <w:pPr>
        <w:jc w:val="both"/>
        <w:rPr>
          <w:rFonts w:asciiTheme="minorHAnsi" w:hAnsiTheme="minorHAnsi" w:cstheme="minorHAnsi"/>
          <w:b/>
          <w:sz w:val="22"/>
          <w:szCs w:val="22"/>
        </w:rPr>
      </w:pPr>
    </w:p>
    <w:p w14:paraId="0CA48BE0"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The Collins English dictionary defines attitude ‘as a settle way of thinking or feeling about someone or something, typically one that is reflected in a person’s behaviour. (Collins Dictionary, 2020) The Collins English dictionary also defines behaviour ‘as the way in which one acts or conducts oneself especially towards </w:t>
      </w:r>
      <w:proofErr w:type="gramStart"/>
      <w:r w:rsidRPr="00C86BE9">
        <w:rPr>
          <w:rFonts w:asciiTheme="minorHAnsi" w:hAnsiTheme="minorHAnsi" w:cstheme="minorHAnsi"/>
          <w:sz w:val="22"/>
          <w:szCs w:val="22"/>
        </w:rPr>
        <w:t>others’</w:t>
      </w:r>
      <w:proofErr w:type="gramEnd"/>
      <w:r w:rsidRPr="00C86BE9">
        <w:rPr>
          <w:rFonts w:asciiTheme="minorHAnsi" w:hAnsiTheme="minorHAnsi" w:cstheme="minorHAnsi"/>
          <w:sz w:val="22"/>
          <w:szCs w:val="22"/>
        </w:rPr>
        <w:t>. (Collins Dictionary, 2020)</w:t>
      </w:r>
    </w:p>
    <w:p w14:paraId="1F96D9A8" w14:textId="77777777" w:rsidR="00DC4981" w:rsidRPr="00C86BE9" w:rsidRDefault="00DC4981" w:rsidP="00DC4981">
      <w:pPr>
        <w:jc w:val="both"/>
        <w:rPr>
          <w:rFonts w:asciiTheme="minorHAnsi" w:hAnsiTheme="minorHAnsi" w:cstheme="minorHAnsi"/>
          <w:sz w:val="22"/>
          <w:szCs w:val="22"/>
        </w:rPr>
      </w:pPr>
    </w:p>
    <w:p w14:paraId="7928CE3B"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Attitudes are considered an internal thought process. Behaviours can be how this thought process is exhibited externally both verbally and non-verbally. A simple framework used in police training and by other organisations who deal with conflict management is known as </w:t>
      </w:r>
      <w:proofErr w:type="spellStart"/>
      <w:r w:rsidRPr="00C86BE9">
        <w:rPr>
          <w:rFonts w:asciiTheme="minorHAnsi" w:hAnsiTheme="minorHAnsi" w:cstheme="minorHAnsi"/>
          <w:sz w:val="22"/>
          <w:szCs w:val="22"/>
        </w:rPr>
        <w:t>Betari’s</w:t>
      </w:r>
      <w:proofErr w:type="spellEnd"/>
      <w:r w:rsidRPr="00C86BE9">
        <w:rPr>
          <w:rFonts w:asciiTheme="minorHAnsi" w:hAnsiTheme="minorHAnsi" w:cstheme="minorHAnsi"/>
          <w:sz w:val="22"/>
          <w:szCs w:val="22"/>
        </w:rPr>
        <w:t xml:space="preserve"> box (</w:t>
      </w:r>
      <w:proofErr w:type="spellStart"/>
      <w:r w:rsidRPr="00C86BE9">
        <w:rPr>
          <w:rFonts w:asciiTheme="minorHAnsi" w:hAnsiTheme="minorHAnsi" w:cstheme="minorHAnsi"/>
          <w:sz w:val="22"/>
          <w:szCs w:val="22"/>
        </w:rPr>
        <w:t>Klaham</w:t>
      </w:r>
      <w:proofErr w:type="spellEnd"/>
      <w:r w:rsidRPr="00C86BE9">
        <w:rPr>
          <w:rFonts w:asciiTheme="minorHAnsi" w:hAnsiTheme="minorHAnsi" w:cstheme="minorHAnsi"/>
          <w:sz w:val="22"/>
          <w:szCs w:val="22"/>
        </w:rPr>
        <w:t xml:space="preserve"> et al, 2011) </w:t>
      </w:r>
    </w:p>
    <w:p w14:paraId="2D7CA339" w14:textId="77777777" w:rsidR="00DC4981" w:rsidRPr="00C86BE9" w:rsidRDefault="00DC4981" w:rsidP="00DC4981">
      <w:pPr>
        <w:jc w:val="both"/>
        <w:rPr>
          <w:rFonts w:asciiTheme="minorHAnsi" w:hAnsiTheme="minorHAnsi" w:cstheme="minorHAnsi"/>
          <w:sz w:val="22"/>
          <w:szCs w:val="22"/>
        </w:rPr>
      </w:pPr>
    </w:p>
    <w:p w14:paraId="218E89DD" w14:textId="77777777" w:rsidR="00DC4981" w:rsidRPr="00C86BE9" w:rsidRDefault="00DC4981" w:rsidP="00DC4981">
      <w:pPr>
        <w:jc w:val="both"/>
        <w:rPr>
          <w:rFonts w:asciiTheme="minorHAnsi" w:hAnsiTheme="minorHAnsi" w:cstheme="minorHAnsi"/>
          <w:sz w:val="22"/>
          <w:szCs w:val="22"/>
        </w:rPr>
      </w:pPr>
      <w:proofErr w:type="spellStart"/>
      <w:r w:rsidRPr="00C86BE9">
        <w:rPr>
          <w:rFonts w:asciiTheme="minorHAnsi" w:hAnsiTheme="minorHAnsi" w:cstheme="minorHAnsi"/>
          <w:sz w:val="22"/>
          <w:szCs w:val="22"/>
        </w:rPr>
        <w:t>Betari’s</w:t>
      </w:r>
      <w:proofErr w:type="spellEnd"/>
      <w:r w:rsidRPr="00C86BE9">
        <w:rPr>
          <w:rFonts w:asciiTheme="minorHAnsi" w:hAnsiTheme="minorHAnsi" w:cstheme="minorHAnsi"/>
          <w:sz w:val="22"/>
          <w:szCs w:val="22"/>
        </w:rPr>
        <w:t xml:space="preserve"> box stipulates that ‘my attitude affects my behaviour’. The role of a police constable is to deal effectively with a situation. (College of Policing, 2019)) Officers are the very people who have societal authority. It is therefore the role of a police officer to fracture the cycle of attitude and behaviour that may prevail. </w:t>
      </w:r>
    </w:p>
    <w:p w14:paraId="744BBA0D" w14:textId="77777777" w:rsidR="00DC4981" w:rsidRPr="00C86BE9" w:rsidRDefault="00DC4981" w:rsidP="00DC4981">
      <w:pPr>
        <w:jc w:val="both"/>
        <w:rPr>
          <w:rFonts w:asciiTheme="minorHAnsi" w:hAnsiTheme="minorHAnsi" w:cstheme="minorHAnsi"/>
          <w:sz w:val="22"/>
          <w:szCs w:val="22"/>
        </w:rPr>
      </w:pPr>
    </w:p>
    <w:p w14:paraId="182D6B9A"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We can further argue that only the individuals have control over their own attitude and behaviour.  This can be done by breaking the unconscious bias. If an individual, notices how the behaviour of others makes them feel they can be more aware and refuse to let it affect the individuals’ attitude.</w:t>
      </w:r>
    </w:p>
    <w:p w14:paraId="2185B58F" w14:textId="77777777" w:rsidR="00DC4981" w:rsidRPr="00C86BE9" w:rsidRDefault="00DC4981" w:rsidP="00DC4981">
      <w:pPr>
        <w:jc w:val="both"/>
        <w:rPr>
          <w:rFonts w:asciiTheme="minorHAnsi" w:hAnsiTheme="minorHAnsi" w:cstheme="minorHAnsi"/>
          <w:sz w:val="22"/>
          <w:szCs w:val="22"/>
        </w:rPr>
      </w:pPr>
    </w:p>
    <w:p w14:paraId="2192F4C9"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To apply </w:t>
      </w:r>
      <w:proofErr w:type="spellStart"/>
      <w:r w:rsidRPr="00C86BE9">
        <w:rPr>
          <w:rFonts w:asciiTheme="minorHAnsi" w:hAnsiTheme="minorHAnsi" w:cstheme="minorHAnsi"/>
          <w:sz w:val="22"/>
          <w:szCs w:val="22"/>
        </w:rPr>
        <w:t>Betari’s</w:t>
      </w:r>
      <w:proofErr w:type="spellEnd"/>
      <w:r w:rsidRPr="00C86BE9">
        <w:rPr>
          <w:rFonts w:asciiTheme="minorHAnsi" w:hAnsiTheme="minorHAnsi" w:cstheme="minorHAnsi"/>
          <w:sz w:val="22"/>
          <w:szCs w:val="22"/>
        </w:rPr>
        <w:t xml:space="preserve"> box to our example, the impactful nature of the call may cause an unconscious attitude bias for further calls. We reasonably assume that if the attending officers encounter a similar situation of a ‘male acting strangely’ their behaviour will be one of heightened readiness. The mental impact of approaching a male waving knife may lead to the officers assuming the call may involve conflict.</w:t>
      </w:r>
      <w:r w:rsidRPr="00C86BE9">
        <w:rPr>
          <w:rFonts w:asciiTheme="minorHAnsi" w:hAnsiTheme="minorHAnsi" w:cstheme="minorHAnsi"/>
          <w:sz w:val="22"/>
          <w:szCs w:val="22"/>
        </w:rPr>
        <w:br/>
      </w:r>
      <w:r w:rsidRPr="00C86BE9">
        <w:rPr>
          <w:rFonts w:asciiTheme="minorHAnsi" w:hAnsiTheme="minorHAnsi" w:cstheme="minorHAnsi"/>
          <w:sz w:val="22"/>
          <w:szCs w:val="22"/>
        </w:rPr>
        <w:br/>
        <w:t xml:space="preserve">However, in the police no two calls are the same. A similar call could require a totally different policing skill set. A strange male could as we’ve seen be waving a knife, or a ‘strange male’ could also be an elderly gentleman with dementia who is lost. Therefore, approach each call with an open mind and positive attitude will affect the behaviour of the officers’ actions for the call. </w:t>
      </w:r>
    </w:p>
    <w:p w14:paraId="1DC58196" w14:textId="77777777" w:rsidR="00DC4981" w:rsidRPr="00C86BE9" w:rsidRDefault="00DC4981" w:rsidP="00DC4981">
      <w:pPr>
        <w:jc w:val="both"/>
        <w:rPr>
          <w:rFonts w:asciiTheme="minorHAnsi" w:hAnsiTheme="minorHAnsi" w:cstheme="minorHAnsi"/>
          <w:sz w:val="22"/>
          <w:szCs w:val="22"/>
        </w:rPr>
      </w:pPr>
    </w:p>
    <w:p w14:paraId="3D0924AB"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Next, we can consider the emotional v rational brain debate. To generalise the way a person responds or behaves to a situation is dictated by either the rational or the emotional part of the brain. (</w:t>
      </w:r>
      <w:proofErr w:type="spellStart"/>
      <w:r w:rsidRPr="00C86BE9">
        <w:rPr>
          <w:rFonts w:asciiTheme="minorHAnsi" w:hAnsiTheme="minorHAnsi" w:cstheme="minorHAnsi"/>
          <w:sz w:val="22"/>
          <w:szCs w:val="22"/>
        </w:rPr>
        <w:t>Mellers</w:t>
      </w:r>
      <w:proofErr w:type="spellEnd"/>
      <w:r w:rsidRPr="00C86BE9">
        <w:rPr>
          <w:rFonts w:asciiTheme="minorHAnsi" w:hAnsiTheme="minorHAnsi" w:cstheme="minorHAnsi"/>
          <w:sz w:val="22"/>
          <w:szCs w:val="22"/>
        </w:rPr>
        <w:t>, 2001)</w:t>
      </w:r>
      <w:r w:rsidRPr="00C86BE9">
        <w:rPr>
          <w:rFonts w:asciiTheme="minorHAnsi" w:hAnsiTheme="minorHAnsi" w:cstheme="minorHAnsi"/>
          <w:sz w:val="22"/>
          <w:szCs w:val="22"/>
        </w:rPr>
        <w:br/>
      </w:r>
      <w:r w:rsidRPr="00C86BE9">
        <w:rPr>
          <w:rFonts w:asciiTheme="minorHAnsi" w:hAnsiTheme="minorHAnsi" w:cstheme="minorHAnsi"/>
          <w:sz w:val="22"/>
          <w:szCs w:val="22"/>
        </w:rPr>
        <w:br/>
        <w:t xml:space="preserve">For </w:t>
      </w:r>
      <w:proofErr w:type="gramStart"/>
      <w:r w:rsidRPr="00C86BE9">
        <w:rPr>
          <w:rFonts w:asciiTheme="minorHAnsi" w:hAnsiTheme="minorHAnsi" w:cstheme="minorHAnsi"/>
          <w:sz w:val="22"/>
          <w:szCs w:val="22"/>
        </w:rPr>
        <w:t>the vast majority of</w:t>
      </w:r>
      <w:proofErr w:type="gramEnd"/>
      <w:r w:rsidRPr="00C86BE9">
        <w:rPr>
          <w:rFonts w:asciiTheme="minorHAnsi" w:hAnsiTheme="minorHAnsi" w:cstheme="minorHAnsi"/>
          <w:sz w:val="22"/>
          <w:szCs w:val="22"/>
        </w:rPr>
        <w:t xml:space="preserve"> the time a person will be regulated by their rational brain. However, at certain times, our responses may be more emotional, and this is more evident when the individual is under stress.  When operating under the emotional brain reactions to situations will not necessarily be reasoned to commands, replies and directions. Response to questions may also be affected. </w:t>
      </w:r>
    </w:p>
    <w:p w14:paraId="22D09169" w14:textId="77777777" w:rsidR="00DC4981" w:rsidRPr="00C86BE9" w:rsidRDefault="00DC4981" w:rsidP="00DC4981">
      <w:pPr>
        <w:jc w:val="both"/>
        <w:rPr>
          <w:rFonts w:asciiTheme="minorHAnsi" w:hAnsiTheme="minorHAnsi" w:cstheme="minorHAnsi"/>
          <w:sz w:val="22"/>
          <w:szCs w:val="22"/>
        </w:rPr>
      </w:pPr>
    </w:p>
    <w:p w14:paraId="36672217"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In theory, this means that as the body responds to stressful situational stimulus the brain give priority to those area that control simple movements of fighting and running. (</w:t>
      </w:r>
      <w:proofErr w:type="spellStart"/>
      <w:r w:rsidRPr="00C86BE9">
        <w:rPr>
          <w:rFonts w:asciiTheme="minorHAnsi" w:hAnsiTheme="minorHAnsi" w:cstheme="minorHAnsi"/>
          <w:sz w:val="22"/>
          <w:szCs w:val="22"/>
        </w:rPr>
        <w:t>Terill</w:t>
      </w:r>
      <w:proofErr w:type="spellEnd"/>
      <w:r w:rsidRPr="00C86BE9">
        <w:rPr>
          <w:rFonts w:asciiTheme="minorHAnsi" w:hAnsiTheme="minorHAnsi" w:cstheme="minorHAnsi"/>
          <w:sz w:val="22"/>
          <w:szCs w:val="22"/>
        </w:rPr>
        <w:t xml:space="preserve">, 2005). Consequently, the areas of brain concerned with analytical skills and concentration judgement suffer.  </w:t>
      </w:r>
    </w:p>
    <w:p w14:paraId="2D93A7FF" w14:textId="77777777" w:rsidR="00DC4981" w:rsidRPr="00C86BE9" w:rsidRDefault="00DC4981" w:rsidP="00DC4981">
      <w:pPr>
        <w:jc w:val="both"/>
        <w:rPr>
          <w:rFonts w:asciiTheme="minorHAnsi" w:hAnsiTheme="minorHAnsi" w:cstheme="minorHAnsi"/>
          <w:sz w:val="22"/>
          <w:szCs w:val="22"/>
        </w:rPr>
      </w:pPr>
    </w:p>
    <w:p w14:paraId="14A09ABC"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lastRenderedPageBreak/>
        <w:t xml:space="preserve">The brain will also prioritise the information it receives. The brain will filter or even exclude information that it can do without with for the immediate time. This process is commonly known as ‘peripheral shutdown’. The main concomitant of peripheral shutdown is the sense of hearing dwindle, as this sense is not needed. This term is referred to as ‘auditory exclusion’.   </w:t>
      </w:r>
    </w:p>
    <w:p w14:paraId="705CE181" w14:textId="77777777" w:rsidR="00DC4981" w:rsidRPr="00C86BE9" w:rsidRDefault="00DC4981" w:rsidP="00DC4981">
      <w:pPr>
        <w:jc w:val="both"/>
        <w:rPr>
          <w:rFonts w:asciiTheme="minorHAnsi" w:hAnsiTheme="minorHAnsi" w:cstheme="minorHAnsi"/>
          <w:sz w:val="22"/>
          <w:szCs w:val="22"/>
        </w:rPr>
      </w:pPr>
    </w:p>
    <w:p w14:paraId="36440F72"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As the stress increases the response will become even more emotional and the person will find their ability to think rationally and therefore communicate, diminishes until they will not be thinking cognitively at all. (Johnson 2011)</w:t>
      </w:r>
    </w:p>
    <w:p w14:paraId="6C114C5F" w14:textId="77777777" w:rsidR="00DC4981" w:rsidRPr="00C86BE9" w:rsidRDefault="00DC4981" w:rsidP="00DC4981">
      <w:pPr>
        <w:jc w:val="both"/>
        <w:rPr>
          <w:rFonts w:asciiTheme="minorHAnsi" w:hAnsiTheme="minorHAnsi" w:cstheme="minorHAnsi"/>
          <w:sz w:val="22"/>
          <w:szCs w:val="22"/>
        </w:rPr>
      </w:pPr>
    </w:p>
    <w:p w14:paraId="6EABCF0C"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These mental and physical changes affect the communication process and take both in officers and those who may </w:t>
      </w:r>
      <w:proofErr w:type="gramStart"/>
      <w:r w:rsidRPr="00C86BE9">
        <w:rPr>
          <w:rFonts w:asciiTheme="minorHAnsi" w:hAnsiTheme="minorHAnsi" w:cstheme="minorHAnsi"/>
          <w:sz w:val="22"/>
          <w:szCs w:val="22"/>
        </w:rPr>
        <w:t>be in conflict with</w:t>
      </w:r>
      <w:proofErr w:type="gramEnd"/>
      <w:r w:rsidRPr="00C86BE9">
        <w:rPr>
          <w:rFonts w:asciiTheme="minorHAnsi" w:hAnsiTheme="minorHAnsi" w:cstheme="minorHAnsi"/>
          <w:sz w:val="22"/>
          <w:szCs w:val="22"/>
        </w:rPr>
        <w:t xml:space="preserve"> them. It is not possible to halt the prehistoric responses from happening, but officers can learn to understand them and deal with the consequences. </w:t>
      </w:r>
      <w:r w:rsidRPr="00C86BE9">
        <w:rPr>
          <w:rFonts w:asciiTheme="minorHAnsi" w:hAnsiTheme="minorHAnsi" w:cstheme="minorHAnsi"/>
          <w:sz w:val="22"/>
          <w:szCs w:val="22"/>
        </w:rPr>
        <w:br/>
      </w:r>
      <w:r w:rsidRPr="00C86BE9">
        <w:rPr>
          <w:rFonts w:asciiTheme="minorHAnsi" w:hAnsiTheme="minorHAnsi" w:cstheme="minorHAnsi"/>
          <w:sz w:val="22"/>
          <w:szCs w:val="22"/>
        </w:rPr>
        <w:br/>
        <w:t xml:space="preserve">Looking at our example, we can already see how </w:t>
      </w:r>
      <w:proofErr w:type="gramStart"/>
      <w:r w:rsidRPr="00C86BE9">
        <w:rPr>
          <w:rFonts w:asciiTheme="minorHAnsi" w:hAnsiTheme="minorHAnsi" w:cstheme="minorHAnsi"/>
          <w:sz w:val="22"/>
          <w:szCs w:val="22"/>
        </w:rPr>
        <w:t>this fits</w:t>
      </w:r>
      <w:proofErr w:type="gramEnd"/>
      <w:r w:rsidRPr="00C86BE9">
        <w:rPr>
          <w:rFonts w:asciiTheme="minorHAnsi" w:hAnsiTheme="minorHAnsi" w:cstheme="minorHAnsi"/>
          <w:sz w:val="22"/>
          <w:szCs w:val="22"/>
        </w:rPr>
        <w:t xml:space="preserve"> into the emotional v rational theoretical discussion. Both parties of the conflict situation were under immense stress. The subject was getting shouted out by uniformed officers and had PAVA spray directed at him. The risk here is that the </w:t>
      </w:r>
      <w:proofErr w:type="gramStart"/>
      <w:r w:rsidRPr="00C86BE9">
        <w:rPr>
          <w:rFonts w:asciiTheme="minorHAnsi" w:hAnsiTheme="minorHAnsi" w:cstheme="minorHAnsi"/>
          <w:sz w:val="22"/>
          <w:szCs w:val="22"/>
        </w:rPr>
        <w:t>subjects</w:t>
      </w:r>
      <w:proofErr w:type="gramEnd"/>
      <w:r w:rsidRPr="00C86BE9">
        <w:rPr>
          <w:rFonts w:asciiTheme="minorHAnsi" w:hAnsiTheme="minorHAnsi" w:cstheme="minorHAnsi"/>
          <w:sz w:val="22"/>
          <w:szCs w:val="22"/>
        </w:rPr>
        <w:t xml:space="preserve"> rational brain totally shuts down and he fails to respond to instructions. </w:t>
      </w:r>
    </w:p>
    <w:p w14:paraId="5032E6FC"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br/>
      </w:r>
      <w:r w:rsidRPr="00C86BE9">
        <w:rPr>
          <w:rFonts w:asciiTheme="minorHAnsi" w:hAnsiTheme="minorHAnsi" w:cstheme="minorHAnsi"/>
          <w:sz w:val="22"/>
          <w:szCs w:val="22"/>
        </w:rPr>
        <w:br/>
        <w:t xml:space="preserve">With the officers, who were again under immense stress their actions could have been dictated by their emotional brain. When two emotional brains there is a real risk if conflict as the body focus on simple movements of fighting and running and not rational decision making. Officers should always when practically take split second to think about the situation before </w:t>
      </w:r>
      <w:proofErr w:type="gramStart"/>
      <w:r w:rsidRPr="00C86BE9">
        <w:rPr>
          <w:rFonts w:asciiTheme="minorHAnsi" w:hAnsiTheme="minorHAnsi" w:cstheme="minorHAnsi"/>
          <w:sz w:val="22"/>
          <w:szCs w:val="22"/>
        </w:rPr>
        <w:t>making a decision</w:t>
      </w:r>
      <w:proofErr w:type="gramEnd"/>
      <w:r w:rsidRPr="00C86BE9">
        <w:rPr>
          <w:rFonts w:asciiTheme="minorHAnsi" w:hAnsiTheme="minorHAnsi" w:cstheme="minorHAnsi"/>
          <w:sz w:val="22"/>
          <w:szCs w:val="22"/>
        </w:rPr>
        <w:t xml:space="preserve"> in conflict situation others the emotional brain may take over. </w:t>
      </w:r>
    </w:p>
    <w:p w14:paraId="4BD4337A" w14:textId="77777777" w:rsidR="00DC4981" w:rsidRPr="00C86BE9" w:rsidRDefault="00DC4981" w:rsidP="00DC4981">
      <w:pPr>
        <w:jc w:val="both"/>
        <w:rPr>
          <w:rFonts w:asciiTheme="minorHAnsi" w:hAnsiTheme="minorHAnsi" w:cstheme="minorHAnsi"/>
          <w:sz w:val="22"/>
          <w:szCs w:val="22"/>
        </w:rPr>
      </w:pPr>
    </w:p>
    <w:p w14:paraId="26C7B8AC" w14:textId="77777777" w:rsidR="00DC4981" w:rsidRPr="00C86BE9" w:rsidRDefault="00DC4981" w:rsidP="00DC4981">
      <w:pPr>
        <w:jc w:val="both"/>
        <w:rPr>
          <w:rFonts w:asciiTheme="minorHAnsi" w:hAnsiTheme="minorHAnsi" w:cstheme="minorHAnsi"/>
          <w:sz w:val="22"/>
          <w:szCs w:val="22"/>
        </w:rPr>
      </w:pPr>
      <w:r w:rsidRPr="00C86BE9">
        <w:rPr>
          <w:rFonts w:asciiTheme="minorHAnsi" w:hAnsiTheme="minorHAnsi" w:cstheme="minorHAnsi"/>
          <w:sz w:val="22"/>
          <w:szCs w:val="22"/>
        </w:rPr>
        <w:t xml:space="preserve">To conclude, we can see that in this conflict scenario there are many theoretical models which can be used to assessment and evaluation tools. Having a knowledge of this theory and how to apply it to real life policing situations is a strong tool in a </w:t>
      </w:r>
      <w:proofErr w:type="gramStart"/>
      <w:r w:rsidRPr="00C86BE9">
        <w:rPr>
          <w:rFonts w:asciiTheme="minorHAnsi" w:hAnsiTheme="minorHAnsi" w:cstheme="minorHAnsi"/>
          <w:sz w:val="22"/>
          <w:szCs w:val="22"/>
        </w:rPr>
        <w:t>police</w:t>
      </w:r>
      <w:proofErr w:type="gramEnd"/>
      <w:r w:rsidRPr="00C86BE9">
        <w:rPr>
          <w:rFonts w:asciiTheme="minorHAnsi" w:hAnsiTheme="minorHAnsi" w:cstheme="minorHAnsi"/>
          <w:sz w:val="22"/>
          <w:szCs w:val="22"/>
        </w:rPr>
        <w:t xml:space="preserve"> </w:t>
      </w:r>
      <w:proofErr w:type="spellStart"/>
      <w:r w:rsidRPr="00C86BE9">
        <w:rPr>
          <w:rFonts w:asciiTheme="minorHAnsi" w:hAnsiTheme="minorHAnsi" w:cstheme="minorHAnsi"/>
          <w:sz w:val="22"/>
          <w:szCs w:val="22"/>
        </w:rPr>
        <w:t>officers</w:t>
      </w:r>
      <w:proofErr w:type="spellEnd"/>
      <w:r w:rsidRPr="00C86BE9">
        <w:rPr>
          <w:rFonts w:asciiTheme="minorHAnsi" w:hAnsiTheme="minorHAnsi" w:cstheme="minorHAnsi"/>
          <w:sz w:val="22"/>
          <w:szCs w:val="22"/>
        </w:rPr>
        <w:t xml:space="preserve"> armoury. Appropriate communication, and decision making is vital in all conflict situations. But more importantly </w:t>
      </w:r>
      <w:proofErr w:type="gramStart"/>
      <w:r w:rsidRPr="00C86BE9">
        <w:rPr>
          <w:rFonts w:asciiTheme="minorHAnsi" w:hAnsiTheme="minorHAnsi" w:cstheme="minorHAnsi"/>
          <w:sz w:val="22"/>
          <w:szCs w:val="22"/>
        </w:rPr>
        <w:t>a</w:t>
      </w:r>
      <w:proofErr w:type="gramEnd"/>
      <w:r w:rsidRPr="00C86BE9">
        <w:rPr>
          <w:rFonts w:asciiTheme="minorHAnsi" w:hAnsiTheme="minorHAnsi" w:cstheme="minorHAnsi"/>
          <w:sz w:val="22"/>
          <w:szCs w:val="22"/>
        </w:rPr>
        <w:t xml:space="preserve"> understanding to why we take these actions in conflict is even more important. Finally, as will all police actions and decisions it should be line with the code of ethics and human rights compliant. </w:t>
      </w:r>
    </w:p>
    <w:p w14:paraId="570460CB" w14:textId="77777777" w:rsidR="00DC4981" w:rsidRPr="00DC4981" w:rsidRDefault="00DC4981" w:rsidP="00DC4981">
      <w:pPr>
        <w:jc w:val="both"/>
        <w:rPr>
          <w:rFonts w:asciiTheme="minorHAnsi" w:hAnsiTheme="minorHAnsi" w:cstheme="minorHAnsi"/>
        </w:rPr>
      </w:pPr>
    </w:p>
    <w:p w14:paraId="5E02426E" w14:textId="77777777" w:rsidR="00DC4981" w:rsidRPr="00DC4981" w:rsidRDefault="00DC4981" w:rsidP="00DC4981">
      <w:pPr>
        <w:jc w:val="both"/>
        <w:rPr>
          <w:rFonts w:asciiTheme="minorHAnsi" w:hAnsiTheme="minorHAnsi" w:cstheme="minorHAnsi"/>
        </w:rPr>
      </w:pPr>
      <w:r w:rsidRPr="00DC4981">
        <w:rPr>
          <w:rFonts w:asciiTheme="minorHAnsi" w:hAnsiTheme="minorHAnsi" w:cstheme="minorHAnsi"/>
        </w:rPr>
        <w:t xml:space="preserve">WORD COUNT: 2522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A10815" w:rsidRDefault="00112751" w:rsidP="00E6298B">
      <w:pPr>
        <w:ind w:right="107"/>
        <w:jc w:val="both"/>
        <w:rPr>
          <w:rFonts w:asciiTheme="minorHAnsi" w:hAnsiTheme="minorHAnsi" w:cstheme="minorHAnsi"/>
          <w:sz w:val="22"/>
          <w:szCs w:val="22"/>
        </w:rPr>
      </w:pPr>
    </w:p>
    <w:p w14:paraId="20EED31C"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In this academic conversation we’ll be discussing a policing incident involving inclusion, valuing difference and the roles and responsibilities the police have in supporting victims and witnesses throughout the criminal justice system. </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Before we commence our debate, we need to set out the incident. This incident involved an elderly and vulnerable lady who reported a hate crime. The female lives in a supportive living accommodation. This means that even though the female is independent in her flat, care assistances are on site to assist with any concerns the female or other residents may have. </w:t>
      </w:r>
    </w:p>
    <w:p w14:paraId="052596FE" w14:textId="77777777" w:rsidR="00A10815" w:rsidRPr="00A10815" w:rsidRDefault="00A10815" w:rsidP="00A10815">
      <w:pPr>
        <w:rPr>
          <w:rFonts w:asciiTheme="minorHAnsi" w:hAnsiTheme="minorHAnsi" w:cstheme="minorHAnsi"/>
          <w:sz w:val="22"/>
          <w:szCs w:val="22"/>
        </w:rPr>
      </w:pPr>
    </w:p>
    <w:p w14:paraId="0E1E3C22"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The female is unable to walk large distances due to underlying health conditions. As a result of these underlying health conditions her only mode of realistic movement is via a mobility scooter. The residents have small flats which are unable to house a mobility scooter. As a result, the mobility scooters are situated outside the complex.</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During the night the scooter was damaged beyond repair. The battery was taken out, tyres slashed, and the rest of the scooter defaced. The lady felt that she was being targeted due to her age and health conditions and reported the incident as a hate crime. CCTV covered the scene and a known male was identified, arrested and charged. However, for this discussion we will be focusing on how the police need to value difference and show inclusion. We will then focus on how the police and criminal justice system care for victims. We will analysis and discuss this through the relevant academic research. </w:t>
      </w:r>
    </w:p>
    <w:p w14:paraId="38F59E1F" w14:textId="77777777" w:rsidR="00A10815" w:rsidRPr="00A10815" w:rsidRDefault="00A10815" w:rsidP="00A10815">
      <w:pPr>
        <w:rPr>
          <w:rFonts w:asciiTheme="minorHAnsi" w:hAnsiTheme="minorHAnsi" w:cstheme="minorHAnsi"/>
          <w:b/>
          <w:bCs/>
          <w:sz w:val="22"/>
          <w:szCs w:val="22"/>
        </w:rPr>
      </w:pPr>
    </w:p>
    <w:p w14:paraId="41BFE6D3"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The most important part of this discussion is understanding the polices role and duty to inclusion.</w:t>
      </w:r>
    </w:p>
    <w:p w14:paraId="7A070524" w14:textId="77777777" w:rsidR="00A10815" w:rsidRPr="00A10815" w:rsidRDefault="00A10815" w:rsidP="00A10815">
      <w:pPr>
        <w:rPr>
          <w:rFonts w:asciiTheme="minorHAnsi" w:hAnsiTheme="minorHAnsi" w:cstheme="minorHAnsi"/>
          <w:b/>
          <w:bCs/>
          <w:sz w:val="22"/>
          <w:szCs w:val="22"/>
        </w:rPr>
      </w:pPr>
    </w:p>
    <w:p w14:paraId="7A5D23C5" w14:textId="77777777" w:rsidR="00A10815" w:rsidRPr="00A10815" w:rsidRDefault="00A10815" w:rsidP="00A10815">
      <w:pPr>
        <w:jc w:val="both"/>
        <w:rPr>
          <w:rFonts w:asciiTheme="minorHAnsi" w:hAnsiTheme="minorHAnsi" w:cstheme="minorHAnsi"/>
          <w:sz w:val="22"/>
          <w:szCs w:val="22"/>
        </w:rPr>
      </w:pPr>
      <w:r w:rsidRPr="00A10815">
        <w:rPr>
          <w:rFonts w:asciiTheme="minorHAnsi" w:hAnsiTheme="minorHAnsi" w:cstheme="minorHAnsi"/>
          <w:sz w:val="22"/>
          <w:szCs w:val="22"/>
        </w:rPr>
        <w:lastRenderedPageBreak/>
        <w:t xml:space="preserve">The Equality Act 2010 catalogues the protected characters every member of society has. The characteristics are; race, religion or belief, sex, sexual orientation, gender reassignment, pregnancy, marriage, disability and age. </w:t>
      </w:r>
    </w:p>
    <w:p w14:paraId="623239C5" w14:textId="77777777" w:rsidR="00A10815" w:rsidRPr="00A10815" w:rsidRDefault="00A10815" w:rsidP="00A10815">
      <w:pPr>
        <w:jc w:val="both"/>
        <w:rPr>
          <w:rFonts w:asciiTheme="minorHAnsi" w:hAnsiTheme="minorHAnsi" w:cstheme="minorHAnsi"/>
          <w:b/>
          <w:bCs/>
          <w:sz w:val="22"/>
          <w:szCs w:val="22"/>
        </w:rPr>
      </w:pPr>
    </w:p>
    <w:p w14:paraId="3BDF287D" w14:textId="750FD880"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The Equality Act 2010 protects law abiding citizens in </w:t>
      </w:r>
      <w:r w:rsidRPr="00A10815">
        <w:rPr>
          <w:rFonts w:asciiTheme="minorHAnsi" w:hAnsiTheme="minorHAnsi" w:cstheme="minorHAnsi"/>
          <w:sz w:val="22"/>
          <w:szCs w:val="22"/>
        </w:rPr>
        <w:t>several</w:t>
      </w:r>
      <w:r w:rsidRPr="00A10815">
        <w:rPr>
          <w:rFonts w:asciiTheme="minorHAnsi" w:hAnsiTheme="minorHAnsi" w:cstheme="minorHAnsi"/>
          <w:sz w:val="22"/>
          <w:szCs w:val="22"/>
        </w:rPr>
        <w:t xml:space="preserve"> ways, and these can be summarised down to four areas (GOV.UK, Equality Act Guidance 2010). Direct discrimination is when someone is treated less favourably because of their age. Indirect discrimination is when a service of good which have an effect of being discriminatory against a person. For example, paying for an item in instalments but only if the person is in employment. This would not be possible for retired people.</w:t>
      </w:r>
    </w:p>
    <w:p w14:paraId="7B2108CA" w14:textId="77777777" w:rsidR="00A10815" w:rsidRPr="00A10815" w:rsidRDefault="00A10815" w:rsidP="00A10815">
      <w:pPr>
        <w:rPr>
          <w:rFonts w:asciiTheme="minorHAnsi" w:hAnsiTheme="minorHAnsi" w:cstheme="minorHAnsi"/>
          <w:sz w:val="22"/>
          <w:szCs w:val="22"/>
        </w:rPr>
      </w:pPr>
    </w:p>
    <w:p w14:paraId="3D5B353A"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The next area people are protected from under the act is harassment. This when a person experiences behaviour that makes them feel intimidated, humiliated or degraded. </w:t>
      </w:r>
    </w:p>
    <w:p w14:paraId="6F15D80C" w14:textId="77777777" w:rsidR="00A10815" w:rsidRPr="00A10815" w:rsidRDefault="00A10815" w:rsidP="00A10815">
      <w:pPr>
        <w:rPr>
          <w:rFonts w:asciiTheme="minorHAnsi" w:hAnsiTheme="minorHAnsi" w:cstheme="minorHAnsi"/>
          <w:sz w:val="22"/>
          <w:szCs w:val="22"/>
        </w:rPr>
      </w:pPr>
    </w:p>
    <w:p w14:paraId="340E265E"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It is essential that the police adhere to the equality act, and this adherence is part of the core of British Policing. For the Police service to function in the United Kingdom it relies on public consent and public legitimacy. Every warranted police officer says the words ‘I will well and truly service the Queen in the officer of constable, with fairness, integrity, diligence and impartiality, upholding human rights and according equal respect to all people’ (S29, Police Act 1996). It is therefore expected that Police Officers treat people equally and in line with the equality act.</w:t>
      </w:r>
      <w:r w:rsidRPr="00A10815">
        <w:rPr>
          <w:rFonts w:asciiTheme="minorHAnsi" w:hAnsiTheme="minorHAnsi" w:cstheme="minorHAnsi"/>
          <w:sz w:val="22"/>
          <w:szCs w:val="22"/>
        </w:rPr>
        <w:br/>
      </w:r>
    </w:p>
    <w:p w14:paraId="1DE2AE1B" w14:textId="77777777" w:rsidR="00A10815" w:rsidRPr="00A10815" w:rsidRDefault="00A10815" w:rsidP="00A10815">
      <w:pPr>
        <w:jc w:val="both"/>
        <w:rPr>
          <w:rFonts w:asciiTheme="minorHAnsi" w:hAnsiTheme="minorHAnsi" w:cstheme="minorHAnsi"/>
          <w:sz w:val="22"/>
          <w:szCs w:val="22"/>
        </w:rPr>
      </w:pPr>
      <w:r w:rsidRPr="00A10815">
        <w:rPr>
          <w:rFonts w:asciiTheme="minorHAnsi" w:hAnsiTheme="minorHAnsi" w:cstheme="minorHAnsi"/>
          <w:sz w:val="22"/>
          <w:szCs w:val="22"/>
        </w:rPr>
        <w:t>The matter of contention regarding legitimacy is central to arguments about the police’s role in democratic societies. The simple existence of police authority requires individuals to freely sacrifice a degree of personal liberty and freedom in order to secure a greater degree of collective freedom and liberty. (Bryant, 2019). This way of thinking is made clear in seventeenth-century English philosophers’ writings who made the argument that ‘without authority in society there would be a war against all’.</w:t>
      </w:r>
    </w:p>
    <w:p w14:paraId="1C3E0000" w14:textId="77777777" w:rsidR="00A10815" w:rsidRPr="00A10815" w:rsidRDefault="00A10815" w:rsidP="00A10815">
      <w:pPr>
        <w:jc w:val="both"/>
        <w:rPr>
          <w:rFonts w:asciiTheme="minorHAnsi" w:hAnsiTheme="minorHAnsi" w:cstheme="minorHAnsi"/>
          <w:sz w:val="22"/>
          <w:szCs w:val="22"/>
        </w:rPr>
      </w:pPr>
      <w:r w:rsidRPr="00A10815">
        <w:rPr>
          <w:rFonts w:asciiTheme="minorHAnsi" w:hAnsiTheme="minorHAnsi" w:cstheme="minorHAnsi"/>
          <w:sz w:val="22"/>
          <w:szCs w:val="22"/>
        </w:rPr>
        <w:t xml:space="preserve"> </w:t>
      </w:r>
    </w:p>
    <w:p w14:paraId="1192D0B3"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Additionally, Nozick (1974) and Simmons (2001) have argued that the necessity for authority must be considered before questioning the legitimacy of authority of it. The problems in advocating police authority is highlighted by the fact it took three attempts (from 1785) for parliament to pass a Police Bill. The familiar policing by consent model was eventually passed in 1829. (Metropolitan Police Act, 1829)</w:t>
      </w:r>
    </w:p>
    <w:p w14:paraId="485D2E8E" w14:textId="77777777" w:rsidR="00A10815" w:rsidRPr="00A10815" w:rsidRDefault="00A10815" w:rsidP="00A10815">
      <w:pPr>
        <w:rPr>
          <w:rFonts w:asciiTheme="minorHAnsi" w:hAnsiTheme="minorHAnsi" w:cstheme="minorHAnsi"/>
          <w:sz w:val="22"/>
          <w:szCs w:val="22"/>
        </w:rPr>
      </w:pPr>
    </w:p>
    <w:p w14:paraId="39CFDB06" w14:textId="68EB5E7B"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This is all well and good, but how does police legitimacy look </w:t>
      </w:r>
      <w:r w:rsidR="00567F0B">
        <w:rPr>
          <w:rFonts w:asciiTheme="minorHAnsi" w:hAnsiTheme="minorHAnsi" w:cstheme="minorHAnsi"/>
          <w:sz w:val="22"/>
          <w:szCs w:val="22"/>
        </w:rPr>
        <w:t>in</w:t>
      </w:r>
      <w:r w:rsidRPr="00A10815">
        <w:rPr>
          <w:rFonts w:asciiTheme="minorHAnsi" w:hAnsiTheme="minorHAnsi" w:cstheme="minorHAnsi"/>
          <w:sz w:val="22"/>
          <w:szCs w:val="22"/>
        </w:rPr>
        <w:t xml:space="preserve"> practice? Alderson (1998) argues that policing should be more firmly founded upon moral principles, rather than pragmatic concerns. The Human Rights Act 1998 gave legislation to bolster this argument. Police Officers must factor a variety of moral considerations in order to make professional judgements. Policing by consent remains and key ingredient to police legitimacy, but for this to work the police must operate both within moral and legal boundaries if legitimate totality is achieved. </w:t>
      </w:r>
    </w:p>
    <w:p w14:paraId="76123C0F"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br/>
        <w:t xml:space="preserve">In 2020 police legitimacy has been heavily chastised in terms of equality and inclusion. For example, only 6.9% of police officer are from ethnic groups (Police Workforce Gov.Uk, 2019) and the IOPC launched a review into whether officers across England and Wales discriminating. With these questions being asked by the public Police Officers should deal with every hate crime with the upmost professionalism. Going back to our hate crime example, patience, empathy and compassion was shown to our victim. </w:t>
      </w:r>
    </w:p>
    <w:p w14:paraId="34970535" w14:textId="77777777" w:rsidR="00A10815" w:rsidRPr="00A10815" w:rsidRDefault="00A10815" w:rsidP="00A10815">
      <w:pPr>
        <w:rPr>
          <w:rFonts w:asciiTheme="minorHAnsi" w:hAnsiTheme="minorHAnsi" w:cstheme="minorHAnsi"/>
          <w:sz w:val="22"/>
          <w:szCs w:val="22"/>
        </w:rPr>
      </w:pPr>
    </w:p>
    <w:p w14:paraId="20AFA28A" w14:textId="77777777" w:rsidR="00A10815" w:rsidRPr="00A10815" w:rsidRDefault="00A10815" w:rsidP="00A10815">
      <w:pPr>
        <w:tabs>
          <w:tab w:val="left" w:pos="6804"/>
        </w:tabs>
        <w:rPr>
          <w:rFonts w:asciiTheme="minorHAnsi" w:hAnsiTheme="minorHAnsi" w:cstheme="minorHAnsi"/>
          <w:sz w:val="22"/>
          <w:szCs w:val="22"/>
        </w:rPr>
      </w:pPr>
      <w:r w:rsidRPr="00A10815">
        <w:rPr>
          <w:rFonts w:asciiTheme="minorHAnsi" w:hAnsiTheme="minorHAnsi" w:cstheme="minorHAnsi"/>
          <w:sz w:val="22"/>
          <w:szCs w:val="22"/>
        </w:rPr>
        <w:t>One key element to this is officers understand their unconscious bias. Unconscious bias has been defined as a process by which a person makes sense of the world around them by making assumptions and associations about people’s character without being consciously aware of this process (Jones and Cornish, 2013.) Such mental shortcuts may be a factor linked to ongoing discriminations within the police force/.</w:t>
      </w:r>
    </w:p>
    <w:p w14:paraId="0CFB4B46" w14:textId="77777777" w:rsidR="00A10815" w:rsidRPr="00A10815" w:rsidRDefault="00A10815" w:rsidP="00A10815">
      <w:pPr>
        <w:tabs>
          <w:tab w:val="left" w:pos="6804"/>
        </w:tabs>
        <w:rPr>
          <w:rFonts w:asciiTheme="minorHAnsi" w:hAnsiTheme="minorHAnsi" w:cstheme="minorHAnsi"/>
          <w:sz w:val="22"/>
          <w:szCs w:val="22"/>
        </w:rPr>
      </w:pPr>
    </w:p>
    <w:p w14:paraId="1F836651" w14:textId="77777777" w:rsidR="00A10815" w:rsidRPr="00A10815" w:rsidRDefault="00A10815" w:rsidP="00A10815">
      <w:pPr>
        <w:tabs>
          <w:tab w:val="left" w:pos="6804"/>
        </w:tabs>
        <w:rPr>
          <w:rFonts w:asciiTheme="minorHAnsi" w:hAnsiTheme="minorHAnsi" w:cstheme="minorHAnsi"/>
          <w:sz w:val="22"/>
          <w:szCs w:val="22"/>
        </w:rPr>
      </w:pPr>
      <w:r w:rsidRPr="00A10815">
        <w:rPr>
          <w:rFonts w:asciiTheme="minorHAnsi" w:hAnsiTheme="minorHAnsi" w:cstheme="minorHAnsi"/>
          <w:sz w:val="22"/>
          <w:szCs w:val="22"/>
        </w:rPr>
        <w:t xml:space="preserve">One way of overcoming this unconscious bias is education and reinforcement. Two studies by Carnes M. (2012) and Hill, M (2001) found that educating people about the existence and malleability of unconscious </w:t>
      </w:r>
      <w:r w:rsidRPr="00A10815">
        <w:rPr>
          <w:rFonts w:asciiTheme="minorHAnsi" w:hAnsiTheme="minorHAnsi" w:cstheme="minorHAnsi"/>
          <w:sz w:val="22"/>
          <w:szCs w:val="22"/>
        </w:rPr>
        <w:lastRenderedPageBreak/>
        <w:t>bias can lead to its reduction. This is evident within the police force will all officers having to recently undergo unconscious bias training.</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In our scenario there could be an unconscious bias that due to victim being elderly. For example, the lady could have simply ‘forgotten’ to lock up the scooter correctly and it’s her ‘own fault’ that she has been targeted. Due to her age she must be forgetful. This is unconscious bias. This argument can be carried further but arguing that officers may suffer from source bias when dealing with an elderly victim. </w:t>
      </w:r>
    </w:p>
    <w:p w14:paraId="0EF8F983" w14:textId="77777777" w:rsidR="00A10815" w:rsidRPr="00A10815" w:rsidRDefault="00A10815" w:rsidP="00A10815">
      <w:pPr>
        <w:tabs>
          <w:tab w:val="left" w:pos="6804"/>
        </w:tabs>
        <w:rPr>
          <w:rFonts w:asciiTheme="minorHAnsi" w:hAnsiTheme="minorHAnsi" w:cstheme="minorHAnsi"/>
          <w:sz w:val="22"/>
          <w:szCs w:val="22"/>
        </w:rPr>
      </w:pPr>
    </w:p>
    <w:p w14:paraId="0088C008" w14:textId="77777777" w:rsidR="00A10815" w:rsidRPr="00A10815" w:rsidRDefault="00A10815" w:rsidP="00A10815">
      <w:pPr>
        <w:tabs>
          <w:tab w:val="left" w:pos="6804"/>
        </w:tabs>
        <w:rPr>
          <w:rFonts w:asciiTheme="minorHAnsi" w:hAnsiTheme="minorHAnsi" w:cstheme="minorHAnsi"/>
          <w:sz w:val="22"/>
          <w:szCs w:val="22"/>
        </w:rPr>
      </w:pPr>
      <w:r w:rsidRPr="00A10815">
        <w:rPr>
          <w:rFonts w:asciiTheme="minorHAnsi" w:hAnsiTheme="minorHAnsi" w:cstheme="minorHAnsi"/>
          <w:sz w:val="22"/>
          <w:szCs w:val="22"/>
        </w:rPr>
        <w:t xml:space="preserve">Source bias is where an individual place more vale on information that has come from a source we trust and not testing information rigorously. (Sackett, 1979) A unconscious stereotype of an elderly victim may be that they’re confused and that the information they provide is inaccurate. However, if a younger care worker provided the information the officer may be more willing to belief them. Whilst, to a point, this a natural unconscious bias it highlights the concerns with bias. </w:t>
      </w:r>
      <w:proofErr w:type="gramStart"/>
      <w:r w:rsidRPr="00A10815">
        <w:rPr>
          <w:rFonts w:asciiTheme="minorHAnsi" w:hAnsiTheme="minorHAnsi" w:cstheme="minorHAnsi"/>
          <w:sz w:val="22"/>
          <w:szCs w:val="22"/>
        </w:rPr>
        <w:t>With this in mind officers</w:t>
      </w:r>
      <w:proofErr w:type="gramEnd"/>
      <w:r w:rsidRPr="00A10815">
        <w:rPr>
          <w:rFonts w:asciiTheme="minorHAnsi" w:hAnsiTheme="minorHAnsi" w:cstheme="minorHAnsi"/>
          <w:sz w:val="22"/>
          <w:szCs w:val="22"/>
        </w:rPr>
        <w:t xml:space="preserve"> need to aware of their biases so they can treat victims with impartiality and fairness, which as we mentioned earlier is part of the oath of attestation. </w:t>
      </w:r>
    </w:p>
    <w:p w14:paraId="193B912E" w14:textId="77777777" w:rsidR="00A10815" w:rsidRPr="00A10815" w:rsidRDefault="00A10815" w:rsidP="00A10815">
      <w:pPr>
        <w:tabs>
          <w:tab w:val="left" w:pos="6804"/>
        </w:tabs>
        <w:rPr>
          <w:rFonts w:asciiTheme="minorHAnsi" w:hAnsiTheme="minorHAnsi" w:cstheme="minorHAnsi"/>
          <w:sz w:val="22"/>
          <w:szCs w:val="22"/>
        </w:rPr>
      </w:pPr>
    </w:p>
    <w:p w14:paraId="1D3D53E0" w14:textId="77777777" w:rsidR="00A10815" w:rsidRPr="00A10815" w:rsidRDefault="00A10815" w:rsidP="00A10815">
      <w:pPr>
        <w:tabs>
          <w:tab w:val="left" w:pos="6804"/>
        </w:tabs>
        <w:rPr>
          <w:rFonts w:asciiTheme="minorHAnsi" w:hAnsiTheme="minorHAnsi" w:cstheme="minorHAnsi"/>
          <w:sz w:val="22"/>
          <w:szCs w:val="22"/>
        </w:rPr>
      </w:pPr>
      <w:r w:rsidRPr="00A10815">
        <w:rPr>
          <w:rFonts w:asciiTheme="minorHAnsi" w:hAnsiTheme="minorHAnsi" w:cstheme="minorHAnsi"/>
          <w:sz w:val="22"/>
          <w:szCs w:val="22"/>
        </w:rPr>
        <w:t xml:space="preserve">Now we’ve discussed the important of officers being aware of bias, complying to the equality act and how failing to do this may impact police legitimacy we can talk about how this incident is a hate crime. </w:t>
      </w:r>
    </w:p>
    <w:p w14:paraId="54C78643" w14:textId="77777777" w:rsidR="00A10815" w:rsidRPr="00A10815" w:rsidRDefault="00A10815" w:rsidP="00A10815">
      <w:pPr>
        <w:tabs>
          <w:tab w:val="left" w:pos="6804"/>
        </w:tabs>
        <w:rPr>
          <w:rFonts w:asciiTheme="minorHAnsi" w:hAnsiTheme="minorHAnsi" w:cstheme="minorHAnsi"/>
          <w:sz w:val="22"/>
          <w:szCs w:val="22"/>
        </w:rPr>
      </w:pPr>
      <w:r w:rsidRPr="00A10815">
        <w:rPr>
          <w:rFonts w:asciiTheme="minorHAnsi" w:hAnsiTheme="minorHAnsi" w:cstheme="minorHAnsi"/>
          <w:sz w:val="22"/>
          <w:szCs w:val="22"/>
        </w:rPr>
        <w:br/>
        <w:t>But what is a hate crime? The home officer and NPCC agreed that a hate crime is ‘A criminal offence which is perceived, by the victim or any other person to be motivated by a hostility or prejudice based on a person’s actual or perceived disability, race, religion and belief, sexual orientation and transgender’ (CPS.Gov.uk, 2019)</w:t>
      </w:r>
    </w:p>
    <w:p w14:paraId="05769E49" w14:textId="77777777" w:rsidR="00A10815" w:rsidRPr="00A10815" w:rsidRDefault="00A10815" w:rsidP="00A10815">
      <w:pPr>
        <w:rPr>
          <w:rFonts w:asciiTheme="minorHAnsi" w:hAnsiTheme="minorHAnsi" w:cstheme="minorHAnsi"/>
          <w:sz w:val="22"/>
          <w:szCs w:val="22"/>
        </w:rPr>
      </w:pPr>
    </w:p>
    <w:p w14:paraId="32A2FB89"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We can look at history to highlight the importance of taking hate crimes seriously. Two high profile cases are the deaths of Bijan </w:t>
      </w:r>
      <w:proofErr w:type="spellStart"/>
      <w:r w:rsidRPr="00A10815">
        <w:rPr>
          <w:rFonts w:asciiTheme="minorHAnsi" w:hAnsiTheme="minorHAnsi" w:cstheme="minorHAnsi"/>
          <w:sz w:val="22"/>
          <w:szCs w:val="22"/>
        </w:rPr>
        <w:t>Ebrihimi</w:t>
      </w:r>
      <w:proofErr w:type="spellEnd"/>
      <w:r w:rsidRPr="00A10815">
        <w:rPr>
          <w:rFonts w:asciiTheme="minorHAnsi" w:hAnsiTheme="minorHAnsi" w:cstheme="minorHAnsi"/>
          <w:sz w:val="22"/>
          <w:szCs w:val="22"/>
        </w:rPr>
        <w:t xml:space="preserve"> and Fiona Pilkington. </w:t>
      </w:r>
    </w:p>
    <w:p w14:paraId="31988645" w14:textId="77777777" w:rsidR="00A10815" w:rsidRPr="00A10815" w:rsidRDefault="00A10815" w:rsidP="00A10815">
      <w:pPr>
        <w:rPr>
          <w:rFonts w:asciiTheme="minorHAnsi" w:hAnsiTheme="minorHAnsi" w:cstheme="minorHAnsi"/>
          <w:sz w:val="22"/>
          <w:szCs w:val="22"/>
        </w:rPr>
      </w:pPr>
    </w:p>
    <w:p w14:paraId="4363D431"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Bijan </w:t>
      </w:r>
      <w:proofErr w:type="spellStart"/>
      <w:r w:rsidRPr="00A10815">
        <w:rPr>
          <w:rFonts w:asciiTheme="minorHAnsi" w:hAnsiTheme="minorHAnsi" w:cstheme="minorHAnsi"/>
          <w:sz w:val="22"/>
          <w:szCs w:val="22"/>
        </w:rPr>
        <w:t>Ebrihimi</w:t>
      </w:r>
      <w:proofErr w:type="spellEnd"/>
      <w:r w:rsidRPr="00A10815">
        <w:rPr>
          <w:rFonts w:asciiTheme="minorHAnsi" w:hAnsiTheme="minorHAnsi" w:cstheme="minorHAnsi"/>
          <w:sz w:val="22"/>
          <w:szCs w:val="22"/>
        </w:rPr>
        <w:t xml:space="preserve"> was a refugee who called for assistance from the police. Bijan had multiple problems with his neighbours. These problems escalated over time his neighbours accused him being a paedophile. The risk and severity of these hate crimes escalated to the point where his neighbour beat him and set his body on fire. The police were heavily criticised for failing to take appropriate action. An independent review concluded that the police were guilty of institutional racism and four police officers were filed and two jailed. (BBC NEWS, 2019)</w:t>
      </w:r>
    </w:p>
    <w:p w14:paraId="67D02E72" w14:textId="77777777" w:rsidR="00A10815" w:rsidRPr="00A10815" w:rsidRDefault="00A10815" w:rsidP="00A10815">
      <w:pPr>
        <w:rPr>
          <w:rFonts w:asciiTheme="minorHAnsi" w:hAnsiTheme="minorHAnsi" w:cstheme="minorHAnsi"/>
          <w:sz w:val="22"/>
          <w:szCs w:val="22"/>
        </w:rPr>
      </w:pPr>
    </w:p>
    <w:p w14:paraId="3892B2AB"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The next example we can use if Fiona Pilkington. Fiona Pilkington suffered from a learning disability as a victim of persistent anti-social behaviour. She called the police 33 times in total regarding these issues. However, police failed to connect the dots. Fiona’s mental wellbeing declined so much due to the ASB she sadly committed suicide with her daughter. (BBC NEWS, 2011). Again, this resulted in a misconduct enquiry. </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These are two real and powerful examples of why the police should deal with hate crimes seriously. And highlights the impact hate crimes can have on the mental wellbeing of victims.  </w:t>
      </w:r>
    </w:p>
    <w:p w14:paraId="6EDD0922" w14:textId="77777777" w:rsidR="00A10815" w:rsidRPr="00A10815" w:rsidRDefault="00A10815" w:rsidP="00A10815">
      <w:pPr>
        <w:rPr>
          <w:rFonts w:asciiTheme="minorHAnsi" w:hAnsiTheme="minorHAnsi" w:cstheme="minorHAnsi"/>
          <w:sz w:val="22"/>
          <w:szCs w:val="22"/>
        </w:rPr>
      </w:pPr>
    </w:p>
    <w:p w14:paraId="30B45457"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Witness Care Units (WCUs) are essential to supporting victims and witnesses of a crime. Under the Code of Practice for Victims of Crime (GOV.UK, 2005) the WCU have a series of legal obligations. These include; informing victims/witnesses that they will be required to give evidence and provide a witness in court leaflet. Inform victims of court dates. And inform victims about court results. </w:t>
      </w:r>
      <w:r w:rsidRPr="00A10815">
        <w:rPr>
          <w:rFonts w:asciiTheme="minorHAnsi" w:hAnsiTheme="minorHAnsi" w:cstheme="minorHAnsi"/>
          <w:sz w:val="22"/>
          <w:szCs w:val="22"/>
        </w:rPr>
        <w:br/>
      </w:r>
    </w:p>
    <w:p w14:paraId="1114522B"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The Victim Code of Practice also aims for protect and inform victims of crime and ensure they received the appropriate support. They also hold the police accountable to their victim management. The other benefits of the adhering to the victims code of practice is that it helps in ‘achieving best evidence’ and ensures victims and witnesses feel confident to go to court.</w:t>
      </w:r>
      <w:r w:rsidRPr="00A10815">
        <w:rPr>
          <w:rFonts w:asciiTheme="minorHAnsi" w:hAnsiTheme="minorHAnsi" w:cstheme="minorHAnsi"/>
          <w:sz w:val="22"/>
          <w:szCs w:val="22"/>
        </w:rPr>
        <w:br/>
      </w:r>
      <w:r w:rsidRPr="00A10815">
        <w:rPr>
          <w:rFonts w:asciiTheme="minorHAnsi" w:hAnsiTheme="minorHAnsi" w:cstheme="minorHAnsi"/>
          <w:sz w:val="22"/>
          <w:szCs w:val="22"/>
        </w:rPr>
        <w:lastRenderedPageBreak/>
        <w:br/>
        <w:t xml:space="preserve">Going back to our original scenario of a hate crime, the victim was regularly updated through the investigation. She was informed of investigation updates and court procedures and encouraged and supported through this process. Due to her age and being vulnerable other measures were introduced. </w:t>
      </w:r>
    </w:p>
    <w:p w14:paraId="53A0F6D0" w14:textId="77777777" w:rsidR="00A10815" w:rsidRPr="00A10815" w:rsidRDefault="00A10815" w:rsidP="00A10815">
      <w:pPr>
        <w:rPr>
          <w:rFonts w:asciiTheme="minorHAnsi" w:hAnsiTheme="minorHAnsi" w:cstheme="minorHAnsi"/>
          <w:sz w:val="22"/>
          <w:szCs w:val="22"/>
        </w:rPr>
      </w:pPr>
    </w:p>
    <w:p w14:paraId="6129766E"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As per the Ministry of justice (2011), a series of behavioural indicators of vulnerability or are outlined. These could include difficulty in communicating and difficulty in understanding questions and instructions. When speaking to our elderly lady it was clear that she struggled to retain information and was getting confused easily. Not only was this incident a hate crime, it was a hate crime against a vulnerable person.</w:t>
      </w:r>
    </w:p>
    <w:p w14:paraId="0EB1573F" w14:textId="77777777" w:rsidR="00A10815" w:rsidRPr="00A10815" w:rsidRDefault="00A10815" w:rsidP="00A10815">
      <w:pPr>
        <w:rPr>
          <w:rFonts w:asciiTheme="minorHAnsi" w:hAnsiTheme="minorHAnsi" w:cstheme="minorHAnsi"/>
          <w:sz w:val="22"/>
          <w:szCs w:val="22"/>
        </w:rPr>
      </w:pPr>
    </w:p>
    <w:p w14:paraId="446CB3F9"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Due to these vulnerabilities a different communication approach was required. Clear and open questions were used when speaking to the victim to ensure they can give their account in their own words. Other prudent techniques include avoiding police jargon or abbreviations. This is to enable the victim to clearly understand the messages being passed.</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Additionally, signposting and external agencies can help victim care. An ‘adult at risk’ public protection notice (PPN) was also submitted. PPNs are sent to local authority adult services for consideration of an adult safeguarding measures to be put into place (S42 Care Act 2014). The main purpose of a PPN is to formulate a multi-agency approach when safeguarding a victim. This multi-agency can lead to enhanced care for the victims and protection to vulnerable adults.  </w:t>
      </w:r>
      <w:r w:rsidRPr="00A10815">
        <w:rPr>
          <w:rFonts w:asciiTheme="minorHAnsi" w:hAnsiTheme="minorHAnsi" w:cstheme="minorHAnsi"/>
          <w:sz w:val="22"/>
          <w:szCs w:val="22"/>
        </w:rPr>
        <w:br/>
      </w:r>
      <w:r w:rsidRPr="00A10815">
        <w:rPr>
          <w:rFonts w:asciiTheme="minorHAnsi" w:hAnsiTheme="minorHAnsi" w:cstheme="minorHAnsi"/>
          <w:sz w:val="22"/>
          <w:szCs w:val="22"/>
        </w:rPr>
        <w:br/>
        <w:t>If appropriate a MARAC (Multi-Agency Risk Assessment Conference) may be set up. This is attended by all key agencies, where high risk cases are discussed. The organisations which attended these meetings include the Police, Social Services, Health Representative and housing agencies. The aim of a MARAC meeting is to share information to increase the safety, wellbeing and health of victims. At the end of a MARAC meeting a risk management place is discussed that provides professional support to all those at risk.  (Reducing the Risk, 2019)</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 There is also a national association victim support schemes that can be considered (NAVSS). NAVASS is an independent charity with trained volunteers who contact people following a crime to officer support and advice. Our victim was encouraged to speak to NAVASS. </w:t>
      </w:r>
      <w:r w:rsidRPr="00A10815">
        <w:rPr>
          <w:rFonts w:asciiTheme="minorHAnsi" w:hAnsiTheme="minorHAnsi" w:cstheme="minorHAnsi"/>
          <w:sz w:val="22"/>
          <w:szCs w:val="22"/>
        </w:rPr>
        <w:br/>
      </w:r>
      <w:r w:rsidRPr="00A10815">
        <w:rPr>
          <w:rFonts w:asciiTheme="minorHAnsi" w:hAnsiTheme="minorHAnsi" w:cstheme="minorHAnsi"/>
          <w:sz w:val="22"/>
          <w:szCs w:val="22"/>
        </w:rPr>
        <w:br/>
        <w:t>Gwent Police force also have specialist hate crime liaison officers. There officers were utilised and made aware of the incident to again offer further support to our victim. The Victim Support service could tail a package to our victim to ensure that her welfare is protected, and the suspect gets justice.</w:t>
      </w:r>
    </w:p>
    <w:p w14:paraId="1941381E" w14:textId="77777777" w:rsidR="00A10815" w:rsidRPr="00A10815" w:rsidRDefault="00A10815" w:rsidP="00A10815">
      <w:pPr>
        <w:rPr>
          <w:rFonts w:asciiTheme="minorHAnsi" w:hAnsiTheme="minorHAnsi" w:cstheme="minorHAnsi"/>
          <w:sz w:val="22"/>
          <w:szCs w:val="22"/>
        </w:rPr>
      </w:pPr>
    </w:p>
    <w:p w14:paraId="76129682"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Although not used in this example one consideration with hate crime is restorative justice (RJ). RJ is defined by Tony Marshall (1999) as ‘a process whereby parties with a stake in a specific resolve collectively how to deal with the aftermath of the offence and </w:t>
      </w:r>
      <w:proofErr w:type="spellStart"/>
      <w:r w:rsidRPr="00A10815">
        <w:rPr>
          <w:rFonts w:asciiTheme="minorHAnsi" w:hAnsiTheme="minorHAnsi" w:cstheme="minorHAnsi"/>
          <w:sz w:val="22"/>
          <w:szCs w:val="22"/>
        </w:rPr>
        <w:t>it’s</w:t>
      </w:r>
      <w:proofErr w:type="spellEnd"/>
      <w:r w:rsidRPr="00A10815">
        <w:rPr>
          <w:rFonts w:asciiTheme="minorHAnsi" w:hAnsiTheme="minorHAnsi" w:cstheme="minorHAnsi"/>
          <w:sz w:val="22"/>
          <w:szCs w:val="22"/>
        </w:rPr>
        <w:t xml:space="preserve"> implications for the future’.   A RJ meeting is voluntary and facilitated by a police officer. As per S15 of the Offender Rehabilitation Act 2014 RJ aim is to maximise the offender’s awareness of the impact of offending concerned on the victim. </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In our scenario RJ was an option. Even though the victim reported the incident as a hate crime and has vulnerabilities there’s no way of confirming if the suspect targeted the victim to her age. It may well have been just petty, opportunistic crime. RJ may well highlight to the victim that their actions do have a big impact that individual’s life. </w:t>
      </w:r>
    </w:p>
    <w:p w14:paraId="42250199" w14:textId="77777777" w:rsidR="00A10815" w:rsidRPr="00A10815" w:rsidRDefault="00A10815" w:rsidP="00A10815">
      <w:pPr>
        <w:rPr>
          <w:rFonts w:asciiTheme="minorHAnsi" w:hAnsiTheme="minorHAnsi" w:cstheme="minorHAnsi"/>
          <w:sz w:val="22"/>
          <w:szCs w:val="22"/>
        </w:rPr>
      </w:pPr>
    </w:p>
    <w:p w14:paraId="20BB148A" w14:textId="77777777" w:rsidR="00A10815" w:rsidRPr="00A10815" w:rsidRDefault="00A10815" w:rsidP="00A10815">
      <w:pPr>
        <w:rPr>
          <w:rFonts w:asciiTheme="minorHAnsi" w:hAnsiTheme="minorHAnsi" w:cstheme="minorHAnsi"/>
          <w:sz w:val="22"/>
          <w:szCs w:val="22"/>
        </w:rPr>
      </w:pPr>
      <w:r w:rsidRPr="00A10815">
        <w:rPr>
          <w:rFonts w:asciiTheme="minorHAnsi" w:hAnsiTheme="minorHAnsi" w:cstheme="minorHAnsi"/>
          <w:sz w:val="22"/>
          <w:szCs w:val="22"/>
        </w:rPr>
        <w:t xml:space="preserve">Other benefits of RJ </w:t>
      </w:r>
      <w:proofErr w:type="gramStart"/>
      <w:r w:rsidRPr="00A10815">
        <w:rPr>
          <w:rFonts w:asciiTheme="minorHAnsi" w:hAnsiTheme="minorHAnsi" w:cstheme="minorHAnsi"/>
          <w:sz w:val="22"/>
          <w:szCs w:val="22"/>
        </w:rPr>
        <w:t>is</w:t>
      </w:r>
      <w:proofErr w:type="gramEnd"/>
      <w:r w:rsidRPr="00A10815">
        <w:rPr>
          <w:rFonts w:asciiTheme="minorHAnsi" w:hAnsiTheme="minorHAnsi" w:cstheme="minorHAnsi"/>
          <w:sz w:val="22"/>
          <w:szCs w:val="22"/>
        </w:rPr>
        <w:t xml:space="preserve"> that it provides victim satisfaction and gives the victim a voice in an informal out of court way. It reduces entry into the Criminal Justice System and reduced workload on front line officers. However, the one key consideration with RJ Is the officer needs to consider vulnerability and capacity. In this scenario the victim was vulnerable and lacked full capacity so RJ would not have been a prudent disposal </w:t>
      </w:r>
      <w:r w:rsidRPr="00A10815">
        <w:rPr>
          <w:rFonts w:asciiTheme="minorHAnsi" w:hAnsiTheme="minorHAnsi" w:cstheme="minorHAnsi"/>
          <w:sz w:val="22"/>
          <w:szCs w:val="22"/>
        </w:rPr>
        <w:lastRenderedPageBreak/>
        <w:t xml:space="preserve">method.  </w:t>
      </w:r>
      <w:r w:rsidRPr="00A10815">
        <w:rPr>
          <w:rFonts w:asciiTheme="minorHAnsi" w:hAnsiTheme="minorHAnsi" w:cstheme="minorHAnsi"/>
          <w:sz w:val="22"/>
          <w:szCs w:val="22"/>
        </w:rPr>
        <w:br/>
      </w:r>
      <w:r w:rsidRPr="00A10815">
        <w:rPr>
          <w:rFonts w:asciiTheme="minorHAnsi" w:hAnsiTheme="minorHAnsi" w:cstheme="minorHAnsi"/>
          <w:sz w:val="22"/>
          <w:szCs w:val="22"/>
        </w:rPr>
        <w:br/>
        <w:t>Before we conclude we can look at the police values and discuss how they were implemented. The main values we can discuss is the value of Impartiality and Public Service. As per the College of Policing (College of Policing, 2018) ‘A police service must show impartiality throughout our dealings. This is achieved by being unprejudiced, fair and objective.’</w:t>
      </w:r>
      <w:r w:rsidRPr="00A10815">
        <w:rPr>
          <w:rFonts w:asciiTheme="minorHAnsi" w:hAnsiTheme="minorHAnsi" w:cstheme="minorHAnsi"/>
          <w:sz w:val="22"/>
          <w:szCs w:val="22"/>
        </w:rPr>
        <w:br/>
      </w:r>
      <w:r w:rsidRPr="00A10815">
        <w:rPr>
          <w:rFonts w:asciiTheme="minorHAnsi" w:hAnsiTheme="minorHAnsi" w:cstheme="minorHAnsi"/>
          <w:sz w:val="22"/>
          <w:szCs w:val="22"/>
        </w:rPr>
        <w:br/>
        <w:t>In our scenario we can see how this value was applied. The victim was treated with respect. With unconscious bias it is all too easy to treat people who are different to use with less respect. Our victim was treated with the respect they deserved and taken seriously. Although a low-level offence the impact to the victim was significant and this was acknowledged by taking professional action and not judging the victim.</w:t>
      </w:r>
      <w:r w:rsidRPr="00A10815">
        <w:rPr>
          <w:rFonts w:asciiTheme="minorHAnsi" w:hAnsiTheme="minorHAnsi" w:cstheme="minorHAnsi"/>
          <w:sz w:val="22"/>
          <w:szCs w:val="22"/>
        </w:rPr>
        <w:br/>
      </w:r>
      <w:r w:rsidRPr="00A10815">
        <w:rPr>
          <w:rFonts w:asciiTheme="minorHAnsi" w:hAnsiTheme="minorHAnsi" w:cstheme="minorHAnsi"/>
          <w:sz w:val="22"/>
          <w:szCs w:val="22"/>
        </w:rPr>
        <w:br/>
        <w:t xml:space="preserve">Another key value is Public Service, the College of Policing again states ‘constantly think about how to create all the best possible outcomes for those we serve’ In our scenario this can be evidenced by the signposting. A hate crime liaison officer was tasked to discuss any concerns the victim may have. A PPN was submitted to social services to agree a care package for our victim. And NAVASS were informed. All of these showcases public service to the victim. </w:t>
      </w:r>
    </w:p>
    <w:p w14:paraId="440FB053" w14:textId="77777777" w:rsidR="00A10815" w:rsidRPr="00A10815" w:rsidRDefault="00A10815" w:rsidP="00A10815">
      <w:pPr>
        <w:rPr>
          <w:rFonts w:asciiTheme="minorHAnsi" w:hAnsiTheme="minorHAnsi" w:cstheme="minorHAnsi"/>
          <w:sz w:val="22"/>
          <w:szCs w:val="22"/>
        </w:rPr>
      </w:pPr>
    </w:p>
    <w:p w14:paraId="28EC30DA" w14:textId="77777777" w:rsidR="00A10815" w:rsidRDefault="00A10815" w:rsidP="00A10815">
      <w:r w:rsidRPr="00A10815">
        <w:rPr>
          <w:rFonts w:asciiTheme="minorHAnsi" w:hAnsiTheme="minorHAnsi" w:cstheme="minorHAnsi"/>
          <w:sz w:val="22"/>
          <w:szCs w:val="22"/>
        </w:rPr>
        <w:t>Even though this scenario is a low-level offence, we can see how many dimensions and considerations occurred. As the iconic Pam Kelly, Chief Constable of Gwent police, states ‘We are victim led’. It is the duty and expectation from the public to try and satisfy the expectations and needs of the victim and this is highlighted in this scenario and discussion</w:t>
      </w:r>
      <w:r>
        <w:t xml:space="preserve">. </w:t>
      </w:r>
    </w:p>
    <w:p w14:paraId="081AE6BA" w14:textId="77777777" w:rsidR="00A10815" w:rsidRDefault="00A10815" w:rsidP="00A10815"/>
    <w:p w14:paraId="0B1224A5" w14:textId="77777777" w:rsidR="00A10815" w:rsidRPr="00AF34B0" w:rsidRDefault="00A10815" w:rsidP="00A10815">
      <w:r>
        <w:t>WORD COUNT: 2462</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4578EE4" w14:textId="77777777" w:rsidR="00EA568B" w:rsidRPr="007866A5" w:rsidRDefault="00EA568B" w:rsidP="00EA568B">
      <w:pPr>
        <w:jc w:val="both"/>
        <w:rPr>
          <w:rFonts w:asciiTheme="minorHAnsi" w:hAnsiTheme="minorHAnsi" w:cstheme="minorHAnsi"/>
          <w:b/>
        </w:rPr>
      </w:pPr>
    </w:p>
    <w:p w14:paraId="6E11A874" w14:textId="77777777" w:rsidR="00EA568B" w:rsidRPr="00463669" w:rsidRDefault="00EA568B" w:rsidP="00EA568B">
      <w:pPr>
        <w:jc w:val="both"/>
        <w:rPr>
          <w:rFonts w:asciiTheme="minorHAnsi" w:hAnsiTheme="minorHAnsi" w:cstheme="minorHAnsi"/>
          <w:b/>
          <w:sz w:val="22"/>
          <w:szCs w:val="22"/>
        </w:rPr>
      </w:pPr>
    </w:p>
    <w:p w14:paraId="36784BFF"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For this literacy analysis and debate we first need to reveal our scenario. Once our scenario is illustrated, we can discuss decision making, discretion, conducting investigations and how bias can influence these topics. We will also be confabulating the wider societal issues caused when police officers make decisions. </w:t>
      </w:r>
    </w:p>
    <w:p w14:paraId="4008582B" w14:textId="77777777" w:rsidR="00EA568B" w:rsidRPr="00463669" w:rsidRDefault="00EA568B" w:rsidP="00EA568B">
      <w:pPr>
        <w:jc w:val="both"/>
        <w:rPr>
          <w:rFonts w:asciiTheme="minorHAnsi" w:hAnsiTheme="minorHAnsi" w:cstheme="minorHAnsi"/>
          <w:bCs/>
          <w:sz w:val="22"/>
          <w:szCs w:val="22"/>
        </w:rPr>
      </w:pPr>
    </w:p>
    <w:p w14:paraId="1B2B3DFE"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However, before we can divulge into the crux of this conversation, we need to outline a policing incident. Local CCTV notified the police force control room that a group of 6 youths were smoking from a bong outside a busy shopping centre in South Wales. As a result, observations were passed via the local airwaves.  </w:t>
      </w:r>
    </w:p>
    <w:p w14:paraId="64F600FA" w14:textId="77777777" w:rsidR="00EA568B" w:rsidRPr="00463669" w:rsidRDefault="00EA568B" w:rsidP="00EA568B">
      <w:pPr>
        <w:jc w:val="both"/>
        <w:rPr>
          <w:rFonts w:asciiTheme="minorHAnsi" w:hAnsiTheme="minorHAnsi" w:cstheme="minorHAnsi"/>
          <w:bCs/>
          <w:sz w:val="22"/>
          <w:szCs w:val="22"/>
        </w:rPr>
      </w:pPr>
    </w:p>
    <w:p w14:paraId="4C907081"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Myself and my tutor just happened to be in the local area and near the shopping centre. We decided to drive around to look for the vehicle and youths. We quickly located the vehicle and approached the group to discuss what was going on. It was quickly evident that one male had been smoking cannabis as there was a strong smell of cannabis and one male had red eyes. </w:t>
      </w:r>
    </w:p>
    <w:p w14:paraId="5C38DE1A" w14:textId="77777777" w:rsidR="00EA568B" w:rsidRPr="00463669" w:rsidRDefault="00EA568B" w:rsidP="00EA568B">
      <w:pPr>
        <w:jc w:val="both"/>
        <w:rPr>
          <w:rFonts w:asciiTheme="minorHAnsi" w:hAnsiTheme="minorHAnsi" w:cstheme="minorHAnsi"/>
          <w:bCs/>
          <w:sz w:val="22"/>
          <w:szCs w:val="22"/>
        </w:rPr>
      </w:pPr>
    </w:p>
    <w:p w14:paraId="0CAD721A"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The group were standing next to a vehicle and in the boot of the vehicle was what looked like a homemade bong. The bong was designed from an old fast food drinks bottle. When asked if the group had any cannabis on them or had been smoking, they were honest and admitted to smoking and having a small amount of cannabis in their possession.</w:t>
      </w:r>
    </w:p>
    <w:p w14:paraId="74FEFD13" w14:textId="77777777" w:rsidR="00EA568B" w:rsidRPr="00463669" w:rsidRDefault="00EA568B" w:rsidP="00EA568B">
      <w:pPr>
        <w:jc w:val="both"/>
        <w:rPr>
          <w:rFonts w:asciiTheme="minorHAnsi" w:hAnsiTheme="minorHAnsi" w:cstheme="minorHAnsi"/>
          <w:bCs/>
          <w:sz w:val="22"/>
          <w:szCs w:val="22"/>
        </w:rPr>
      </w:pPr>
    </w:p>
    <w:p w14:paraId="753FB37E"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This gave us the grounds for a Section 23(2) Misuse of Drugs Act 1971 search. The legislation states ‘If a constable has reasonable grounds to suspect that any person is in possession of a controlled drug in contravention  of this act or any regulations made thereunder the constable may search that persona and </w:t>
      </w:r>
      <w:r w:rsidRPr="00463669">
        <w:rPr>
          <w:rFonts w:asciiTheme="minorHAnsi" w:hAnsiTheme="minorHAnsi" w:cstheme="minorHAnsi"/>
          <w:bCs/>
          <w:sz w:val="22"/>
          <w:szCs w:val="22"/>
        </w:rPr>
        <w:lastRenderedPageBreak/>
        <w:t xml:space="preserve">detain him for the purpose of searching him’ (Legislation.gov 1971). The legislation also provides a power to search a vehicle and seize and detain and proceedings found under the misuse of drugs act. </w:t>
      </w:r>
    </w:p>
    <w:p w14:paraId="27D5D0B3"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 </w:t>
      </w:r>
    </w:p>
    <w:p w14:paraId="50B43A78"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The reasonable grounds to suspect came from an array of factors these being; a report of a group smoking </w:t>
      </w:r>
      <w:proofErr w:type="gramStart"/>
      <w:r w:rsidRPr="00463669">
        <w:rPr>
          <w:rFonts w:asciiTheme="minorHAnsi" w:hAnsiTheme="minorHAnsi" w:cstheme="minorHAnsi"/>
          <w:bCs/>
          <w:sz w:val="22"/>
          <w:szCs w:val="22"/>
        </w:rPr>
        <w:t>drugs,</w:t>
      </w:r>
      <w:proofErr w:type="gramEnd"/>
      <w:r w:rsidRPr="00463669">
        <w:rPr>
          <w:rFonts w:asciiTheme="minorHAnsi" w:hAnsiTheme="minorHAnsi" w:cstheme="minorHAnsi"/>
          <w:bCs/>
          <w:sz w:val="22"/>
          <w:szCs w:val="22"/>
        </w:rPr>
        <w:t xml:space="preserve"> the fact one member of the group was under the influence and that a member of the group admitted to having cannabis on their possession. As per the college of policing a stop and search is most likely to be effective when the officer genuinely believes the person has an item in their possession, which was the case in our scenario. (College of Policing, 2019) </w:t>
      </w:r>
    </w:p>
    <w:p w14:paraId="2D33E676" w14:textId="77777777" w:rsidR="00EA568B" w:rsidRPr="00463669" w:rsidRDefault="00EA568B" w:rsidP="00EA568B">
      <w:pPr>
        <w:jc w:val="both"/>
        <w:rPr>
          <w:rFonts w:asciiTheme="minorHAnsi" w:hAnsiTheme="minorHAnsi" w:cstheme="minorHAnsi"/>
          <w:bCs/>
          <w:sz w:val="22"/>
          <w:szCs w:val="22"/>
        </w:rPr>
      </w:pPr>
    </w:p>
    <w:p w14:paraId="3B1D00AE"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As a result of this S23 search was carried out on all 6 of the group and the vehicle. The result was a small bag of cannabis found in the rear of the vehicle and a cannabis warning issued after the relevant intelligence checks were carried out. This disposal method is force policy.</w:t>
      </w:r>
    </w:p>
    <w:p w14:paraId="62AFD572" w14:textId="77777777" w:rsidR="00EA568B" w:rsidRPr="00463669" w:rsidRDefault="00EA568B" w:rsidP="00EA568B">
      <w:pPr>
        <w:jc w:val="both"/>
        <w:rPr>
          <w:rFonts w:asciiTheme="minorHAnsi" w:hAnsiTheme="minorHAnsi" w:cstheme="minorHAnsi"/>
          <w:bCs/>
          <w:sz w:val="22"/>
          <w:szCs w:val="22"/>
        </w:rPr>
      </w:pPr>
    </w:p>
    <w:p w14:paraId="0E9C6623"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 From the outset we can see that this scenario is reasonably straightforward, however there is multiple topics we can discuss. The first is the social and legislative context of conducting a stop search. </w:t>
      </w:r>
    </w:p>
    <w:p w14:paraId="2106F986"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br/>
        <w:t xml:space="preserve">Code A of the Police and Criminal Evidence Act provides a code of practice of officer’s statutory power of stop search. The powers to stop and search must be carried out, fairly, with respect for people and without unlawful discrimination. Furthermore, when a police officer carries out search, they are duty bound to remove unlawful harassment, victimisation and discrimination this is outlined in Section 149 of the Equality Act 2010. </w:t>
      </w:r>
    </w:p>
    <w:p w14:paraId="239F54FC" w14:textId="77777777" w:rsidR="00EA568B" w:rsidRPr="00463669" w:rsidRDefault="00EA568B" w:rsidP="00EA568B">
      <w:pPr>
        <w:jc w:val="both"/>
        <w:rPr>
          <w:rFonts w:asciiTheme="minorHAnsi" w:hAnsiTheme="minorHAnsi" w:cstheme="minorHAnsi"/>
          <w:bCs/>
          <w:sz w:val="22"/>
          <w:szCs w:val="22"/>
        </w:rPr>
      </w:pPr>
    </w:p>
    <w:p w14:paraId="328C1014"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Another essential element of Code A of PACE is that officers must communicate and give a clear explanation of why a search is taking place. Commonly officers use the aide memoir GOWISELY before conducting a search. This is to ensure officers explain the grounds and objective for the search and identify themselves and which station they work out of. CODE A also states that officers must inform the subjects of a search and that they are entitled to a copy of search. Officers must also mention which legal power they are searching under and remind the subjects they are detained for the purpose of the search. ‘GOWISELY’ was given to the group before conducting the search for transparency. </w:t>
      </w:r>
    </w:p>
    <w:p w14:paraId="4251A283" w14:textId="77777777" w:rsidR="00EA568B" w:rsidRPr="00463669" w:rsidRDefault="00EA568B" w:rsidP="00EA568B">
      <w:pPr>
        <w:jc w:val="both"/>
        <w:rPr>
          <w:rFonts w:asciiTheme="minorHAnsi" w:hAnsiTheme="minorHAnsi" w:cstheme="minorHAnsi"/>
          <w:bCs/>
          <w:sz w:val="22"/>
          <w:szCs w:val="22"/>
        </w:rPr>
      </w:pPr>
    </w:p>
    <w:p w14:paraId="50D44DDC"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The history of Stop and Search is much maligned and has had a rooted cultural impact within ethnic minority groups. In 1981 the infamous ‘Operation Swamp; during the Brixton riots was heavily criticised for the police abusing their powers.  The public were shocked as for three days young black men battled with police. </w:t>
      </w:r>
      <w:r w:rsidRPr="00463669">
        <w:rPr>
          <w:rFonts w:asciiTheme="minorHAnsi" w:hAnsiTheme="minorHAnsi" w:cstheme="minorHAnsi"/>
          <w:bCs/>
          <w:sz w:val="22"/>
          <w:szCs w:val="22"/>
        </w:rPr>
        <w:br/>
      </w:r>
      <w:r w:rsidRPr="00463669">
        <w:rPr>
          <w:rFonts w:asciiTheme="minorHAnsi" w:hAnsiTheme="minorHAnsi" w:cstheme="minorHAnsi"/>
          <w:bCs/>
          <w:sz w:val="22"/>
          <w:szCs w:val="22"/>
        </w:rPr>
        <w:br/>
        <w:t>As a result of the riots the home secretary, William Whitelaw, commissioned a public inquiry. (</w:t>
      </w:r>
      <w:proofErr w:type="spellStart"/>
      <w:r w:rsidRPr="00463669">
        <w:rPr>
          <w:rFonts w:asciiTheme="minorHAnsi" w:hAnsiTheme="minorHAnsi" w:cstheme="minorHAnsi"/>
          <w:bCs/>
          <w:sz w:val="22"/>
          <w:szCs w:val="22"/>
        </w:rPr>
        <w:t>GuardianOnline</w:t>
      </w:r>
      <w:proofErr w:type="spellEnd"/>
      <w:r w:rsidRPr="00463669">
        <w:rPr>
          <w:rFonts w:asciiTheme="minorHAnsi" w:hAnsiTheme="minorHAnsi" w:cstheme="minorHAnsi"/>
          <w:bCs/>
          <w:sz w:val="22"/>
          <w:szCs w:val="22"/>
        </w:rPr>
        <w:t>, 2018). The outcome the was the Scarman Report (Scarman, 1981) which found that police were using stop and search indiscriminately and disproportionately against black people. This resulted in the Police and Criminal Evidence Act 1984 being developed which contained a code of practice, include Code A of PACE.</w:t>
      </w:r>
    </w:p>
    <w:p w14:paraId="7BBBDBB1" w14:textId="77777777" w:rsidR="00EA568B" w:rsidRPr="00463669" w:rsidRDefault="00EA568B" w:rsidP="00EA568B">
      <w:pPr>
        <w:jc w:val="both"/>
        <w:rPr>
          <w:rFonts w:asciiTheme="minorHAnsi" w:hAnsiTheme="minorHAnsi" w:cstheme="minorHAnsi"/>
          <w:bCs/>
          <w:sz w:val="22"/>
          <w:szCs w:val="22"/>
        </w:rPr>
      </w:pPr>
    </w:p>
    <w:p w14:paraId="70E80F48"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 Stop and search powers again reached national news following the 1999 murder of Stephen Lawrence. The </w:t>
      </w:r>
      <w:proofErr w:type="spellStart"/>
      <w:r w:rsidRPr="00463669">
        <w:rPr>
          <w:rFonts w:asciiTheme="minorHAnsi" w:hAnsiTheme="minorHAnsi" w:cstheme="minorHAnsi"/>
          <w:bCs/>
          <w:sz w:val="22"/>
          <w:szCs w:val="22"/>
        </w:rPr>
        <w:t>MacPhearson</w:t>
      </w:r>
      <w:proofErr w:type="spellEnd"/>
      <w:r w:rsidRPr="00463669">
        <w:rPr>
          <w:rFonts w:asciiTheme="minorHAnsi" w:hAnsiTheme="minorHAnsi" w:cstheme="minorHAnsi"/>
          <w:bCs/>
          <w:sz w:val="22"/>
          <w:szCs w:val="22"/>
        </w:rPr>
        <w:t xml:space="preserve"> report following the murder of Stephen Lawrence reviewed stop and search forms and found that someone who is black was 4 times more likely to be stopped and search than someone is white. As a result, 70 recommendations were developed including recommendation 61 which states that all a record and copy of all stop searches must be given to the person stopped. Recommendation 62 also ensured that all search records are to be monitored and published. (</w:t>
      </w:r>
      <w:proofErr w:type="spellStart"/>
      <w:r w:rsidRPr="00463669">
        <w:rPr>
          <w:rFonts w:asciiTheme="minorHAnsi" w:hAnsiTheme="minorHAnsi" w:cstheme="minorHAnsi"/>
          <w:bCs/>
          <w:sz w:val="22"/>
          <w:szCs w:val="22"/>
        </w:rPr>
        <w:t>MacPhearson</w:t>
      </w:r>
      <w:proofErr w:type="spellEnd"/>
      <w:r w:rsidRPr="00463669">
        <w:rPr>
          <w:rFonts w:asciiTheme="minorHAnsi" w:hAnsiTheme="minorHAnsi" w:cstheme="minorHAnsi"/>
          <w:bCs/>
          <w:sz w:val="22"/>
          <w:szCs w:val="22"/>
        </w:rPr>
        <w:t>, 1999)</w:t>
      </w:r>
    </w:p>
    <w:p w14:paraId="119F3246" w14:textId="77777777" w:rsidR="00EA568B" w:rsidRPr="00463669" w:rsidRDefault="00EA568B" w:rsidP="00EA568B">
      <w:pPr>
        <w:tabs>
          <w:tab w:val="left" w:pos="6168"/>
        </w:tabs>
        <w:jc w:val="both"/>
        <w:rPr>
          <w:rFonts w:asciiTheme="minorHAnsi" w:hAnsiTheme="minorHAnsi" w:cstheme="minorHAnsi"/>
          <w:bCs/>
          <w:sz w:val="22"/>
          <w:szCs w:val="22"/>
        </w:rPr>
      </w:pPr>
      <w:r w:rsidRPr="00463669">
        <w:rPr>
          <w:rFonts w:asciiTheme="minorHAnsi" w:hAnsiTheme="minorHAnsi" w:cstheme="minorHAnsi"/>
          <w:bCs/>
          <w:sz w:val="22"/>
          <w:szCs w:val="22"/>
        </w:rPr>
        <w:tab/>
      </w:r>
    </w:p>
    <w:p w14:paraId="23585750"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In modern times the black lives matter campaign in 2020 has brought stop and search the forefront of the public mind. HM Chief Inspector of Constabulary, Sir Thomas Winsor stated that police ‘must remain sensitive to valid criticism of disproportionality in stop and search and the use of force’. (Independent, 2020) As a result the NPCC announced a ‘plan of action’ to address racial inequality (Independent/NPCC, 2020)</w:t>
      </w:r>
    </w:p>
    <w:p w14:paraId="0F1A4E2A"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br/>
        <w:t xml:space="preserve">More worrying is that a survey commissioned by the Criminal Justice Alliance (a coalition of 120 organisations) </w:t>
      </w:r>
      <w:r w:rsidRPr="00463669">
        <w:rPr>
          <w:rFonts w:asciiTheme="minorHAnsi" w:hAnsiTheme="minorHAnsi" w:cstheme="minorHAnsi"/>
          <w:bCs/>
          <w:sz w:val="22"/>
          <w:szCs w:val="22"/>
        </w:rPr>
        <w:lastRenderedPageBreak/>
        <w:t xml:space="preserve">found that more than a third of BAME peopled aged between 18 – 30 did not believe police used fair information to decide why they stopped and searched. (Criminal Justice Alliance, 2020). Considering over 2 million people in the UK fit into this group this is great concern. The British police is unique in the world as it is run by policing by consent, this was first established by Robert Peel (Peel. 1895). Policing by consent is the utter bedrock to which the British police force is based on. To have such a large group of the public not consenting to the police actions has large implications. One high profile example is when a similar demographic lost consent for the police in 2011 following the police shooting of Mark Duggan in Tottenham it resulted in a riot in England causing 205 injures, over 3000 arrests and £133m of damage (Guardian, 2011). </w:t>
      </w:r>
    </w:p>
    <w:p w14:paraId="7F355A46" w14:textId="77777777" w:rsidR="00EA568B" w:rsidRPr="00463669" w:rsidRDefault="00EA568B" w:rsidP="00EA568B">
      <w:pPr>
        <w:jc w:val="both"/>
        <w:rPr>
          <w:rFonts w:asciiTheme="minorHAnsi" w:hAnsiTheme="minorHAnsi" w:cstheme="minorHAnsi"/>
          <w:bCs/>
          <w:sz w:val="22"/>
          <w:szCs w:val="22"/>
        </w:rPr>
      </w:pPr>
    </w:p>
    <w:p w14:paraId="3CD53866"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So, as we can see when conducting a stop search it is paramount to conduct it in a legal, ethical and fair manner. When conducting the stop and search in our scenario CODE A of pace was followed and the group were treated with the respect they deserved. This kept in line with engaging in police values.</w:t>
      </w:r>
    </w:p>
    <w:p w14:paraId="5AE17C64" w14:textId="77777777" w:rsidR="00EA568B" w:rsidRPr="00463669" w:rsidRDefault="00EA568B" w:rsidP="00EA568B">
      <w:pPr>
        <w:jc w:val="both"/>
        <w:rPr>
          <w:rFonts w:asciiTheme="minorHAnsi" w:hAnsiTheme="minorHAnsi" w:cstheme="minorHAnsi"/>
          <w:bCs/>
          <w:sz w:val="22"/>
          <w:szCs w:val="22"/>
        </w:rPr>
      </w:pPr>
    </w:p>
    <w:p w14:paraId="176DF248" w14:textId="77777777" w:rsidR="00EA568B" w:rsidRPr="00463669" w:rsidRDefault="00EA568B" w:rsidP="00EA568B">
      <w:pPr>
        <w:jc w:val="both"/>
        <w:rPr>
          <w:rFonts w:asciiTheme="minorHAnsi" w:hAnsiTheme="minorHAnsi" w:cstheme="minorHAnsi"/>
          <w:bCs/>
          <w:sz w:val="22"/>
          <w:szCs w:val="22"/>
        </w:rPr>
      </w:pPr>
    </w:p>
    <w:p w14:paraId="6FF4617C"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Before making the decision to stop and search officers applied the National Decision model (NDM). The NDM provides a consistent and legally correct means of thinking through a situation and making a decision that stands up to scrutiny (College of Policing, 2013). The NDM is a cyclical process whereby officers constantly reassess all aspects of the model. We can use our example of Stop and Search to further explain this. </w:t>
      </w:r>
    </w:p>
    <w:p w14:paraId="0D4CCE22" w14:textId="77777777" w:rsidR="00EA568B" w:rsidRPr="00463669" w:rsidRDefault="00EA568B" w:rsidP="00EA568B">
      <w:pPr>
        <w:jc w:val="both"/>
        <w:rPr>
          <w:rFonts w:asciiTheme="minorHAnsi" w:hAnsiTheme="minorHAnsi" w:cstheme="minorHAnsi"/>
          <w:bCs/>
          <w:sz w:val="22"/>
          <w:szCs w:val="22"/>
        </w:rPr>
      </w:pPr>
    </w:p>
    <w:p w14:paraId="568C9A09"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The first element of the NDM is to gather information and intelligence. In scenario the info and intel </w:t>
      </w:r>
      <w:proofErr w:type="gramStart"/>
      <w:r w:rsidRPr="00463669">
        <w:rPr>
          <w:rFonts w:asciiTheme="minorHAnsi" w:hAnsiTheme="minorHAnsi" w:cstheme="minorHAnsi"/>
          <w:bCs/>
          <w:sz w:val="22"/>
          <w:szCs w:val="22"/>
        </w:rPr>
        <w:t>was</w:t>
      </w:r>
      <w:proofErr w:type="gramEnd"/>
      <w:r w:rsidRPr="00463669">
        <w:rPr>
          <w:rFonts w:asciiTheme="minorHAnsi" w:hAnsiTheme="minorHAnsi" w:cstheme="minorHAnsi"/>
          <w:bCs/>
          <w:sz w:val="22"/>
          <w:szCs w:val="22"/>
        </w:rPr>
        <w:t xml:space="preserve"> first gathered via the personal radio. Once the report was passed officers located the subjects and then used their own observations to build up their knowledge of the information and intelligence. </w:t>
      </w:r>
    </w:p>
    <w:p w14:paraId="6AFE2123" w14:textId="77777777" w:rsidR="00EA568B" w:rsidRPr="00463669" w:rsidRDefault="00EA568B" w:rsidP="00EA568B">
      <w:pPr>
        <w:jc w:val="both"/>
        <w:rPr>
          <w:rFonts w:asciiTheme="minorHAnsi" w:hAnsiTheme="minorHAnsi" w:cstheme="minorHAnsi"/>
          <w:bCs/>
          <w:sz w:val="22"/>
          <w:szCs w:val="22"/>
        </w:rPr>
      </w:pPr>
    </w:p>
    <w:p w14:paraId="324A1BB3"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The next stage is to assess threat and risk and subsequently develop a working strategy. Due to the group consisting of 6 people and only two officers present the main risk was that if the group became aggressive the officers would be heavily outnumbered. To combat this risk tactical communications were used, and officers approached the group with respect. Any questions the group had were answered with detailed explanations and what actions were needed to be taken to resolve the issue. </w:t>
      </w:r>
    </w:p>
    <w:p w14:paraId="60156FBA" w14:textId="77777777" w:rsidR="00EA568B" w:rsidRPr="00463669" w:rsidRDefault="00EA568B" w:rsidP="00EA568B">
      <w:pPr>
        <w:jc w:val="both"/>
        <w:rPr>
          <w:rFonts w:asciiTheme="minorHAnsi" w:hAnsiTheme="minorHAnsi" w:cstheme="minorHAnsi"/>
          <w:bCs/>
          <w:sz w:val="22"/>
          <w:szCs w:val="22"/>
        </w:rPr>
      </w:pPr>
    </w:p>
    <w:p w14:paraId="316C1A46" w14:textId="77777777" w:rsidR="00EA568B" w:rsidRPr="00463669" w:rsidRDefault="00EA568B" w:rsidP="00EA568B">
      <w:pPr>
        <w:jc w:val="both"/>
        <w:rPr>
          <w:rFonts w:asciiTheme="minorHAnsi" w:hAnsiTheme="minorHAnsi" w:cstheme="minorHAnsi"/>
          <w:bCs/>
          <w:sz w:val="22"/>
          <w:szCs w:val="22"/>
        </w:rPr>
      </w:pPr>
    </w:p>
    <w:p w14:paraId="1B38B1E5"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The next stage of the NDM is to consider powers and policies. The main policing power here was S23 of the Misuse of drugs act. There was no obvious offence or necessity to arrest under S24 PACE. </w:t>
      </w:r>
    </w:p>
    <w:p w14:paraId="690D5616" w14:textId="77777777" w:rsidR="00EA568B" w:rsidRPr="00463669" w:rsidRDefault="00EA568B" w:rsidP="00EA568B">
      <w:pPr>
        <w:jc w:val="both"/>
        <w:rPr>
          <w:rFonts w:asciiTheme="minorHAnsi" w:hAnsiTheme="minorHAnsi" w:cstheme="minorHAnsi"/>
          <w:bCs/>
          <w:sz w:val="22"/>
          <w:szCs w:val="22"/>
        </w:rPr>
      </w:pPr>
    </w:p>
    <w:p w14:paraId="3FAC772A"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Moving on, the next element is to identify options and contingencies. If a large amount of cannabis was found a necessity to arrest may come to light.  Searching 6 individuals and a vehicle is also a lengthy process and would result in the group being detained for a long time. The contingency around this was to ask for more units to assist. This request was made to speed up the searching of the group and more units increased control of the situation.</w:t>
      </w:r>
      <w:r w:rsidRPr="00463669">
        <w:rPr>
          <w:rFonts w:asciiTheme="minorHAnsi" w:hAnsiTheme="minorHAnsi" w:cstheme="minorHAnsi"/>
          <w:bCs/>
          <w:sz w:val="22"/>
          <w:szCs w:val="22"/>
        </w:rPr>
        <w:br/>
      </w:r>
      <w:r w:rsidRPr="00463669">
        <w:rPr>
          <w:rFonts w:asciiTheme="minorHAnsi" w:hAnsiTheme="minorHAnsi" w:cstheme="minorHAnsi"/>
          <w:bCs/>
          <w:sz w:val="22"/>
          <w:szCs w:val="22"/>
        </w:rPr>
        <w:br/>
        <w:t xml:space="preserve">The final stage is to </w:t>
      </w:r>
      <w:proofErr w:type="gramStart"/>
      <w:r w:rsidRPr="00463669">
        <w:rPr>
          <w:rFonts w:asciiTheme="minorHAnsi" w:hAnsiTheme="minorHAnsi" w:cstheme="minorHAnsi"/>
          <w:bCs/>
          <w:sz w:val="22"/>
          <w:szCs w:val="22"/>
        </w:rPr>
        <w:t>take action</w:t>
      </w:r>
      <w:proofErr w:type="gramEnd"/>
      <w:r w:rsidRPr="00463669">
        <w:rPr>
          <w:rFonts w:asciiTheme="minorHAnsi" w:hAnsiTheme="minorHAnsi" w:cstheme="minorHAnsi"/>
          <w:bCs/>
          <w:sz w:val="22"/>
          <w:szCs w:val="22"/>
        </w:rPr>
        <w:t xml:space="preserve"> and review what happened. In line with ACPO drug guidelines (ACPO, 2012) checks were made on the individual who admitted the drugs were his. And a cannabis warning was a suitable method of disposal. </w:t>
      </w:r>
    </w:p>
    <w:p w14:paraId="566452AF"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br/>
        <w:t xml:space="preserve">Throughout the NDM the code of ethic </w:t>
      </w:r>
      <w:proofErr w:type="gramStart"/>
      <w:r w:rsidRPr="00463669">
        <w:rPr>
          <w:rFonts w:asciiTheme="minorHAnsi" w:hAnsiTheme="minorHAnsi" w:cstheme="minorHAnsi"/>
          <w:bCs/>
          <w:sz w:val="22"/>
          <w:szCs w:val="22"/>
        </w:rPr>
        <w:t>were</w:t>
      </w:r>
      <w:proofErr w:type="gramEnd"/>
      <w:r w:rsidRPr="00463669">
        <w:rPr>
          <w:rFonts w:asciiTheme="minorHAnsi" w:hAnsiTheme="minorHAnsi" w:cstheme="minorHAnsi"/>
          <w:bCs/>
          <w:sz w:val="22"/>
          <w:szCs w:val="22"/>
        </w:rPr>
        <w:t xml:space="preserve"> applied; authority, respect and courtesy was shown by the officers towards the group and duties and responsibilities were carried out in line with the legalisation. There was no need to use force when detaining members of the </w:t>
      </w:r>
      <w:proofErr w:type="gramStart"/>
      <w:r w:rsidRPr="00463669">
        <w:rPr>
          <w:rFonts w:asciiTheme="minorHAnsi" w:hAnsiTheme="minorHAnsi" w:cstheme="minorHAnsi"/>
          <w:bCs/>
          <w:sz w:val="22"/>
          <w:szCs w:val="22"/>
        </w:rPr>
        <w:t>group</w:t>
      </w:r>
      <w:proofErr w:type="gramEnd"/>
      <w:r w:rsidRPr="00463669">
        <w:rPr>
          <w:rFonts w:asciiTheme="minorHAnsi" w:hAnsiTheme="minorHAnsi" w:cstheme="minorHAnsi"/>
          <w:bCs/>
          <w:sz w:val="22"/>
          <w:szCs w:val="22"/>
        </w:rPr>
        <w:t xml:space="preserve"> but officers should always be aware that even the very minimal contact constitutes as force, as highlighted by R v Dawson 1976. </w:t>
      </w:r>
    </w:p>
    <w:p w14:paraId="61C4E7E7" w14:textId="77777777" w:rsidR="00EA568B" w:rsidRPr="00463669" w:rsidRDefault="00EA568B" w:rsidP="00EA568B">
      <w:pPr>
        <w:jc w:val="both"/>
        <w:rPr>
          <w:rFonts w:asciiTheme="minorHAnsi" w:hAnsiTheme="minorHAnsi" w:cstheme="minorHAnsi"/>
          <w:bCs/>
          <w:sz w:val="22"/>
          <w:szCs w:val="22"/>
        </w:rPr>
      </w:pPr>
    </w:p>
    <w:p w14:paraId="5A016B13" w14:textId="77777777" w:rsidR="00EA568B" w:rsidRPr="00463669" w:rsidRDefault="00EA568B" w:rsidP="00EA568B">
      <w:pPr>
        <w:jc w:val="both"/>
        <w:rPr>
          <w:rFonts w:asciiTheme="minorHAnsi" w:hAnsiTheme="minorHAnsi" w:cstheme="minorHAnsi"/>
          <w:bCs/>
          <w:sz w:val="22"/>
          <w:szCs w:val="22"/>
        </w:rPr>
      </w:pPr>
    </w:p>
    <w:p w14:paraId="03758FCC"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Returning to the Scarman Report (1981) one famous quote is ‘successful policing depends on the exercise of discretion’. Discretion is a key element in the NDM, particularly when assessing options. Police officers must </w:t>
      </w:r>
      <w:r w:rsidRPr="00463669">
        <w:rPr>
          <w:rFonts w:asciiTheme="minorHAnsi" w:hAnsiTheme="minorHAnsi" w:cstheme="minorHAnsi"/>
          <w:bCs/>
          <w:sz w:val="22"/>
          <w:szCs w:val="22"/>
        </w:rPr>
        <w:lastRenderedPageBreak/>
        <w:t xml:space="preserve">be held accountable for their decisions (Millen and Stephens 2011). If discretion is used it must be noted and justifiable. In our scenario discretion was not really an option as the cannabis needed to be seized. But it’s worth considering the option of discretion in the decision-making process. </w:t>
      </w:r>
    </w:p>
    <w:p w14:paraId="501A3B0F" w14:textId="77777777" w:rsidR="00EA568B" w:rsidRPr="00463669" w:rsidRDefault="00EA568B" w:rsidP="00EA568B">
      <w:pPr>
        <w:jc w:val="both"/>
        <w:rPr>
          <w:rFonts w:asciiTheme="minorHAnsi" w:hAnsiTheme="minorHAnsi" w:cstheme="minorHAnsi"/>
          <w:bCs/>
          <w:sz w:val="22"/>
          <w:szCs w:val="22"/>
        </w:rPr>
      </w:pPr>
    </w:p>
    <w:p w14:paraId="19587FE6"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The ACPO risk principles should also be considered when using discretion. For example, principle 2 states that ‘officers have a duty to make risk decisions on behalf the public they serve’ (College of Policing, 2013) Taking certain actions may impact the local community and this also needs to be factored into the decision making process. </w:t>
      </w:r>
    </w:p>
    <w:p w14:paraId="732F5F09" w14:textId="77777777" w:rsidR="00EA568B" w:rsidRPr="00463669" w:rsidRDefault="00EA568B" w:rsidP="00EA568B">
      <w:pPr>
        <w:jc w:val="both"/>
        <w:rPr>
          <w:rFonts w:asciiTheme="minorHAnsi" w:hAnsiTheme="minorHAnsi" w:cstheme="minorHAnsi"/>
          <w:bCs/>
          <w:sz w:val="22"/>
          <w:szCs w:val="22"/>
        </w:rPr>
      </w:pPr>
    </w:p>
    <w:p w14:paraId="7B5DDD38"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There are often barriers to decision making, one of these being unconscious bias. Unconscious bias happens automatically within our brains, it is out of control and is triggered by our brain making quick judgements and assessments of people and situations. These triggers are influenced by our background, cultural environment and personal experiences. (Banks, 2009)</w:t>
      </w:r>
    </w:p>
    <w:p w14:paraId="5AFC9E69" w14:textId="77777777" w:rsidR="00EA568B" w:rsidRPr="00463669" w:rsidRDefault="00EA568B" w:rsidP="00EA568B">
      <w:pPr>
        <w:jc w:val="both"/>
        <w:rPr>
          <w:rFonts w:asciiTheme="minorHAnsi" w:hAnsiTheme="minorHAnsi" w:cstheme="minorHAnsi"/>
          <w:bCs/>
          <w:sz w:val="22"/>
          <w:szCs w:val="22"/>
        </w:rPr>
      </w:pPr>
    </w:p>
    <w:p w14:paraId="2855FFBB"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On such unconscious bias is affinity bias. This is where we prefer people who are like us (career, gender, accent, sexual orientation). The role of a police officer is to be impartial. When a police officer attests into public service under S29 of the Police Act 1996 One line in the attestation is ‘upholding fundamental human rights and according equal respect to all people.’</w:t>
      </w:r>
    </w:p>
    <w:p w14:paraId="06407DC2"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br/>
        <w:t>As we can see an unconscious affinity bias may contradict this duty of office. Therefore, before making any decision, discretionally or not, officer should be aware of how unconscious bias may impact their decision. Officers who have affinity bias with a subject may be more willing to offer discretion as a means of disposal. (Lai, 2014)</w:t>
      </w:r>
    </w:p>
    <w:p w14:paraId="73252043" w14:textId="77777777" w:rsidR="00EA568B" w:rsidRPr="00463669" w:rsidRDefault="00EA568B" w:rsidP="00EA568B">
      <w:pPr>
        <w:jc w:val="both"/>
        <w:rPr>
          <w:rFonts w:asciiTheme="minorHAnsi" w:hAnsiTheme="minorHAnsi" w:cstheme="minorHAnsi"/>
          <w:bCs/>
          <w:sz w:val="22"/>
          <w:szCs w:val="22"/>
        </w:rPr>
      </w:pPr>
    </w:p>
    <w:p w14:paraId="7253B1A8" w14:textId="77777777" w:rsidR="00EA568B" w:rsidRPr="00463669" w:rsidRDefault="00EA568B" w:rsidP="00EA568B">
      <w:pPr>
        <w:jc w:val="both"/>
        <w:rPr>
          <w:rFonts w:asciiTheme="minorHAnsi" w:hAnsiTheme="minorHAnsi" w:cstheme="minorHAnsi"/>
          <w:bCs/>
          <w:sz w:val="22"/>
          <w:szCs w:val="22"/>
        </w:rPr>
      </w:pPr>
    </w:p>
    <w:p w14:paraId="0FD37C09"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 xml:space="preserve">The final element of this discussion is that after the incident information needs to be documented and any investigatory work is compliant to the criminal procedure and investigations act (CIPA). The code of practice is issued under Part 2 of the CIPA act. It sets out the way officers are to record, retain and reveal to the prosecutor material obtained in a criminal investigation. </w:t>
      </w:r>
    </w:p>
    <w:p w14:paraId="3F4A1E71" w14:textId="77777777" w:rsidR="00EA568B" w:rsidRPr="00463669" w:rsidRDefault="00EA568B" w:rsidP="00EA568B">
      <w:pPr>
        <w:jc w:val="both"/>
        <w:rPr>
          <w:rFonts w:asciiTheme="minorHAnsi" w:hAnsiTheme="minorHAnsi" w:cstheme="minorHAnsi"/>
          <w:bCs/>
          <w:sz w:val="22"/>
          <w:szCs w:val="22"/>
        </w:rPr>
      </w:pPr>
    </w:p>
    <w:p w14:paraId="197E9F3C"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The code states that an investigation conducted must be with a view to ascertain whether a person should be charged with an offence. In our scenario the offence in question was S5 Misuse of Drugs act – possession of a controlled substance. It was clear that the offence has been committed and a male state that he was in possession of a controlled substance.</w:t>
      </w:r>
      <w:r w:rsidRPr="00463669">
        <w:rPr>
          <w:rFonts w:asciiTheme="minorHAnsi" w:hAnsiTheme="minorHAnsi" w:cstheme="minorHAnsi"/>
          <w:bCs/>
          <w:sz w:val="22"/>
          <w:szCs w:val="22"/>
        </w:rPr>
        <w:br/>
      </w:r>
      <w:r w:rsidRPr="00463669">
        <w:rPr>
          <w:rFonts w:asciiTheme="minorHAnsi" w:hAnsiTheme="minorHAnsi" w:cstheme="minorHAnsi"/>
          <w:bCs/>
          <w:sz w:val="22"/>
          <w:szCs w:val="22"/>
        </w:rPr>
        <w:br/>
        <w:t xml:space="preserve">As per ACPO and force policy a formal cannabis was issued as disposal method for offence. Information was needed to be recorded and retained, this information being the details of the group, the stop search forms, updating the PNC record of the male who the warning was issued to, and booking in the cannabis as property. </w:t>
      </w:r>
      <w:r w:rsidRPr="00463669">
        <w:rPr>
          <w:rFonts w:asciiTheme="minorHAnsi" w:hAnsiTheme="minorHAnsi" w:cstheme="minorHAnsi"/>
          <w:bCs/>
          <w:sz w:val="22"/>
          <w:szCs w:val="22"/>
        </w:rPr>
        <w:br/>
      </w:r>
    </w:p>
    <w:p w14:paraId="29AF6D88"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CIPA  23 sets out comprehensive guidelines to retaining information for a policing purpose. In our scenario even though the male was disposed of by means of a formal warning. The relevant information had a policing purpose and needed to be documented.</w:t>
      </w:r>
    </w:p>
    <w:p w14:paraId="4A09BEBE" w14:textId="77777777" w:rsidR="00EA568B" w:rsidRPr="00463669" w:rsidRDefault="00EA568B" w:rsidP="00EA568B">
      <w:pPr>
        <w:jc w:val="both"/>
        <w:rPr>
          <w:rFonts w:asciiTheme="minorHAnsi" w:hAnsiTheme="minorHAnsi" w:cstheme="minorHAnsi"/>
          <w:bCs/>
          <w:sz w:val="22"/>
          <w:szCs w:val="22"/>
        </w:rPr>
      </w:pPr>
    </w:p>
    <w:p w14:paraId="72E74BAC"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Furthermore, as per the Data Protection Act (1998) the retraining of the information was justified, proportionate, lawful, necessary and maintained ethically. These are outlined in the data protection principles. The policing purpose for retaining information and data was to prevent and detect crime.</w:t>
      </w:r>
      <w:r w:rsidRPr="00463669">
        <w:rPr>
          <w:rFonts w:asciiTheme="minorHAnsi" w:hAnsiTheme="minorHAnsi" w:cstheme="minorHAnsi"/>
          <w:bCs/>
          <w:sz w:val="22"/>
          <w:szCs w:val="22"/>
        </w:rPr>
        <w:br/>
      </w:r>
      <w:r w:rsidRPr="00463669">
        <w:rPr>
          <w:rFonts w:asciiTheme="minorHAnsi" w:hAnsiTheme="minorHAnsi" w:cstheme="minorHAnsi"/>
          <w:bCs/>
          <w:sz w:val="22"/>
          <w:szCs w:val="22"/>
        </w:rPr>
        <w:br/>
        <w:t>Additionally after the group were sent on their way officers submitted an intel log to the local force area. The reason for this was so other officers could keep an eye out for the group who were happy to be smoking cannabis in a busy shopping centre on a Sunday afternoon. The information recorded from this investigation had another policing purpose of maintaining law and order.</w:t>
      </w:r>
    </w:p>
    <w:p w14:paraId="2E4EFEB8" w14:textId="77777777" w:rsidR="00EA568B" w:rsidRPr="00463669" w:rsidRDefault="00EA568B" w:rsidP="00EA568B">
      <w:pPr>
        <w:jc w:val="both"/>
        <w:rPr>
          <w:rFonts w:asciiTheme="minorHAnsi" w:hAnsiTheme="minorHAnsi" w:cstheme="minorHAnsi"/>
          <w:bCs/>
          <w:sz w:val="22"/>
          <w:szCs w:val="22"/>
        </w:rPr>
      </w:pPr>
    </w:p>
    <w:p w14:paraId="278EAECA"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t>With stop and search such a socially prevalent issue there are a lot of freedom of information requests from MPs and Journalists alike to look for any discrepancies in the data. The freedom of information act 2000 – chapter 36 outlines the general right of access to information. There is a realistic chance that a third party will put in a FOI request to obtain the stop and search data of Gwent police. Again, this is way all information should be recorded ethically.</w:t>
      </w:r>
    </w:p>
    <w:p w14:paraId="27D43BF9" w14:textId="77777777" w:rsidR="00EA568B" w:rsidRPr="00463669" w:rsidRDefault="00EA568B" w:rsidP="00EA568B">
      <w:pPr>
        <w:jc w:val="both"/>
        <w:rPr>
          <w:rFonts w:asciiTheme="minorHAnsi" w:hAnsiTheme="minorHAnsi" w:cstheme="minorHAnsi"/>
          <w:bCs/>
          <w:sz w:val="22"/>
          <w:szCs w:val="22"/>
        </w:rPr>
      </w:pPr>
      <w:r w:rsidRPr="00463669">
        <w:rPr>
          <w:rFonts w:asciiTheme="minorHAnsi" w:hAnsiTheme="minorHAnsi" w:cstheme="minorHAnsi"/>
          <w:bCs/>
          <w:sz w:val="22"/>
          <w:szCs w:val="22"/>
        </w:rPr>
        <w:br/>
        <w:t xml:space="preserve">To conclude, we can see how even a simple stop and search has many social, legal, ethical and decision-making issue. After reflecting on these issues, we can clearly see that officers should always be aware on how the public perceive police actions and that actions should be justified, explained and documented. </w:t>
      </w:r>
    </w:p>
    <w:p w14:paraId="140D88F7" w14:textId="77777777" w:rsidR="00EA568B" w:rsidRPr="00463669" w:rsidRDefault="00EA568B" w:rsidP="00EA568B">
      <w:pPr>
        <w:jc w:val="both"/>
        <w:rPr>
          <w:rFonts w:asciiTheme="minorHAnsi" w:hAnsiTheme="minorHAnsi" w:cstheme="minorHAnsi"/>
          <w:bCs/>
          <w:sz w:val="22"/>
          <w:szCs w:val="22"/>
        </w:rPr>
      </w:pPr>
    </w:p>
    <w:p w14:paraId="363979F9" w14:textId="664C2679" w:rsidR="006C7CA5" w:rsidRPr="00463669" w:rsidRDefault="00EA568B" w:rsidP="00EA568B">
      <w:pPr>
        <w:ind w:right="107"/>
        <w:jc w:val="both"/>
        <w:rPr>
          <w:sz w:val="22"/>
          <w:szCs w:val="22"/>
        </w:rPr>
      </w:pPr>
      <w:r w:rsidRPr="00463669">
        <w:rPr>
          <w:rFonts w:asciiTheme="minorHAnsi" w:hAnsiTheme="minorHAnsi" w:cstheme="minorHAnsi"/>
          <w:bCs/>
          <w:sz w:val="22"/>
          <w:szCs w:val="22"/>
        </w:rPr>
        <w:t xml:space="preserve">The NDM is a decision-making tool to ensure that all decisions are compliant. Discretion is an important tool for police officers, but unconscious bias is something officers should be very aware with to ensure ethical decisions are made. Finally, any investigation needs to comply with </w:t>
      </w:r>
      <w:proofErr w:type="gramStart"/>
      <w:r w:rsidRPr="00463669">
        <w:rPr>
          <w:rFonts w:asciiTheme="minorHAnsi" w:hAnsiTheme="minorHAnsi" w:cstheme="minorHAnsi"/>
          <w:bCs/>
          <w:sz w:val="22"/>
          <w:szCs w:val="22"/>
        </w:rPr>
        <w:t>CIPA</w:t>
      </w:r>
      <w:proofErr w:type="gramEnd"/>
      <w:r w:rsidRPr="00463669">
        <w:rPr>
          <w:rFonts w:asciiTheme="minorHAnsi" w:hAnsiTheme="minorHAnsi" w:cstheme="minorHAnsi"/>
          <w:bCs/>
          <w:sz w:val="22"/>
          <w:szCs w:val="22"/>
        </w:rPr>
        <w:t xml:space="preserve"> and information recorded on the correct way. The skills and analysis of this job are transferable across all policing – the same standards and principles apply to a simple cannabis warning to a murder.</w:t>
      </w:r>
    </w:p>
    <w:p w14:paraId="55E8513B" w14:textId="77777777" w:rsidR="00025650" w:rsidRPr="00270EEB" w:rsidRDefault="00025650" w:rsidP="00E6298B">
      <w:pPr>
        <w:ind w:right="107"/>
        <w:jc w:val="both"/>
        <w:rPr>
          <w:sz w:val="24"/>
          <w:szCs w:val="24"/>
        </w:rPr>
      </w:pPr>
    </w:p>
    <w:p w14:paraId="4C811AD3" w14:textId="5A5D0886" w:rsidR="00025650" w:rsidRPr="00870649" w:rsidRDefault="00870649" w:rsidP="00E6298B">
      <w:pPr>
        <w:ind w:right="107"/>
        <w:jc w:val="both"/>
        <w:rPr>
          <w:b/>
          <w:bCs/>
          <w:sz w:val="24"/>
          <w:szCs w:val="24"/>
        </w:rPr>
      </w:pPr>
      <w:r>
        <w:rPr>
          <w:b/>
          <w:bCs/>
          <w:sz w:val="24"/>
          <w:szCs w:val="24"/>
        </w:rPr>
        <w:t>Word Count: 2468</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875341" w:rsidRPr="00875341" w14:paraId="77935F2B" w14:textId="77777777" w:rsidTr="003B5C18">
        <w:tc>
          <w:tcPr>
            <w:tcW w:w="2462" w:type="dxa"/>
            <w:shd w:val="clear" w:color="auto" w:fill="auto"/>
          </w:tcPr>
          <w:p w14:paraId="1D3EE6E1" w14:textId="77777777" w:rsidR="00875341" w:rsidRPr="00875341" w:rsidRDefault="00875341" w:rsidP="00875341">
            <w:pPr>
              <w:ind w:right="107"/>
              <w:jc w:val="center"/>
              <w:rPr>
                <w:b/>
                <w:sz w:val="24"/>
                <w:szCs w:val="24"/>
              </w:rPr>
            </w:pPr>
          </w:p>
          <w:p w14:paraId="112BF8B1" w14:textId="77777777" w:rsidR="00875341" w:rsidRPr="00875341" w:rsidRDefault="00875341" w:rsidP="00875341">
            <w:pPr>
              <w:ind w:right="107"/>
              <w:jc w:val="center"/>
              <w:rPr>
                <w:b/>
                <w:sz w:val="24"/>
                <w:szCs w:val="24"/>
              </w:rPr>
            </w:pPr>
            <w:r w:rsidRPr="00875341">
              <w:rPr>
                <w:b/>
                <w:sz w:val="24"/>
                <w:szCs w:val="24"/>
              </w:rPr>
              <w:t xml:space="preserve">Area of Development </w:t>
            </w:r>
          </w:p>
          <w:p w14:paraId="5EF0658E" w14:textId="77777777" w:rsidR="00875341" w:rsidRPr="00875341" w:rsidRDefault="00875341" w:rsidP="00875341">
            <w:pPr>
              <w:ind w:right="107"/>
              <w:jc w:val="center"/>
              <w:rPr>
                <w:b/>
                <w:sz w:val="24"/>
                <w:szCs w:val="24"/>
              </w:rPr>
            </w:pPr>
          </w:p>
        </w:tc>
        <w:tc>
          <w:tcPr>
            <w:tcW w:w="2433" w:type="dxa"/>
            <w:shd w:val="clear" w:color="auto" w:fill="auto"/>
          </w:tcPr>
          <w:p w14:paraId="4774EED3" w14:textId="77777777" w:rsidR="00875341" w:rsidRPr="00875341" w:rsidRDefault="00875341" w:rsidP="00875341">
            <w:pPr>
              <w:ind w:right="107"/>
              <w:jc w:val="center"/>
              <w:rPr>
                <w:b/>
                <w:sz w:val="24"/>
                <w:szCs w:val="24"/>
              </w:rPr>
            </w:pPr>
          </w:p>
          <w:p w14:paraId="6BFAE041" w14:textId="77777777" w:rsidR="00875341" w:rsidRPr="00875341" w:rsidRDefault="00875341" w:rsidP="00875341">
            <w:pPr>
              <w:ind w:right="107"/>
              <w:jc w:val="center"/>
              <w:rPr>
                <w:b/>
                <w:sz w:val="24"/>
                <w:szCs w:val="24"/>
              </w:rPr>
            </w:pPr>
            <w:r w:rsidRPr="00875341">
              <w:rPr>
                <w:b/>
                <w:sz w:val="24"/>
                <w:szCs w:val="24"/>
              </w:rPr>
              <w:t>How it will be achieved</w:t>
            </w:r>
          </w:p>
        </w:tc>
        <w:tc>
          <w:tcPr>
            <w:tcW w:w="2426" w:type="dxa"/>
            <w:shd w:val="clear" w:color="auto" w:fill="auto"/>
          </w:tcPr>
          <w:p w14:paraId="127A0205" w14:textId="77777777" w:rsidR="00875341" w:rsidRPr="00875341" w:rsidRDefault="00875341" w:rsidP="00875341">
            <w:pPr>
              <w:ind w:right="107"/>
              <w:jc w:val="center"/>
              <w:rPr>
                <w:b/>
                <w:sz w:val="24"/>
                <w:szCs w:val="24"/>
              </w:rPr>
            </w:pPr>
          </w:p>
          <w:p w14:paraId="6DAC3C93" w14:textId="77777777" w:rsidR="00875341" w:rsidRPr="00875341" w:rsidRDefault="00875341" w:rsidP="00875341">
            <w:pPr>
              <w:ind w:right="107"/>
              <w:jc w:val="center"/>
              <w:rPr>
                <w:b/>
                <w:sz w:val="24"/>
                <w:szCs w:val="24"/>
              </w:rPr>
            </w:pPr>
            <w:r w:rsidRPr="00875341">
              <w:rPr>
                <w:b/>
                <w:sz w:val="24"/>
                <w:szCs w:val="24"/>
              </w:rPr>
              <w:t>Who can provide support</w:t>
            </w:r>
          </w:p>
        </w:tc>
        <w:tc>
          <w:tcPr>
            <w:tcW w:w="2426" w:type="dxa"/>
            <w:shd w:val="clear" w:color="auto" w:fill="auto"/>
          </w:tcPr>
          <w:p w14:paraId="039CCD8A" w14:textId="77777777" w:rsidR="00875341" w:rsidRPr="00875341" w:rsidRDefault="00875341" w:rsidP="00875341">
            <w:pPr>
              <w:jc w:val="center"/>
              <w:rPr>
                <w:b/>
                <w:bCs/>
                <w:sz w:val="24"/>
                <w:szCs w:val="24"/>
              </w:rPr>
            </w:pPr>
          </w:p>
          <w:p w14:paraId="3185DD9B" w14:textId="77777777" w:rsidR="00875341" w:rsidRPr="00875341" w:rsidRDefault="00875341" w:rsidP="00875341">
            <w:pPr>
              <w:jc w:val="center"/>
              <w:rPr>
                <w:b/>
                <w:bCs/>
                <w:sz w:val="24"/>
                <w:szCs w:val="24"/>
              </w:rPr>
            </w:pPr>
            <w:r w:rsidRPr="00875341">
              <w:rPr>
                <w:b/>
                <w:bCs/>
                <w:sz w:val="24"/>
                <w:szCs w:val="24"/>
              </w:rPr>
              <w:t>Timeline</w:t>
            </w:r>
          </w:p>
        </w:tc>
      </w:tr>
      <w:tr w:rsidR="00875341" w:rsidRPr="00875341" w14:paraId="7AD3BE2A" w14:textId="77777777" w:rsidTr="003B5C18">
        <w:tc>
          <w:tcPr>
            <w:tcW w:w="2462" w:type="dxa"/>
            <w:shd w:val="clear" w:color="auto" w:fill="auto"/>
          </w:tcPr>
          <w:p w14:paraId="6BB6E8FB" w14:textId="77777777" w:rsidR="00875341" w:rsidRPr="00875341" w:rsidRDefault="00875341" w:rsidP="00875341">
            <w:pPr>
              <w:ind w:right="107"/>
              <w:jc w:val="both"/>
              <w:rPr>
                <w:sz w:val="18"/>
                <w:szCs w:val="18"/>
              </w:rPr>
            </w:pPr>
            <w:r w:rsidRPr="00875341">
              <w:rPr>
                <w:sz w:val="18"/>
                <w:szCs w:val="18"/>
              </w:rPr>
              <w:t>Case files</w:t>
            </w:r>
          </w:p>
          <w:p w14:paraId="6314E8D5" w14:textId="77777777" w:rsidR="00875341" w:rsidRPr="00875341" w:rsidRDefault="00875341" w:rsidP="00875341">
            <w:pPr>
              <w:ind w:right="107"/>
              <w:jc w:val="both"/>
              <w:rPr>
                <w:sz w:val="18"/>
                <w:szCs w:val="18"/>
              </w:rPr>
            </w:pPr>
          </w:p>
          <w:p w14:paraId="343512C3" w14:textId="77777777" w:rsidR="00875341" w:rsidRPr="00875341" w:rsidRDefault="00875341" w:rsidP="00875341">
            <w:pPr>
              <w:ind w:right="107"/>
              <w:jc w:val="both"/>
              <w:rPr>
                <w:sz w:val="18"/>
                <w:szCs w:val="18"/>
              </w:rPr>
            </w:pPr>
          </w:p>
          <w:p w14:paraId="731DA571" w14:textId="77777777" w:rsidR="00875341" w:rsidRPr="00875341" w:rsidRDefault="00875341" w:rsidP="00875341">
            <w:pPr>
              <w:ind w:right="107"/>
              <w:jc w:val="both"/>
              <w:rPr>
                <w:sz w:val="18"/>
                <w:szCs w:val="18"/>
              </w:rPr>
            </w:pPr>
          </w:p>
          <w:p w14:paraId="5360E1C0" w14:textId="77777777" w:rsidR="00875341" w:rsidRPr="00875341" w:rsidRDefault="00875341" w:rsidP="00875341">
            <w:pPr>
              <w:ind w:right="107"/>
              <w:jc w:val="both"/>
              <w:rPr>
                <w:sz w:val="18"/>
                <w:szCs w:val="18"/>
              </w:rPr>
            </w:pPr>
          </w:p>
          <w:p w14:paraId="46C16CC6" w14:textId="77777777" w:rsidR="00875341" w:rsidRPr="00875341" w:rsidRDefault="00875341" w:rsidP="00875341">
            <w:pPr>
              <w:ind w:right="107"/>
              <w:jc w:val="both"/>
              <w:rPr>
                <w:sz w:val="18"/>
                <w:szCs w:val="18"/>
              </w:rPr>
            </w:pPr>
          </w:p>
          <w:p w14:paraId="0576C299" w14:textId="77777777" w:rsidR="00875341" w:rsidRPr="00875341" w:rsidRDefault="00875341" w:rsidP="00875341">
            <w:pPr>
              <w:ind w:right="107"/>
              <w:jc w:val="both"/>
              <w:rPr>
                <w:sz w:val="18"/>
                <w:szCs w:val="18"/>
              </w:rPr>
            </w:pPr>
          </w:p>
          <w:p w14:paraId="381412D1" w14:textId="77777777" w:rsidR="00875341" w:rsidRPr="00875341" w:rsidRDefault="00875341" w:rsidP="00875341">
            <w:pPr>
              <w:ind w:right="107"/>
              <w:jc w:val="both"/>
              <w:rPr>
                <w:sz w:val="18"/>
                <w:szCs w:val="18"/>
              </w:rPr>
            </w:pPr>
          </w:p>
          <w:p w14:paraId="7522AE58" w14:textId="77777777" w:rsidR="00875341" w:rsidRPr="00875341" w:rsidRDefault="00875341" w:rsidP="00875341">
            <w:pPr>
              <w:ind w:right="107"/>
              <w:jc w:val="both"/>
              <w:rPr>
                <w:sz w:val="18"/>
                <w:szCs w:val="18"/>
              </w:rPr>
            </w:pPr>
          </w:p>
          <w:p w14:paraId="4E875EAD" w14:textId="77777777" w:rsidR="00875341" w:rsidRPr="00875341" w:rsidRDefault="00875341" w:rsidP="00875341">
            <w:pPr>
              <w:ind w:right="107"/>
              <w:jc w:val="both"/>
              <w:rPr>
                <w:sz w:val="18"/>
                <w:szCs w:val="18"/>
              </w:rPr>
            </w:pPr>
          </w:p>
        </w:tc>
        <w:tc>
          <w:tcPr>
            <w:tcW w:w="2433" w:type="dxa"/>
            <w:shd w:val="clear" w:color="auto" w:fill="auto"/>
          </w:tcPr>
          <w:p w14:paraId="3A4804AA" w14:textId="77777777" w:rsidR="00875341" w:rsidRPr="00875341" w:rsidRDefault="00875341" w:rsidP="00875341">
            <w:pPr>
              <w:ind w:right="107"/>
              <w:jc w:val="both"/>
              <w:rPr>
                <w:sz w:val="18"/>
                <w:szCs w:val="18"/>
              </w:rPr>
            </w:pPr>
            <w:r w:rsidRPr="00875341">
              <w:rPr>
                <w:sz w:val="18"/>
                <w:szCs w:val="18"/>
              </w:rPr>
              <w:t>This can be achieved in many ways which are bullet pointed below:</w:t>
            </w:r>
          </w:p>
          <w:p w14:paraId="77E7C439" w14:textId="77777777" w:rsidR="00875341" w:rsidRPr="00875341" w:rsidRDefault="00875341" w:rsidP="00875341">
            <w:pPr>
              <w:ind w:right="107"/>
              <w:jc w:val="both"/>
              <w:rPr>
                <w:sz w:val="18"/>
                <w:szCs w:val="18"/>
              </w:rPr>
            </w:pPr>
          </w:p>
          <w:p w14:paraId="115FB014" w14:textId="77777777" w:rsidR="00875341" w:rsidRPr="00875341" w:rsidRDefault="00875341" w:rsidP="00875341">
            <w:pPr>
              <w:ind w:right="107"/>
              <w:jc w:val="both"/>
              <w:rPr>
                <w:sz w:val="18"/>
                <w:szCs w:val="18"/>
              </w:rPr>
            </w:pPr>
            <w:r w:rsidRPr="00875341">
              <w:rPr>
                <w:sz w:val="18"/>
                <w:szCs w:val="18"/>
              </w:rPr>
              <w:t>More handovers</w:t>
            </w:r>
          </w:p>
          <w:p w14:paraId="1EF29C00" w14:textId="77777777" w:rsidR="00875341" w:rsidRPr="00875341" w:rsidRDefault="00875341" w:rsidP="00875341">
            <w:pPr>
              <w:ind w:right="107"/>
              <w:jc w:val="both"/>
              <w:rPr>
                <w:sz w:val="18"/>
                <w:szCs w:val="18"/>
              </w:rPr>
            </w:pPr>
          </w:p>
          <w:p w14:paraId="5C577055" w14:textId="77777777" w:rsidR="00875341" w:rsidRPr="00875341" w:rsidRDefault="00875341" w:rsidP="00875341">
            <w:pPr>
              <w:ind w:right="107"/>
              <w:jc w:val="both"/>
              <w:rPr>
                <w:sz w:val="18"/>
                <w:szCs w:val="18"/>
              </w:rPr>
            </w:pPr>
            <w:r w:rsidRPr="00875341">
              <w:rPr>
                <w:sz w:val="18"/>
                <w:szCs w:val="18"/>
              </w:rPr>
              <w:t>Assisting other officers with their case files</w:t>
            </w:r>
          </w:p>
          <w:p w14:paraId="217D5FE5" w14:textId="77777777" w:rsidR="00875341" w:rsidRPr="00875341" w:rsidRDefault="00875341" w:rsidP="00875341">
            <w:pPr>
              <w:ind w:right="107"/>
              <w:jc w:val="both"/>
              <w:rPr>
                <w:sz w:val="18"/>
                <w:szCs w:val="18"/>
              </w:rPr>
            </w:pPr>
          </w:p>
          <w:p w14:paraId="61D4A70F" w14:textId="77777777" w:rsidR="00875341" w:rsidRPr="00875341" w:rsidRDefault="00875341" w:rsidP="00875341">
            <w:pPr>
              <w:ind w:right="107"/>
              <w:jc w:val="both"/>
              <w:rPr>
                <w:sz w:val="18"/>
                <w:szCs w:val="18"/>
              </w:rPr>
            </w:pPr>
            <w:r w:rsidRPr="00875341">
              <w:rPr>
                <w:sz w:val="18"/>
                <w:szCs w:val="18"/>
              </w:rPr>
              <w:t>Naturally having a bigger workload</w:t>
            </w:r>
          </w:p>
          <w:p w14:paraId="3619E69B" w14:textId="77777777" w:rsidR="00875341" w:rsidRPr="00875341" w:rsidRDefault="00875341" w:rsidP="00875341">
            <w:pPr>
              <w:ind w:right="107"/>
              <w:jc w:val="both"/>
              <w:rPr>
                <w:sz w:val="18"/>
                <w:szCs w:val="18"/>
              </w:rPr>
            </w:pPr>
          </w:p>
          <w:p w14:paraId="1AB0A153" w14:textId="77777777" w:rsidR="00875341" w:rsidRPr="00875341" w:rsidRDefault="00875341" w:rsidP="00875341">
            <w:pPr>
              <w:ind w:right="107"/>
              <w:jc w:val="both"/>
              <w:rPr>
                <w:sz w:val="18"/>
                <w:szCs w:val="18"/>
              </w:rPr>
            </w:pPr>
          </w:p>
          <w:p w14:paraId="0529BEE7" w14:textId="77777777" w:rsidR="00875341" w:rsidRPr="00875341" w:rsidRDefault="00875341" w:rsidP="00875341">
            <w:pPr>
              <w:ind w:right="107"/>
              <w:jc w:val="both"/>
              <w:rPr>
                <w:sz w:val="18"/>
                <w:szCs w:val="18"/>
              </w:rPr>
            </w:pPr>
          </w:p>
          <w:p w14:paraId="2D8D5DEA" w14:textId="77777777" w:rsidR="00875341" w:rsidRPr="00875341" w:rsidRDefault="00875341" w:rsidP="00875341">
            <w:pPr>
              <w:ind w:right="107"/>
              <w:jc w:val="both"/>
              <w:rPr>
                <w:sz w:val="18"/>
                <w:szCs w:val="18"/>
              </w:rPr>
            </w:pPr>
          </w:p>
          <w:p w14:paraId="2358A41D" w14:textId="77777777" w:rsidR="00875341" w:rsidRPr="00875341" w:rsidRDefault="00875341" w:rsidP="00875341">
            <w:pPr>
              <w:ind w:right="107"/>
              <w:jc w:val="both"/>
              <w:rPr>
                <w:sz w:val="18"/>
                <w:szCs w:val="18"/>
              </w:rPr>
            </w:pPr>
          </w:p>
        </w:tc>
        <w:tc>
          <w:tcPr>
            <w:tcW w:w="2426" w:type="dxa"/>
            <w:shd w:val="clear" w:color="auto" w:fill="auto"/>
          </w:tcPr>
          <w:p w14:paraId="1A9CB8AA" w14:textId="77777777" w:rsidR="00875341" w:rsidRPr="00875341" w:rsidRDefault="00875341" w:rsidP="00875341">
            <w:pPr>
              <w:ind w:right="107"/>
              <w:jc w:val="both"/>
              <w:rPr>
                <w:sz w:val="18"/>
                <w:szCs w:val="18"/>
              </w:rPr>
            </w:pPr>
            <w:r w:rsidRPr="00875341">
              <w:rPr>
                <w:sz w:val="18"/>
                <w:szCs w:val="18"/>
              </w:rPr>
              <w:t>CJIT department</w:t>
            </w:r>
          </w:p>
          <w:p w14:paraId="09651A38" w14:textId="77777777" w:rsidR="00875341" w:rsidRPr="00875341" w:rsidRDefault="00875341" w:rsidP="00875341">
            <w:pPr>
              <w:ind w:right="107"/>
              <w:jc w:val="both"/>
              <w:rPr>
                <w:sz w:val="18"/>
                <w:szCs w:val="18"/>
              </w:rPr>
            </w:pPr>
          </w:p>
          <w:p w14:paraId="06AB7C43" w14:textId="77777777" w:rsidR="00875341" w:rsidRPr="00875341" w:rsidRDefault="00875341" w:rsidP="00875341">
            <w:pPr>
              <w:ind w:right="107"/>
              <w:jc w:val="both"/>
              <w:rPr>
                <w:sz w:val="18"/>
                <w:szCs w:val="18"/>
              </w:rPr>
            </w:pPr>
            <w:r w:rsidRPr="00875341">
              <w:rPr>
                <w:sz w:val="18"/>
                <w:szCs w:val="18"/>
              </w:rPr>
              <w:t>Shift Sargent</w:t>
            </w:r>
          </w:p>
          <w:p w14:paraId="7BCAC65E" w14:textId="77777777" w:rsidR="00875341" w:rsidRPr="00875341" w:rsidRDefault="00875341" w:rsidP="00875341">
            <w:pPr>
              <w:ind w:right="107"/>
              <w:jc w:val="both"/>
              <w:rPr>
                <w:sz w:val="18"/>
                <w:szCs w:val="18"/>
              </w:rPr>
            </w:pPr>
          </w:p>
          <w:p w14:paraId="2D28EE8C" w14:textId="77777777" w:rsidR="00875341" w:rsidRPr="00875341" w:rsidRDefault="00875341" w:rsidP="00875341">
            <w:pPr>
              <w:ind w:right="107"/>
              <w:jc w:val="both"/>
              <w:rPr>
                <w:sz w:val="18"/>
                <w:szCs w:val="18"/>
              </w:rPr>
            </w:pPr>
            <w:r w:rsidRPr="00875341">
              <w:rPr>
                <w:sz w:val="18"/>
                <w:szCs w:val="18"/>
              </w:rPr>
              <w:t>CID attachment</w:t>
            </w:r>
          </w:p>
          <w:p w14:paraId="16544801" w14:textId="77777777" w:rsidR="00875341" w:rsidRPr="00875341" w:rsidRDefault="00875341" w:rsidP="00875341">
            <w:pPr>
              <w:ind w:right="107"/>
              <w:jc w:val="both"/>
              <w:rPr>
                <w:sz w:val="18"/>
                <w:szCs w:val="18"/>
              </w:rPr>
            </w:pPr>
          </w:p>
          <w:p w14:paraId="3A5B0B5B" w14:textId="77777777" w:rsidR="00875341" w:rsidRPr="00875341" w:rsidRDefault="00875341" w:rsidP="00875341">
            <w:pPr>
              <w:ind w:right="107"/>
              <w:jc w:val="both"/>
              <w:rPr>
                <w:sz w:val="18"/>
                <w:szCs w:val="18"/>
              </w:rPr>
            </w:pPr>
            <w:r w:rsidRPr="00875341">
              <w:rPr>
                <w:sz w:val="18"/>
                <w:szCs w:val="18"/>
              </w:rPr>
              <w:t>Online learning resources</w:t>
            </w:r>
          </w:p>
          <w:p w14:paraId="51CF765A" w14:textId="77777777" w:rsidR="00875341" w:rsidRPr="00875341" w:rsidRDefault="00875341" w:rsidP="00875341">
            <w:pPr>
              <w:ind w:right="107"/>
              <w:jc w:val="both"/>
              <w:rPr>
                <w:sz w:val="18"/>
                <w:szCs w:val="18"/>
              </w:rPr>
            </w:pPr>
          </w:p>
          <w:p w14:paraId="1EFC41CD" w14:textId="77777777" w:rsidR="00875341" w:rsidRPr="00875341" w:rsidRDefault="00875341" w:rsidP="00875341">
            <w:pPr>
              <w:ind w:right="107"/>
              <w:jc w:val="both"/>
              <w:rPr>
                <w:sz w:val="18"/>
                <w:szCs w:val="18"/>
              </w:rPr>
            </w:pPr>
            <w:r w:rsidRPr="00875341">
              <w:rPr>
                <w:sz w:val="18"/>
                <w:szCs w:val="18"/>
              </w:rPr>
              <w:t>CPS guidelines</w:t>
            </w:r>
          </w:p>
          <w:p w14:paraId="4E75068D" w14:textId="77777777" w:rsidR="00875341" w:rsidRPr="00875341" w:rsidRDefault="00875341" w:rsidP="00875341">
            <w:pPr>
              <w:ind w:left="720" w:right="107"/>
              <w:contextualSpacing/>
              <w:jc w:val="both"/>
              <w:rPr>
                <w:sz w:val="18"/>
                <w:szCs w:val="18"/>
              </w:rPr>
            </w:pPr>
          </w:p>
        </w:tc>
        <w:tc>
          <w:tcPr>
            <w:tcW w:w="2426" w:type="dxa"/>
            <w:shd w:val="clear" w:color="auto" w:fill="auto"/>
          </w:tcPr>
          <w:p w14:paraId="7A892816" w14:textId="77777777" w:rsidR="00875341" w:rsidRPr="00875341" w:rsidRDefault="00875341" w:rsidP="00875341">
            <w:pPr>
              <w:jc w:val="both"/>
              <w:rPr>
                <w:sz w:val="18"/>
                <w:szCs w:val="18"/>
              </w:rPr>
            </w:pPr>
            <w:r w:rsidRPr="00875341">
              <w:rPr>
                <w:sz w:val="18"/>
                <w:szCs w:val="18"/>
              </w:rPr>
              <w:t>6 months</w:t>
            </w:r>
          </w:p>
        </w:tc>
      </w:tr>
      <w:tr w:rsidR="00875341" w:rsidRPr="00875341" w14:paraId="7128D28D" w14:textId="77777777" w:rsidTr="003B5C18">
        <w:tc>
          <w:tcPr>
            <w:tcW w:w="2462" w:type="dxa"/>
            <w:shd w:val="clear" w:color="auto" w:fill="auto"/>
          </w:tcPr>
          <w:p w14:paraId="283339EF" w14:textId="77777777" w:rsidR="00875341" w:rsidRPr="00875341" w:rsidRDefault="00875341" w:rsidP="00875341">
            <w:pPr>
              <w:ind w:right="107"/>
              <w:jc w:val="both"/>
              <w:rPr>
                <w:sz w:val="18"/>
                <w:szCs w:val="18"/>
              </w:rPr>
            </w:pPr>
          </w:p>
          <w:p w14:paraId="50425639" w14:textId="77777777" w:rsidR="00875341" w:rsidRPr="00875341" w:rsidRDefault="00875341" w:rsidP="00875341">
            <w:pPr>
              <w:ind w:right="107"/>
              <w:jc w:val="both"/>
              <w:rPr>
                <w:sz w:val="18"/>
                <w:szCs w:val="18"/>
              </w:rPr>
            </w:pPr>
            <w:r w:rsidRPr="00875341">
              <w:rPr>
                <w:sz w:val="18"/>
                <w:szCs w:val="18"/>
              </w:rPr>
              <w:t xml:space="preserve">Proactive Policing </w:t>
            </w:r>
          </w:p>
          <w:p w14:paraId="1BF29EBA" w14:textId="77777777" w:rsidR="00875341" w:rsidRPr="00875341" w:rsidRDefault="00875341" w:rsidP="00875341">
            <w:pPr>
              <w:ind w:right="107"/>
              <w:jc w:val="both"/>
              <w:rPr>
                <w:sz w:val="18"/>
                <w:szCs w:val="18"/>
              </w:rPr>
            </w:pPr>
          </w:p>
          <w:p w14:paraId="45C00D20" w14:textId="77777777" w:rsidR="00875341" w:rsidRPr="00875341" w:rsidRDefault="00875341" w:rsidP="00875341">
            <w:pPr>
              <w:ind w:right="107"/>
              <w:jc w:val="both"/>
              <w:rPr>
                <w:sz w:val="18"/>
                <w:szCs w:val="18"/>
              </w:rPr>
            </w:pPr>
          </w:p>
          <w:p w14:paraId="73C4705E" w14:textId="77777777" w:rsidR="00875341" w:rsidRPr="00875341" w:rsidRDefault="00875341" w:rsidP="00875341">
            <w:pPr>
              <w:ind w:right="107"/>
              <w:jc w:val="both"/>
              <w:rPr>
                <w:sz w:val="18"/>
                <w:szCs w:val="18"/>
              </w:rPr>
            </w:pPr>
          </w:p>
          <w:p w14:paraId="5217CDFE" w14:textId="77777777" w:rsidR="00875341" w:rsidRPr="00875341" w:rsidRDefault="00875341" w:rsidP="00875341">
            <w:pPr>
              <w:ind w:right="107"/>
              <w:jc w:val="both"/>
              <w:rPr>
                <w:sz w:val="18"/>
                <w:szCs w:val="18"/>
              </w:rPr>
            </w:pPr>
          </w:p>
          <w:p w14:paraId="76466F3F" w14:textId="77777777" w:rsidR="00875341" w:rsidRPr="00875341" w:rsidRDefault="00875341" w:rsidP="00875341">
            <w:pPr>
              <w:ind w:right="107"/>
              <w:jc w:val="both"/>
              <w:rPr>
                <w:sz w:val="18"/>
                <w:szCs w:val="18"/>
              </w:rPr>
            </w:pPr>
          </w:p>
          <w:p w14:paraId="0726CC43" w14:textId="77777777" w:rsidR="00875341" w:rsidRPr="00875341" w:rsidRDefault="00875341" w:rsidP="00875341">
            <w:pPr>
              <w:ind w:right="107"/>
              <w:jc w:val="both"/>
              <w:rPr>
                <w:sz w:val="18"/>
                <w:szCs w:val="18"/>
              </w:rPr>
            </w:pPr>
          </w:p>
          <w:p w14:paraId="7676C9EE" w14:textId="77777777" w:rsidR="00875341" w:rsidRPr="00875341" w:rsidRDefault="00875341" w:rsidP="00875341">
            <w:pPr>
              <w:ind w:right="107"/>
              <w:jc w:val="both"/>
              <w:rPr>
                <w:sz w:val="18"/>
                <w:szCs w:val="18"/>
              </w:rPr>
            </w:pPr>
          </w:p>
          <w:p w14:paraId="462D9404" w14:textId="77777777" w:rsidR="00875341" w:rsidRPr="00875341" w:rsidRDefault="00875341" w:rsidP="00875341">
            <w:pPr>
              <w:ind w:right="107"/>
              <w:jc w:val="both"/>
              <w:rPr>
                <w:sz w:val="18"/>
                <w:szCs w:val="18"/>
              </w:rPr>
            </w:pPr>
          </w:p>
          <w:p w14:paraId="5D942E4D" w14:textId="77777777" w:rsidR="00875341" w:rsidRPr="00875341" w:rsidRDefault="00875341" w:rsidP="00875341">
            <w:pPr>
              <w:ind w:right="107"/>
              <w:jc w:val="both"/>
              <w:rPr>
                <w:sz w:val="18"/>
                <w:szCs w:val="18"/>
              </w:rPr>
            </w:pPr>
          </w:p>
        </w:tc>
        <w:tc>
          <w:tcPr>
            <w:tcW w:w="2433" w:type="dxa"/>
            <w:shd w:val="clear" w:color="auto" w:fill="auto"/>
          </w:tcPr>
          <w:p w14:paraId="18C11971" w14:textId="77777777" w:rsidR="00875341" w:rsidRPr="00875341" w:rsidRDefault="00875341" w:rsidP="00875341">
            <w:pPr>
              <w:ind w:right="107"/>
              <w:jc w:val="both"/>
              <w:rPr>
                <w:sz w:val="18"/>
                <w:szCs w:val="18"/>
              </w:rPr>
            </w:pPr>
            <w:r w:rsidRPr="00875341">
              <w:rPr>
                <w:sz w:val="18"/>
                <w:szCs w:val="18"/>
              </w:rPr>
              <w:t>This can be achieved by:</w:t>
            </w:r>
          </w:p>
          <w:p w14:paraId="42F9B2E2" w14:textId="77777777" w:rsidR="00875341" w:rsidRPr="00875341" w:rsidRDefault="00875341" w:rsidP="00875341">
            <w:pPr>
              <w:ind w:right="107"/>
              <w:jc w:val="both"/>
              <w:rPr>
                <w:sz w:val="18"/>
                <w:szCs w:val="18"/>
              </w:rPr>
            </w:pPr>
          </w:p>
          <w:p w14:paraId="00504FBD" w14:textId="77777777" w:rsidR="00875341" w:rsidRPr="00875341" w:rsidRDefault="00875341" w:rsidP="00875341">
            <w:pPr>
              <w:ind w:right="107"/>
              <w:jc w:val="both"/>
              <w:rPr>
                <w:sz w:val="18"/>
                <w:szCs w:val="18"/>
              </w:rPr>
            </w:pPr>
            <w:r w:rsidRPr="00875341">
              <w:rPr>
                <w:sz w:val="18"/>
                <w:szCs w:val="18"/>
              </w:rPr>
              <w:t>Foot patrol</w:t>
            </w:r>
          </w:p>
          <w:p w14:paraId="240FABA7" w14:textId="77777777" w:rsidR="00875341" w:rsidRPr="00875341" w:rsidRDefault="00875341" w:rsidP="00875341">
            <w:pPr>
              <w:ind w:right="107"/>
              <w:jc w:val="both"/>
              <w:rPr>
                <w:sz w:val="18"/>
                <w:szCs w:val="18"/>
              </w:rPr>
            </w:pPr>
          </w:p>
          <w:p w14:paraId="0838DCAC" w14:textId="77777777" w:rsidR="00875341" w:rsidRPr="00875341" w:rsidRDefault="00875341" w:rsidP="00875341">
            <w:pPr>
              <w:ind w:right="107"/>
              <w:jc w:val="both"/>
              <w:rPr>
                <w:sz w:val="18"/>
                <w:szCs w:val="18"/>
              </w:rPr>
            </w:pPr>
            <w:r w:rsidRPr="00875341">
              <w:rPr>
                <w:sz w:val="18"/>
                <w:szCs w:val="18"/>
              </w:rPr>
              <w:t>Mobile vehicle patrol</w:t>
            </w:r>
          </w:p>
          <w:p w14:paraId="08765A6D" w14:textId="77777777" w:rsidR="00875341" w:rsidRPr="00875341" w:rsidRDefault="00875341" w:rsidP="00875341">
            <w:pPr>
              <w:ind w:right="107"/>
              <w:jc w:val="both"/>
              <w:rPr>
                <w:sz w:val="18"/>
                <w:szCs w:val="18"/>
              </w:rPr>
            </w:pPr>
            <w:r w:rsidRPr="00875341">
              <w:rPr>
                <w:sz w:val="18"/>
                <w:szCs w:val="18"/>
              </w:rPr>
              <w:br/>
              <w:t>Assisting the NPT</w:t>
            </w:r>
          </w:p>
          <w:p w14:paraId="3F77B3F5" w14:textId="77777777" w:rsidR="00875341" w:rsidRPr="00875341" w:rsidRDefault="00875341" w:rsidP="00875341">
            <w:pPr>
              <w:ind w:right="107"/>
              <w:jc w:val="both"/>
              <w:rPr>
                <w:sz w:val="18"/>
                <w:szCs w:val="18"/>
              </w:rPr>
            </w:pPr>
          </w:p>
          <w:p w14:paraId="6E3F85DC" w14:textId="77777777" w:rsidR="00875341" w:rsidRPr="00875341" w:rsidRDefault="00875341" w:rsidP="00875341">
            <w:pPr>
              <w:ind w:right="107"/>
              <w:jc w:val="both"/>
              <w:rPr>
                <w:sz w:val="18"/>
                <w:szCs w:val="18"/>
              </w:rPr>
            </w:pPr>
            <w:r w:rsidRPr="00875341">
              <w:rPr>
                <w:sz w:val="18"/>
                <w:szCs w:val="18"/>
              </w:rPr>
              <w:t>Warrants</w:t>
            </w:r>
          </w:p>
        </w:tc>
        <w:tc>
          <w:tcPr>
            <w:tcW w:w="2426" w:type="dxa"/>
            <w:shd w:val="clear" w:color="auto" w:fill="auto"/>
          </w:tcPr>
          <w:p w14:paraId="15FF2A2F" w14:textId="77777777" w:rsidR="00875341" w:rsidRPr="00875341" w:rsidRDefault="00875341" w:rsidP="00875341">
            <w:pPr>
              <w:ind w:right="107"/>
              <w:jc w:val="both"/>
              <w:rPr>
                <w:sz w:val="18"/>
                <w:szCs w:val="18"/>
              </w:rPr>
            </w:pPr>
          </w:p>
          <w:p w14:paraId="7901F7DB" w14:textId="77777777" w:rsidR="00875341" w:rsidRPr="00875341" w:rsidRDefault="00875341" w:rsidP="00875341">
            <w:pPr>
              <w:ind w:right="107"/>
              <w:jc w:val="both"/>
              <w:rPr>
                <w:sz w:val="18"/>
                <w:szCs w:val="18"/>
              </w:rPr>
            </w:pPr>
            <w:r w:rsidRPr="00875341">
              <w:rPr>
                <w:sz w:val="18"/>
                <w:szCs w:val="18"/>
              </w:rPr>
              <w:t>NPT</w:t>
            </w:r>
          </w:p>
          <w:p w14:paraId="5B8E81E5" w14:textId="77777777" w:rsidR="00875341" w:rsidRPr="00875341" w:rsidRDefault="00875341" w:rsidP="00875341">
            <w:pPr>
              <w:ind w:right="107"/>
              <w:jc w:val="both"/>
              <w:rPr>
                <w:sz w:val="18"/>
                <w:szCs w:val="18"/>
              </w:rPr>
            </w:pPr>
          </w:p>
          <w:p w14:paraId="051A196B" w14:textId="77777777" w:rsidR="00875341" w:rsidRPr="00875341" w:rsidRDefault="00875341" w:rsidP="00875341">
            <w:pPr>
              <w:ind w:right="107"/>
              <w:jc w:val="both"/>
              <w:rPr>
                <w:sz w:val="18"/>
                <w:szCs w:val="18"/>
              </w:rPr>
            </w:pPr>
            <w:r w:rsidRPr="00875341">
              <w:rPr>
                <w:sz w:val="18"/>
                <w:szCs w:val="18"/>
              </w:rPr>
              <w:t>Warrant/drugs team</w:t>
            </w:r>
          </w:p>
          <w:p w14:paraId="554DCE93" w14:textId="77777777" w:rsidR="00875341" w:rsidRPr="00875341" w:rsidRDefault="00875341" w:rsidP="00875341">
            <w:pPr>
              <w:ind w:right="107"/>
              <w:jc w:val="both"/>
              <w:rPr>
                <w:sz w:val="18"/>
                <w:szCs w:val="18"/>
              </w:rPr>
            </w:pPr>
          </w:p>
          <w:p w14:paraId="24FAB9CA" w14:textId="77777777" w:rsidR="00875341" w:rsidRPr="00875341" w:rsidRDefault="00875341" w:rsidP="00875341">
            <w:pPr>
              <w:ind w:right="107"/>
              <w:jc w:val="both"/>
              <w:rPr>
                <w:sz w:val="18"/>
                <w:szCs w:val="18"/>
              </w:rPr>
            </w:pPr>
            <w:r w:rsidRPr="00875341">
              <w:rPr>
                <w:sz w:val="18"/>
                <w:szCs w:val="18"/>
              </w:rPr>
              <w:t>Local Sargent</w:t>
            </w:r>
          </w:p>
          <w:p w14:paraId="41B652CC" w14:textId="77777777" w:rsidR="00875341" w:rsidRPr="00875341" w:rsidRDefault="00875341" w:rsidP="00875341">
            <w:pPr>
              <w:ind w:right="107"/>
              <w:jc w:val="both"/>
              <w:rPr>
                <w:sz w:val="18"/>
                <w:szCs w:val="18"/>
              </w:rPr>
            </w:pPr>
          </w:p>
          <w:p w14:paraId="0A9342D7" w14:textId="77777777" w:rsidR="00875341" w:rsidRPr="00875341" w:rsidRDefault="00875341" w:rsidP="00875341">
            <w:pPr>
              <w:ind w:right="107"/>
              <w:jc w:val="both"/>
              <w:rPr>
                <w:sz w:val="18"/>
                <w:szCs w:val="18"/>
              </w:rPr>
            </w:pPr>
            <w:r w:rsidRPr="00875341">
              <w:rPr>
                <w:sz w:val="18"/>
                <w:szCs w:val="18"/>
              </w:rPr>
              <w:t xml:space="preserve">Neighbour attachment </w:t>
            </w:r>
          </w:p>
          <w:p w14:paraId="4E77E6B4" w14:textId="77777777" w:rsidR="00875341" w:rsidRPr="00875341" w:rsidRDefault="00875341" w:rsidP="00875341">
            <w:pPr>
              <w:ind w:right="107"/>
              <w:jc w:val="both"/>
              <w:rPr>
                <w:sz w:val="18"/>
                <w:szCs w:val="18"/>
              </w:rPr>
            </w:pPr>
          </w:p>
          <w:p w14:paraId="68DA74DC" w14:textId="77777777" w:rsidR="00875341" w:rsidRPr="00875341" w:rsidRDefault="00875341" w:rsidP="00875341">
            <w:pPr>
              <w:ind w:right="107"/>
              <w:jc w:val="both"/>
              <w:rPr>
                <w:sz w:val="18"/>
                <w:szCs w:val="18"/>
              </w:rPr>
            </w:pPr>
            <w:r w:rsidRPr="00875341">
              <w:rPr>
                <w:sz w:val="18"/>
                <w:szCs w:val="18"/>
              </w:rPr>
              <w:t>Targeting crime hotspots when on patrol</w:t>
            </w:r>
          </w:p>
        </w:tc>
        <w:tc>
          <w:tcPr>
            <w:tcW w:w="2426" w:type="dxa"/>
            <w:shd w:val="clear" w:color="auto" w:fill="auto"/>
          </w:tcPr>
          <w:p w14:paraId="1FC20439" w14:textId="77777777" w:rsidR="00875341" w:rsidRPr="00875341" w:rsidRDefault="00875341" w:rsidP="00875341">
            <w:pPr>
              <w:jc w:val="both"/>
              <w:rPr>
                <w:sz w:val="18"/>
                <w:szCs w:val="18"/>
              </w:rPr>
            </w:pPr>
            <w:r w:rsidRPr="00875341">
              <w:rPr>
                <w:sz w:val="18"/>
                <w:szCs w:val="18"/>
              </w:rPr>
              <w:t xml:space="preserve">6 months </w:t>
            </w:r>
          </w:p>
        </w:tc>
      </w:tr>
      <w:tr w:rsidR="00875341" w:rsidRPr="00875341" w14:paraId="3D33C75F" w14:textId="77777777" w:rsidTr="003B5C18">
        <w:tc>
          <w:tcPr>
            <w:tcW w:w="2462" w:type="dxa"/>
            <w:shd w:val="clear" w:color="auto" w:fill="auto"/>
          </w:tcPr>
          <w:p w14:paraId="46224EE1" w14:textId="77777777" w:rsidR="00875341" w:rsidRPr="00875341" w:rsidRDefault="00875341" w:rsidP="00875341">
            <w:pPr>
              <w:ind w:right="107"/>
              <w:jc w:val="both"/>
              <w:rPr>
                <w:sz w:val="18"/>
                <w:szCs w:val="18"/>
              </w:rPr>
            </w:pPr>
          </w:p>
          <w:p w14:paraId="2D38D7B2" w14:textId="77777777" w:rsidR="00875341" w:rsidRPr="00875341" w:rsidRDefault="00875341" w:rsidP="00875341">
            <w:pPr>
              <w:ind w:right="107"/>
              <w:jc w:val="both"/>
              <w:rPr>
                <w:sz w:val="18"/>
                <w:szCs w:val="18"/>
              </w:rPr>
            </w:pPr>
            <w:r w:rsidRPr="00875341">
              <w:rPr>
                <w:sz w:val="18"/>
                <w:szCs w:val="18"/>
              </w:rPr>
              <w:t>Witness statements</w:t>
            </w:r>
          </w:p>
          <w:p w14:paraId="78B785DA" w14:textId="77777777" w:rsidR="00875341" w:rsidRPr="00875341" w:rsidRDefault="00875341" w:rsidP="00875341">
            <w:pPr>
              <w:ind w:right="107"/>
              <w:jc w:val="both"/>
              <w:rPr>
                <w:sz w:val="18"/>
                <w:szCs w:val="18"/>
              </w:rPr>
            </w:pPr>
          </w:p>
          <w:p w14:paraId="3396F342" w14:textId="77777777" w:rsidR="00875341" w:rsidRPr="00875341" w:rsidRDefault="00875341" w:rsidP="00875341">
            <w:pPr>
              <w:ind w:right="107"/>
              <w:jc w:val="both"/>
              <w:rPr>
                <w:sz w:val="18"/>
                <w:szCs w:val="18"/>
              </w:rPr>
            </w:pPr>
          </w:p>
          <w:p w14:paraId="40FEF694" w14:textId="77777777" w:rsidR="00875341" w:rsidRPr="00875341" w:rsidRDefault="00875341" w:rsidP="00875341">
            <w:pPr>
              <w:ind w:right="107"/>
              <w:jc w:val="both"/>
              <w:rPr>
                <w:sz w:val="18"/>
                <w:szCs w:val="18"/>
              </w:rPr>
            </w:pPr>
          </w:p>
          <w:p w14:paraId="1046702C" w14:textId="77777777" w:rsidR="00875341" w:rsidRPr="00875341" w:rsidRDefault="00875341" w:rsidP="00875341">
            <w:pPr>
              <w:ind w:right="107"/>
              <w:jc w:val="both"/>
              <w:rPr>
                <w:sz w:val="18"/>
                <w:szCs w:val="18"/>
              </w:rPr>
            </w:pPr>
          </w:p>
          <w:p w14:paraId="794A0ABE" w14:textId="77777777" w:rsidR="00875341" w:rsidRPr="00875341" w:rsidRDefault="00875341" w:rsidP="00875341">
            <w:pPr>
              <w:ind w:right="107"/>
              <w:jc w:val="both"/>
              <w:rPr>
                <w:sz w:val="18"/>
                <w:szCs w:val="18"/>
              </w:rPr>
            </w:pPr>
          </w:p>
          <w:p w14:paraId="288B1529" w14:textId="77777777" w:rsidR="00875341" w:rsidRPr="00875341" w:rsidRDefault="00875341" w:rsidP="00875341">
            <w:pPr>
              <w:ind w:right="107"/>
              <w:jc w:val="both"/>
              <w:rPr>
                <w:sz w:val="18"/>
                <w:szCs w:val="18"/>
              </w:rPr>
            </w:pPr>
          </w:p>
          <w:p w14:paraId="7AB77C5D" w14:textId="77777777" w:rsidR="00875341" w:rsidRPr="00875341" w:rsidRDefault="00875341" w:rsidP="00875341">
            <w:pPr>
              <w:ind w:right="107"/>
              <w:jc w:val="both"/>
              <w:rPr>
                <w:sz w:val="18"/>
                <w:szCs w:val="18"/>
              </w:rPr>
            </w:pPr>
          </w:p>
          <w:p w14:paraId="6C2AFE02" w14:textId="77777777" w:rsidR="00875341" w:rsidRPr="00875341" w:rsidRDefault="00875341" w:rsidP="00875341">
            <w:pPr>
              <w:ind w:right="107"/>
              <w:jc w:val="both"/>
              <w:rPr>
                <w:sz w:val="18"/>
                <w:szCs w:val="18"/>
              </w:rPr>
            </w:pPr>
          </w:p>
          <w:p w14:paraId="485F873D" w14:textId="77777777" w:rsidR="00875341" w:rsidRPr="00875341" w:rsidRDefault="00875341" w:rsidP="00875341">
            <w:pPr>
              <w:ind w:right="107"/>
              <w:jc w:val="both"/>
              <w:rPr>
                <w:sz w:val="18"/>
                <w:szCs w:val="18"/>
              </w:rPr>
            </w:pPr>
          </w:p>
        </w:tc>
        <w:tc>
          <w:tcPr>
            <w:tcW w:w="2433" w:type="dxa"/>
            <w:shd w:val="clear" w:color="auto" w:fill="auto"/>
          </w:tcPr>
          <w:p w14:paraId="13D41A63" w14:textId="77777777" w:rsidR="00875341" w:rsidRPr="00875341" w:rsidRDefault="00875341" w:rsidP="00875341">
            <w:pPr>
              <w:ind w:right="107"/>
              <w:jc w:val="both"/>
              <w:rPr>
                <w:sz w:val="18"/>
                <w:szCs w:val="18"/>
              </w:rPr>
            </w:pPr>
          </w:p>
          <w:p w14:paraId="4B04F8AB" w14:textId="77777777" w:rsidR="00875341" w:rsidRPr="00875341" w:rsidRDefault="00875341" w:rsidP="00875341">
            <w:pPr>
              <w:ind w:right="107"/>
              <w:jc w:val="both"/>
              <w:rPr>
                <w:sz w:val="18"/>
                <w:szCs w:val="18"/>
              </w:rPr>
            </w:pPr>
            <w:r w:rsidRPr="00875341">
              <w:rPr>
                <w:sz w:val="18"/>
                <w:szCs w:val="18"/>
              </w:rPr>
              <w:t>This can be achieved by:</w:t>
            </w:r>
          </w:p>
          <w:p w14:paraId="18C49483" w14:textId="77777777" w:rsidR="00875341" w:rsidRPr="00875341" w:rsidRDefault="00875341" w:rsidP="00875341">
            <w:pPr>
              <w:ind w:right="107"/>
              <w:jc w:val="both"/>
              <w:rPr>
                <w:sz w:val="18"/>
                <w:szCs w:val="18"/>
              </w:rPr>
            </w:pPr>
          </w:p>
          <w:p w14:paraId="488217A4" w14:textId="77777777" w:rsidR="00875341" w:rsidRPr="00875341" w:rsidRDefault="00875341" w:rsidP="00875341">
            <w:pPr>
              <w:ind w:right="107"/>
              <w:jc w:val="both"/>
              <w:rPr>
                <w:sz w:val="18"/>
                <w:szCs w:val="18"/>
              </w:rPr>
            </w:pPr>
            <w:r w:rsidRPr="00875341">
              <w:rPr>
                <w:sz w:val="18"/>
                <w:szCs w:val="18"/>
              </w:rPr>
              <w:t>More experience and statement taking</w:t>
            </w:r>
          </w:p>
          <w:p w14:paraId="41D1D54E" w14:textId="77777777" w:rsidR="00875341" w:rsidRPr="00875341" w:rsidRDefault="00875341" w:rsidP="00875341">
            <w:pPr>
              <w:ind w:right="107"/>
              <w:jc w:val="both"/>
              <w:rPr>
                <w:sz w:val="18"/>
                <w:szCs w:val="18"/>
              </w:rPr>
            </w:pPr>
          </w:p>
          <w:p w14:paraId="29F0EC4D" w14:textId="77777777" w:rsidR="00875341" w:rsidRPr="00875341" w:rsidRDefault="00875341" w:rsidP="00875341">
            <w:pPr>
              <w:ind w:right="107"/>
              <w:jc w:val="both"/>
              <w:rPr>
                <w:sz w:val="18"/>
                <w:szCs w:val="18"/>
              </w:rPr>
            </w:pPr>
            <w:r w:rsidRPr="00875341">
              <w:rPr>
                <w:sz w:val="18"/>
                <w:szCs w:val="18"/>
              </w:rPr>
              <w:t>Planning the structure of the statement</w:t>
            </w:r>
          </w:p>
          <w:p w14:paraId="1AA60D15" w14:textId="77777777" w:rsidR="00875341" w:rsidRPr="00875341" w:rsidRDefault="00875341" w:rsidP="00875341">
            <w:pPr>
              <w:ind w:right="107"/>
              <w:jc w:val="both"/>
              <w:rPr>
                <w:sz w:val="18"/>
                <w:szCs w:val="18"/>
              </w:rPr>
            </w:pPr>
          </w:p>
          <w:p w14:paraId="6F50A090" w14:textId="77777777" w:rsidR="00875341" w:rsidRPr="00875341" w:rsidRDefault="00875341" w:rsidP="00875341">
            <w:pPr>
              <w:ind w:right="107"/>
              <w:jc w:val="both"/>
              <w:rPr>
                <w:sz w:val="18"/>
                <w:szCs w:val="18"/>
              </w:rPr>
            </w:pPr>
            <w:r w:rsidRPr="00875341">
              <w:rPr>
                <w:sz w:val="18"/>
                <w:szCs w:val="18"/>
              </w:rPr>
              <w:t>Ensuring points to prove are hit</w:t>
            </w:r>
          </w:p>
        </w:tc>
        <w:tc>
          <w:tcPr>
            <w:tcW w:w="2426" w:type="dxa"/>
            <w:shd w:val="clear" w:color="auto" w:fill="auto"/>
          </w:tcPr>
          <w:p w14:paraId="032CAE86" w14:textId="77777777" w:rsidR="00875341" w:rsidRPr="00875341" w:rsidRDefault="00875341" w:rsidP="00875341">
            <w:pPr>
              <w:ind w:right="107"/>
              <w:jc w:val="both"/>
              <w:rPr>
                <w:sz w:val="18"/>
                <w:szCs w:val="18"/>
              </w:rPr>
            </w:pPr>
          </w:p>
          <w:p w14:paraId="6430080B" w14:textId="77777777" w:rsidR="00875341" w:rsidRPr="00875341" w:rsidRDefault="00875341" w:rsidP="00875341">
            <w:pPr>
              <w:ind w:right="107"/>
              <w:jc w:val="both"/>
              <w:rPr>
                <w:sz w:val="18"/>
                <w:szCs w:val="18"/>
              </w:rPr>
            </w:pPr>
            <w:r w:rsidRPr="00875341">
              <w:rPr>
                <w:sz w:val="18"/>
                <w:szCs w:val="18"/>
              </w:rPr>
              <w:t>Developing statement templates</w:t>
            </w:r>
          </w:p>
          <w:p w14:paraId="21B18523" w14:textId="77777777" w:rsidR="00875341" w:rsidRPr="00875341" w:rsidRDefault="00875341" w:rsidP="00875341">
            <w:pPr>
              <w:ind w:right="107"/>
              <w:jc w:val="both"/>
              <w:rPr>
                <w:sz w:val="18"/>
                <w:szCs w:val="18"/>
              </w:rPr>
            </w:pPr>
          </w:p>
          <w:p w14:paraId="324D52DA" w14:textId="77777777" w:rsidR="00875341" w:rsidRPr="00875341" w:rsidRDefault="00875341" w:rsidP="00875341">
            <w:pPr>
              <w:ind w:right="107"/>
              <w:jc w:val="both"/>
              <w:rPr>
                <w:sz w:val="18"/>
                <w:szCs w:val="18"/>
              </w:rPr>
            </w:pPr>
            <w:r w:rsidRPr="00875341">
              <w:rPr>
                <w:sz w:val="18"/>
                <w:szCs w:val="18"/>
              </w:rPr>
              <w:t>CID attachment</w:t>
            </w:r>
          </w:p>
          <w:p w14:paraId="5B704571" w14:textId="77777777" w:rsidR="00875341" w:rsidRPr="00875341" w:rsidRDefault="00875341" w:rsidP="00875341">
            <w:pPr>
              <w:ind w:right="107"/>
              <w:jc w:val="both"/>
              <w:rPr>
                <w:sz w:val="18"/>
                <w:szCs w:val="18"/>
              </w:rPr>
            </w:pPr>
          </w:p>
          <w:p w14:paraId="7D24EE7E" w14:textId="77777777" w:rsidR="00875341" w:rsidRPr="00875341" w:rsidRDefault="00875341" w:rsidP="00875341">
            <w:pPr>
              <w:ind w:right="107"/>
              <w:jc w:val="both"/>
              <w:rPr>
                <w:sz w:val="18"/>
                <w:szCs w:val="18"/>
              </w:rPr>
            </w:pPr>
            <w:r w:rsidRPr="00875341">
              <w:rPr>
                <w:sz w:val="18"/>
                <w:szCs w:val="18"/>
              </w:rPr>
              <w:t xml:space="preserve">Seeking </w:t>
            </w:r>
            <w:proofErr w:type="spellStart"/>
            <w:r w:rsidRPr="00875341">
              <w:rPr>
                <w:sz w:val="18"/>
                <w:szCs w:val="18"/>
              </w:rPr>
              <w:t>advise</w:t>
            </w:r>
            <w:proofErr w:type="spellEnd"/>
            <w:r w:rsidRPr="00875341">
              <w:rPr>
                <w:sz w:val="18"/>
                <w:szCs w:val="18"/>
              </w:rPr>
              <w:t xml:space="preserve"> from other members of the shift</w:t>
            </w:r>
          </w:p>
          <w:p w14:paraId="0CDE4DF0" w14:textId="77777777" w:rsidR="00875341" w:rsidRPr="00875341" w:rsidRDefault="00875341" w:rsidP="00875341">
            <w:pPr>
              <w:ind w:right="107"/>
              <w:jc w:val="both"/>
              <w:rPr>
                <w:sz w:val="18"/>
                <w:szCs w:val="18"/>
              </w:rPr>
            </w:pPr>
          </w:p>
          <w:p w14:paraId="4760B4E6" w14:textId="77777777" w:rsidR="00875341" w:rsidRPr="00875341" w:rsidRDefault="00875341" w:rsidP="00875341">
            <w:pPr>
              <w:ind w:right="107"/>
              <w:jc w:val="both"/>
              <w:rPr>
                <w:sz w:val="18"/>
                <w:szCs w:val="18"/>
              </w:rPr>
            </w:pPr>
            <w:r w:rsidRPr="00875341">
              <w:rPr>
                <w:sz w:val="18"/>
                <w:szCs w:val="18"/>
              </w:rPr>
              <w:t xml:space="preserve">Analysing other officers’ statements  </w:t>
            </w:r>
          </w:p>
          <w:p w14:paraId="6408A4AF" w14:textId="77777777" w:rsidR="00875341" w:rsidRPr="00875341" w:rsidRDefault="00875341" w:rsidP="00875341">
            <w:pPr>
              <w:ind w:right="107"/>
              <w:jc w:val="both"/>
              <w:rPr>
                <w:sz w:val="18"/>
                <w:szCs w:val="18"/>
              </w:rPr>
            </w:pPr>
          </w:p>
          <w:p w14:paraId="3AA2B234" w14:textId="77777777" w:rsidR="00875341" w:rsidRPr="00875341" w:rsidRDefault="00875341" w:rsidP="00875341">
            <w:pPr>
              <w:ind w:right="107"/>
              <w:jc w:val="both"/>
              <w:rPr>
                <w:sz w:val="18"/>
                <w:szCs w:val="18"/>
              </w:rPr>
            </w:pPr>
          </w:p>
          <w:p w14:paraId="0E9B4C8F" w14:textId="77777777" w:rsidR="00875341" w:rsidRPr="00875341" w:rsidRDefault="00875341" w:rsidP="00875341">
            <w:pPr>
              <w:ind w:right="107"/>
              <w:jc w:val="both"/>
              <w:rPr>
                <w:sz w:val="18"/>
                <w:szCs w:val="18"/>
              </w:rPr>
            </w:pPr>
          </w:p>
        </w:tc>
        <w:tc>
          <w:tcPr>
            <w:tcW w:w="2426" w:type="dxa"/>
            <w:shd w:val="clear" w:color="auto" w:fill="auto"/>
          </w:tcPr>
          <w:p w14:paraId="76D4D15A" w14:textId="77777777" w:rsidR="00875341" w:rsidRPr="00875341" w:rsidRDefault="00875341" w:rsidP="00875341">
            <w:pPr>
              <w:jc w:val="both"/>
              <w:rPr>
                <w:sz w:val="18"/>
                <w:szCs w:val="18"/>
              </w:rPr>
            </w:pPr>
          </w:p>
          <w:p w14:paraId="5D706DDE" w14:textId="77777777" w:rsidR="00875341" w:rsidRPr="00875341" w:rsidRDefault="00875341" w:rsidP="00875341">
            <w:pPr>
              <w:jc w:val="both"/>
              <w:rPr>
                <w:sz w:val="18"/>
                <w:szCs w:val="18"/>
              </w:rPr>
            </w:pPr>
            <w:proofErr w:type="gramStart"/>
            <w:r w:rsidRPr="00875341">
              <w:rPr>
                <w:sz w:val="18"/>
                <w:szCs w:val="18"/>
              </w:rPr>
              <w:t>6 ,months</w:t>
            </w:r>
            <w:proofErr w:type="gramEnd"/>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4872EF4"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86C5134" w14:textId="77777777" w:rsidR="001E0954" w:rsidRPr="001E0954" w:rsidRDefault="001E0954" w:rsidP="001E0954">
      <w:pPr>
        <w:overflowPunct/>
        <w:autoSpaceDE/>
        <w:autoSpaceDN/>
        <w:adjustRightInd/>
        <w:spacing w:after="160" w:line="276" w:lineRule="auto"/>
        <w:jc w:val="both"/>
        <w:textAlignment w:val="auto"/>
        <w:rPr>
          <w:rFonts w:asciiTheme="minorHAnsi" w:eastAsiaTheme="minorHAnsi" w:hAnsiTheme="minorHAnsi" w:cstheme="minorHAnsi"/>
          <w:b/>
          <w:iCs/>
          <w:color w:val="auto"/>
          <w:sz w:val="22"/>
          <w:szCs w:val="22"/>
          <w:lang w:eastAsia="en-US"/>
        </w:rPr>
      </w:pPr>
      <w:r w:rsidRPr="001E0954">
        <w:rPr>
          <w:rFonts w:asciiTheme="minorHAnsi" w:eastAsiaTheme="minorHAnsi" w:hAnsiTheme="minorHAnsi" w:cstheme="minorHAnsi"/>
          <w:b/>
          <w:iCs/>
          <w:color w:val="auto"/>
          <w:sz w:val="22"/>
          <w:szCs w:val="22"/>
          <w:lang w:eastAsia="en-US"/>
        </w:rPr>
        <w:t>Bibliography</w:t>
      </w:r>
    </w:p>
    <w:p w14:paraId="1E742C55"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r w:rsidRPr="001E0954">
        <w:rPr>
          <w:rFonts w:asciiTheme="minorHAnsi" w:eastAsiaTheme="minorHAnsi" w:hAnsiTheme="minorHAnsi" w:cstheme="minorHAnsi"/>
          <w:b/>
          <w:bCs/>
          <w:color w:val="auto"/>
          <w:sz w:val="22"/>
          <w:szCs w:val="22"/>
          <w:lang w:eastAsia="en-US"/>
        </w:rPr>
        <w:t xml:space="preserve">Assignment one </w:t>
      </w:r>
    </w:p>
    <w:p w14:paraId="69D576B1"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color w:val="auto"/>
          <w:sz w:val="18"/>
          <w:szCs w:val="18"/>
          <w:shd w:val="clear" w:color="auto" w:fill="FFFFFF"/>
          <w:lang w:eastAsia="en-US"/>
        </w:rPr>
        <w:t xml:space="preserve">Dictionary.cambridge.org. 2020. </w:t>
      </w:r>
      <w:r w:rsidRPr="001E0954">
        <w:rPr>
          <w:rFonts w:asciiTheme="minorHAnsi" w:eastAsiaTheme="minorHAnsi" w:hAnsiTheme="minorHAnsi" w:cstheme="minorHAnsi"/>
          <w:i/>
          <w:iCs/>
          <w:color w:val="auto"/>
          <w:sz w:val="18"/>
          <w:szCs w:val="18"/>
          <w:lang w:eastAsia="en-US"/>
        </w:rPr>
        <w:t xml:space="preserve">RESILIENCE | Meaning </w:t>
      </w:r>
      <w:proofErr w:type="gramStart"/>
      <w:r w:rsidRPr="001E0954">
        <w:rPr>
          <w:rFonts w:asciiTheme="minorHAnsi" w:eastAsiaTheme="minorHAnsi" w:hAnsiTheme="minorHAnsi" w:cstheme="minorHAnsi"/>
          <w:i/>
          <w:iCs/>
          <w:color w:val="auto"/>
          <w:sz w:val="18"/>
          <w:szCs w:val="18"/>
          <w:lang w:eastAsia="en-US"/>
        </w:rPr>
        <w:t>In</w:t>
      </w:r>
      <w:proofErr w:type="gramEnd"/>
      <w:r w:rsidRPr="001E0954">
        <w:rPr>
          <w:rFonts w:asciiTheme="minorHAnsi" w:eastAsiaTheme="minorHAnsi" w:hAnsiTheme="minorHAnsi" w:cstheme="minorHAnsi"/>
          <w:i/>
          <w:iCs/>
          <w:color w:val="auto"/>
          <w:sz w:val="18"/>
          <w:szCs w:val="18"/>
          <w:lang w:eastAsia="en-US"/>
        </w:rPr>
        <w:t xml:space="preserve"> The Cambridge English Dictionary</w:t>
      </w:r>
      <w:r w:rsidRPr="001E0954">
        <w:rPr>
          <w:rFonts w:asciiTheme="minorHAnsi" w:eastAsiaTheme="minorHAnsi" w:hAnsiTheme="minorHAnsi" w:cstheme="minorHAnsi"/>
          <w:color w:val="auto"/>
          <w:sz w:val="18"/>
          <w:szCs w:val="18"/>
          <w:shd w:val="clear" w:color="auto" w:fill="FFFFFF"/>
          <w:lang w:eastAsia="en-US"/>
        </w:rPr>
        <w:t>. [online] Available at: &lt;https://dictionary.cambridge.org/dictionary/english/resilience&gt; [Accessed 9 October 2020].</w:t>
      </w:r>
    </w:p>
    <w:p w14:paraId="3D375EE2"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color w:val="auto"/>
          <w:sz w:val="18"/>
          <w:szCs w:val="18"/>
          <w:shd w:val="clear" w:color="auto" w:fill="FFFFFF"/>
          <w:lang w:eastAsia="en-US"/>
        </w:rPr>
        <w:t xml:space="preserve">Dictionary.cambridge.org. 2020. </w:t>
      </w:r>
      <w:r w:rsidRPr="001E0954">
        <w:rPr>
          <w:rFonts w:asciiTheme="minorHAnsi" w:eastAsiaTheme="minorHAnsi" w:hAnsiTheme="minorHAnsi" w:cstheme="minorHAnsi"/>
          <w:i/>
          <w:iCs/>
          <w:color w:val="auto"/>
          <w:sz w:val="18"/>
          <w:szCs w:val="18"/>
          <w:lang w:eastAsia="en-US"/>
        </w:rPr>
        <w:t xml:space="preserve">STRESS | Meaning </w:t>
      </w:r>
      <w:proofErr w:type="gramStart"/>
      <w:r w:rsidRPr="001E0954">
        <w:rPr>
          <w:rFonts w:asciiTheme="minorHAnsi" w:eastAsiaTheme="minorHAnsi" w:hAnsiTheme="minorHAnsi" w:cstheme="minorHAnsi"/>
          <w:i/>
          <w:iCs/>
          <w:color w:val="auto"/>
          <w:sz w:val="18"/>
          <w:szCs w:val="18"/>
          <w:lang w:eastAsia="en-US"/>
        </w:rPr>
        <w:t>In</w:t>
      </w:r>
      <w:proofErr w:type="gramEnd"/>
      <w:r w:rsidRPr="001E0954">
        <w:rPr>
          <w:rFonts w:asciiTheme="minorHAnsi" w:eastAsiaTheme="minorHAnsi" w:hAnsiTheme="minorHAnsi" w:cstheme="minorHAnsi"/>
          <w:i/>
          <w:iCs/>
          <w:color w:val="auto"/>
          <w:sz w:val="18"/>
          <w:szCs w:val="18"/>
          <w:lang w:eastAsia="en-US"/>
        </w:rPr>
        <w:t xml:space="preserve"> The Cambridge English Dictionary</w:t>
      </w:r>
      <w:r w:rsidRPr="001E0954">
        <w:rPr>
          <w:rFonts w:asciiTheme="minorHAnsi" w:eastAsiaTheme="minorHAnsi" w:hAnsiTheme="minorHAnsi" w:cstheme="minorHAnsi"/>
          <w:color w:val="auto"/>
          <w:sz w:val="18"/>
          <w:szCs w:val="18"/>
          <w:shd w:val="clear" w:color="auto" w:fill="FFFFFF"/>
          <w:lang w:eastAsia="en-US"/>
        </w:rPr>
        <w:t>. [online] Available at: &lt;https://dictionary.cambridge.org/dictionary/english/stress&gt; [Accessed 9 October 2020].</w:t>
      </w:r>
    </w:p>
    <w:p w14:paraId="103FE43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color w:val="auto"/>
          <w:sz w:val="18"/>
          <w:szCs w:val="18"/>
          <w:shd w:val="clear" w:color="auto" w:fill="FFFFFF"/>
          <w:lang w:eastAsia="en-US"/>
        </w:rPr>
        <w:t xml:space="preserve">College of Policing. 2020. </w:t>
      </w:r>
      <w:r w:rsidRPr="001E0954">
        <w:rPr>
          <w:rFonts w:asciiTheme="minorHAnsi" w:eastAsiaTheme="minorHAnsi" w:hAnsiTheme="minorHAnsi" w:cstheme="minorHAnsi"/>
          <w:i/>
          <w:iCs/>
          <w:color w:val="auto"/>
          <w:sz w:val="18"/>
          <w:szCs w:val="18"/>
          <w:lang w:eastAsia="en-US"/>
        </w:rPr>
        <w:t xml:space="preserve">We Are Collaborative - College </w:t>
      </w:r>
      <w:proofErr w:type="gramStart"/>
      <w:r w:rsidRPr="001E0954">
        <w:rPr>
          <w:rFonts w:asciiTheme="minorHAnsi" w:eastAsiaTheme="minorHAnsi" w:hAnsiTheme="minorHAnsi" w:cstheme="minorHAnsi"/>
          <w:i/>
          <w:iCs/>
          <w:color w:val="auto"/>
          <w:sz w:val="18"/>
          <w:szCs w:val="18"/>
          <w:lang w:eastAsia="en-US"/>
        </w:rPr>
        <w:t>Of</w:t>
      </w:r>
      <w:proofErr w:type="gramEnd"/>
      <w:r w:rsidRPr="001E0954">
        <w:rPr>
          <w:rFonts w:asciiTheme="minorHAnsi" w:eastAsiaTheme="minorHAnsi" w:hAnsiTheme="minorHAnsi" w:cstheme="minorHAnsi"/>
          <w:i/>
          <w:iCs/>
          <w:color w:val="auto"/>
          <w:sz w:val="18"/>
          <w:szCs w:val="18"/>
          <w:lang w:eastAsia="en-US"/>
        </w:rPr>
        <w:t xml:space="preserve"> Policing</w:t>
      </w:r>
      <w:r w:rsidRPr="001E0954">
        <w:rPr>
          <w:rFonts w:asciiTheme="minorHAnsi" w:eastAsiaTheme="minorHAnsi" w:hAnsiTheme="minorHAnsi" w:cstheme="minorHAnsi"/>
          <w:color w:val="auto"/>
          <w:sz w:val="18"/>
          <w:szCs w:val="18"/>
          <w:shd w:val="clear" w:color="auto" w:fill="FFFFFF"/>
          <w:lang w:eastAsia="en-US"/>
        </w:rPr>
        <w:t>. [online] Available at: &lt;https://profdev.college.police.uk/competency-values/we-are-collaborative/&gt; [Accessed 9 October 2020].</w:t>
      </w:r>
    </w:p>
    <w:p w14:paraId="7E23AD5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color w:val="auto"/>
          <w:sz w:val="18"/>
          <w:szCs w:val="18"/>
          <w:shd w:val="clear" w:color="auto" w:fill="FFFFFF"/>
          <w:lang w:eastAsia="en-US"/>
        </w:rPr>
        <w:t xml:space="preserve">Lencioni, P., 2012. </w:t>
      </w:r>
      <w:r w:rsidRPr="001E0954">
        <w:rPr>
          <w:rFonts w:asciiTheme="minorHAnsi" w:eastAsiaTheme="minorHAnsi" w:hAnsiTheme="minorHAnsi" w:cstheme="minorHAnsi"/>
          <w:i/>
          <w:iCs/>
          <w:color w:val="auto"/>
          <w:sz w:val="18"/>
          <w:szCs w:val="18"/>
          <w:lang w:eastAsia="en-US"/>
        </w:rPr>
        <w:t xml:space="preserve">The Five Dysfunctions </w:t>
      </w:r>
      <w:proofErr w:type="gramStart"/>
      <w:r w:rsidRPr="001E0954">
        <w:rPr>
          <w:rFonts w:asciiTheme="minorHAnsi" w:eastAsiaTheme="minorHAnsi" w:hAnsiTheme="minorHAnsi" w:cstheme="minorHAnsi"/>
          <w:i/>
          <w:iCs/>
          <w:color w:val="auto"/>
          <w:sz w:val="18"/>
          <w:szCs w:val="18"/>
          <w:lang w:eastAsia="en-US"/>
        </w:rPr>
        <w:t>Of</w:t>
      </w:r>
      <w:proofErr w:type="gramEnd"/>
      <w:r w:rsidRPr="001E0954">
        <w:rPr>
          <w:rFonts w:asciiTheme="minorHAnsi" w:eastAsiaTheme="minorHAnsi" w:hAnsiTheme="minorHAnsi" w:cstheme="minorHAnsi"/>
          <w:i/>
          <w:iCs/>
          <w:color w:val="auto"/>
          <w:sz w:val="18"/>
          <w:szCs w:val="18"/>
          <w:lang w:eastAsia="en-US"/>
        </w:rPr>
        <w:t xml:space="preserve"> A Team</w:t>
      </w:r>
      <w:r w:rsidRPr="001E0954">
        <w:rPr>
          <w:rFonts w:asciiTheme="minorHAnsi" w:eastAsiaTheme="minorHAnsi" w:hAnsiTheme="minorHAnsi" w:cstheme="minorHAnsi"/>
          <w:color w:val="auto"/>
          <w:sz w:val="18"/>
          <w:szCs w:val="18"/>
          <w:shd w:val="clear" w:color="auto" w:fill="FFFFFF"/>
          <w:lang w:eastAsia="en-US"/>
        </w:rPr>
        <w:t>. San Francisco, Calif.: Pfeiffer.</w:t>
      </w:r>
    </w:p>
    <w:p w14:paraId="39BE7AEA"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333333"/>
          <w:sz w:val="18"/>
          <w:szCs w:val="18"/>
          <w:shd w:val="clear" w:color="auto" w:fill="FFFFFF"/>
          <w:lang w:eastAsia="en-US"/>
        </w:rPr>
        <w:t>Tuckman, B. W. (1965</w:t>
      </w:r>
      <w:r w:rsidRPr="001E0954">
        <w:rPr>
          <w:rFonts w:asciiTheme="minorHAnsi" w:eastAsiaTheme="minorHAnsi" w:hAnsiTheme="minorHAnsi" w:cstheme="minorHAnsi"/>
          <w:i/>
          <w:iCs/>
          <w:color w:val="333333"/>
          <w:sz w:val="18"/>
          <w:szCs w:val="18"/>
          <w:shd w:val="clear" w:color="auto" w:fill="FFFFFF"/>
          <w:lang w:eastAsia="en-US"/>
        </w:rPr>
        <w:t>). Developmental sequence in small groups</w:t>
      </w:r>
      <w:r w:rsidRPr="001E0954">
        <w:rPr>
          <w:rFonts w:asciiTheme="minorHAnsi" w:eastAsiaTheme="minorHAnsi" w:hAnsiTheme="minorHAnsi" w:cstheme="minorHAnsi"/>
          <w:color w:val="333333"/>
          <w:sz w:val="18"/>
          <w:szCs w:val="18"/>
          <w:shd w:val="clear" w:color="auto" w:fill="FFFFFF"/>
          <w:lang w:eastAsia="en-US"/>
        </w:rPr>
        <w:t xml:space="preserve">. </w:t>
      </w:r>
      <w:r w:rsidRPr="001E0954">
        <w:rPr>
          <w:rFonts w:asciiTheme="minorHAnsi" w:eastAsiaTheme="minorHAnsi" w:hAnsiTheme="minorHAnsi" w:cstheme="minorHAnsi"/>
          <w:color w:val="333333"/>
          <w:sz w:val="18"/>
          <w:szCs w:val="18"/>
          <w:lang w:eastAsia="en-US"/>
        </w:rPr>
        <w:t>Psychological Bulletin,</w:t>
      </w:r>
      <w:r w:rsidRPr="001E0954">
        <w:rPr>
          <w:rFonts w:asciiTheme="minorHAnsi" w:eastAsiaTheme="minorHAnsi" w:hAnsiTheme="minorHAnsi" w:cstheme="minorHAnsi"/>
          <w:i/>
          <w:iCs/>
          <w:color w:val="333333"/>
          <w:sz w:val="18"/>
          <w:szCs w:val="18"/>
          <w:lang w:eastAsia="en-US"/>
        </w:rPr>
        <w:t xml:space="preserve"> 63</w:t>
      </w:r>
      <w:r w:rsidRPr="001E0954">
        <w:rPr>
          <w:rFonts w:asciiTheme="minorHAnsi" w:eastAsiaTheme="minorHAnsi" w:hAnsiTheme="minorHAnsi" w:cstheme="minorHAnsi"/>
          <w:color w:val="333333"/>
          <w:sz w:val="18"/>
          <w:szCs w:val="18"/>
          <w:shd w:val="clear" w:color="auto" w:fill="FFFFFF"/>
          <w:lang w:eastAsia="en-US"/>
        </w:rPr>
        <w:t xml:space="preserve">(6), 38399. </w:t>
      </w:r>
    </w:p>
    <w:p w14:paraId="5B7E2A6A"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color w:val="auto"/>
          <w:sz w:val="18"/>
          <w:szCs w:val="18"/>
          <w:shd w:val="clear" w:color="auto" w:fill="FFFFFF"/>
          <w:lang w:eastAsia="en-US"/>
        </w:rPr>
        <w:t xml:space="preserve">Collinsdictionary.com. 2020. </w:t>
      </w:r>
      <w:r w:rsidRPr="001E0954">
        <w:rPr>
          <w:rFonts w:asciiTheme="minorHAnsi" w:eastAsiaTheme="minorHAnsi" w:hAnsiTheme="minorHAnsi" w:cstheme="minorHAnsi"/>
          <w:i/>
          <w:iCs/>
          <w:color w:val="auto"/>
          <w:sz w:val="18"/>
          <w:szCs w:val="18"/>
          <w:lang w:eastAsia="en-US"/>
        </w:rPr>
        <w:t xml:space="preserve">Canteen Culture Definition </w:t>
      </w:r>
      <w:proofErr w:type="gramStart"/>
      <w:r w:rsidRPr="001E0954">
        <w:rPr>
          <w:rFonts w:asciiTheme="minorHAnsi" w:eastAsiaTheme="minorHAnsi" w:hAnsiTheme="minorHAnsi" w:cstheme="minorHAnsi"/>
          <w:i/>
          <w:iCs/>
          <w:color w:val="auto"/>
          <w:sz w:val="18"/>
          <w:szCs w:val="18"/>
          <w:lang w:eastAsia="en-US"/>
        </w:rPr>
        <w:t>And</w:t>
      </w:r>
      <w:proofErr w:type="gramEnd"/>
      <w:r w:rsidRPr="001E0954">
        <w:rPr>
          <w:rFonts w:asciiTheme="minorHAnsi" w:eastAsiaTheme="minorHAnsi" w:hAnsiTheme="minorHAnsi" w:cstheme="minorHAnsi"/>
          <w:i/>
          <w:iCs/>
          <w:color w:val="auto"/>
          <w:sz w:val="18"/>
          <w:szCs w:val="18"/>
          <w:lang w:eastAsia="en-US"/>
        </w:rPr>
        <w:t xml:space="preserve"> Meaning | Collins English Dictionary</w:t>
      </w:r>
      <w:r w:rsidRPr="001E0954">
        <w:rPr>
          <w:rFonts w:asciiTheme="minorHAnsi" w:eastAsiaTheme="minorHAnsi" w:hAnsiTheme="minorHAnsi" w:cstheme="minorHAnsi"/>
          <w:color w:val="auto"/>
          <w:sz w:val="18"/>
          <w:szCs w:val="18"/>
          <w:shd w:val="clear" w:color="auto" w:fill="FFFFFF"/>
          <w:lang w:eastAsia="en-US"/>
        </w:rPr>
        <w:t>. [online] Available at: &lt;https://www.collinsdictionary.com/dictionary/english/canteen-culture&gt; [Accessed 9 October 2020].</w:t>
      </w:r>
    </w:p>
    <w:p w14:paraId="122E0252"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proofErr w:type="spellStart"/>
      <w:r w:rsidRPr="001E0954">
        <w:rPr>
          <w:rFonts w:asciiTheme="minorHAnsi" w:eastAsiaTheme="minorHAnsi" w:hAnsiTheme="minorHAnsi" w:cstheme="minorHAnsi"/>
          <w:color w:val="auto"/>
          <w:sz w:val="18"/>
          <w:szCs w:val="18"/>
          <w:shd w:val="clear" w:color="auto" w:fill="FFFFFF"/>
          <w:lang w:eastAsia="en-US"/>
        </w:rPr>
        <w:t>McPhearson</w:t>
      </w:r>
      <w:proofErr w:type="spellEnd"/>
      <w:r w:rsidRPr="001E0954">
        <w:rPr>
          <w:rFonts w:asciiTheme="minorHAnsi" w:eastAsiaTheme="minorHAnsi" w:hAnsiTheme="minorHAnsi" w:cstheme="minorHAnsi"/>
          <w:color w:val="auto"/>
          <w:sz w:val="18"/>
          <w:szCs w:val="18"/>
          <w:shd w:val="clear" w:color="auto" w:fill="FFFFFF"/>
          <w:lang w:eastAsia="en-US"/>
        </w:rPr>
        <w:t xml:space="preserve"> Report 1999. [online] Available at: &lt;https://assets.publishing.service.gov.uk/government/uploads/system/uploads/attachment_data/file/277111/4262.pdf&gt; [Accessed 9 October 2020]</w:t>
      </w:r>
    </w:p>
    <w:p w14:paraId="0A1BC727"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color w:val="auto"/>
          <w:sz w:val="18"/>
          <w:szCs w:val="18"/>
          <w:shd w:val="clear" w:color="auto" w:fill="FFFFFF"/>
          <w:lang w:eastAsia="en-US"/>
        </w:rPr>
        <w:t xml:space="preserve">Waddington, PAJ (1999), </w:t>
      </w:r>
      <w:r w:rsidRPr="001E0954">
        <w:rPr>
          <w:rFonts w:asciiTheme="minorHAnsi" w:eastAsiaTheme="minorHAnsi" w:hAnsiTheme="minorHAnsi" w:cstheme="minorHAnsi"/>
          <w:i/>
          <w:iCs/>
          <w:color w:val="auto"/>
          <w:sz w:val="18"/>
          <w:szCs w:val="18"/>
          <w:shd w:val="clear" w:color="auto" w:fill="FFFFFF"/>
          <w:lang w:eastAsia="en-US"/>
        </w:rPr>
        <w:t>Policing Citizen</w:t>
      </w:r>
      <w:r w:rsidRPr="001E0954">
        <w:rPr>
          <w:rFonts w:asciiTheme="minorHAnsi" w:eastAsiaTheme="minorHAnsi" w:hAnsiTheme="minorHAnsi" w:cstheme="minorHAnsi"/>
          <w:color w:val="auto"/>
          <w:sz w:val="18"/>
          <w:szCs w:val="18"/>
          <w:shd w:val="clear" w:color="auto" w:fill="FFFFFF"/>
          <w:lang w:eastAsia="en-US"/>
        </w:rPr>
        <w:t xml:space="preserve"> (London: UCL Press)</w:t>
      </w:r>
    </w:p>
    <w:p w14:paraId="66B3E1F5"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iCs/>
          <w:color w:val="auto"/>
          <w:sz w:val="18"/>
          <w:szCs w:val="18"/>
          <w:lang w:eastAsia="en-US"/>
        </w:rPr>
        <w:t xml:space="preserve">Menzies 1960; </w:t>
      </w:r>
      <w:r w:rsidRPr="001E0954">
        <w:rPr>
          <w:rFonts w:asciiTheme="minorHAnsi" w:eastAsiaTheme="minorHAnsi" w:hAnsiTheme="minorHAnsi" w:cstheme="minorHAnsi"/>
          <w:i/>
          <w:color w:val="auto"/>
          <w:sz w:val="18"/>
          <w:szCs w:val="18"/>
          <w:lang w:eastAsia="en-US"/>
        </w:rPr>
        <w:t xml:space="preserve">‘A Case study in the functioning of social systems as a Defence against Anxiety’ </w:t>
      </w:r>
      <w:r w:rsidRPr="001E0954">
        <w:rPr>
          <w:rFonts w:asciiTheme="minorHAnsi" w:eastAsiaTheme="minorHAnsi" w:hAnsiTheme="minorHAnsi" w:cstheme="minorHAnsi"/>
          <w:iCs/>
          <w:color w:val="auto"/>
          <w:sz w:val="18"/>
          <w:szCs w:val="18"/>
          <w:lang w:eastAsia="en-US"/>
        </w:rPr>
        <w:t>Human Relations, 13: 95 – 121.</w:t>
      </w:r>
    </w:p>
    <w:p w14:paraId="1DF0561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proofErr w:type="spellStart"/>
      <w:r w:rsidRPr="001E0954">
        <w:rPr>
          <w:rFonts w:asciiTheme="minorHAnsi" w:eastAsiaTheme="minorHAnsi" w:hAnsiTheme="minorHAnsi" w:cstheme="minorHAnsi"/>
          <w:color w:val="auto"/>
          <w:sz w:val="18"/>
          <w:szCs w:val="18"/>
          <w:shd w:val="clear" w:color="auto" w:fill="FFFFFF"/>
          <w:lang w:eastAsia="en-US"/>
        </w:rPr>
        <w:t>Bosson</w:t>
      </w:r>
      <w:proofErr w:type="spellEnd"/>
      <w:r w:rsidRPr="001E0954">
        <w:rPr>
          <w:rFonts w:asciiTheme="minorHAnsi" w:eastAsiaTheme="minorHAnsi" w:hAnsiTheme="minorHAnsi" w:cstheme="minorHAnsi"/>
          <w:color w:val="auto"/>
          <w:sz w:val="18"/>
          <w:szCs w:val="18"/>
          <w:shd w:val="clear" w:color="auto" w:fill="FFFFFF"/>
          <w:lang w:eastAsia="en-US"/>
        </w:rPr>
        <w:t xml:space="preserve"> Jennifer (2006) Nytimes.com. 2006. </w:t>
      </w:r>
      <w:r w:rsidRPr="001E0954">
        <w:rPr>
          <w:rFonts w:asciiTheme="minorHAnsi" w:eastAsiaTheme="minorHAnsi" w:hAnsiTheme="minorHAnsi" w:cstheme="minorHAnsi"/>
          <w:i/>
          <w:iCs/>
          <w:color w:val="auto"/>
          <w:sz w:val="18"/>
          <w:szCs w:val="18"/>
          <w:lang w:eastAsia="en-US"/>
        </w:rPr>
        <w:t>Negativity Friendships (Published 2006)</w:t>
      </w:r>
      <w:r w:rsidRPr="001E0954">
        <w:rPr>
          <w:rFonts w:asciiTheme="minorHAnsi" w:eastAsiaTheme="minorHAnsi" w:hAnsiTheme="minorHAnsi" w:cstheme="minorHAnsi"/>
          <w:color w:val="auto"/>
          <w:sz w:val="18"/>
          <w:szCs w:val="18"/>
          <w:shd w:val="clear" w:color="auto" w:fill="FFFFFF"/>
          <w:lang w:eastAsia="en-US"/>
        </w:rPr>
        <w:t>. [</w:t>
      </w:r>
      <w:proofErr w:type="gramStart"/>
      <w:r w:rsidRPr="001E0954">
        <w:rPr>
          <w:rFonts w:asciiTheme="minorHAnsi" w:eastAsiaTheme="minorHAnsi" w:hAnsiTheme="minorHAnsi" w:cstheme="minorHAnsi"/>
          <w:color w:val="auto"/>
          <w:sz w:val="18"/>
          <w:szCs w:val="18"/>
          <w:shd w:val="clear" w:color="auto" w:fill="FFFFFF"/>
          <w:lang w:eastAsia="en-US"/>
        </w:rPr>
        <w:t>online]  Available</w:t>
      </w:r>
      <w:proofErr w:type="gramEnd"/>
      <w:r w:rsidRPr="001E0954">
        <w:rPr>
          <w:rFonts w:asciiTheme="minorHAnsi" w:eastAsiaTheme="minorHAnsi" w:hAnsiTheme="minorHAnsi" w:cstheme="minorHAnsi"/>
          <w:color w:val="auto"/>
          <w:sz w:val="18"/>
          <w:szCs w:val="18"/>
          <w:shd w:val="clear" w:color="auto" w:fill="FFFFFF"/>
          <w:lang w:eastAsia="en-US"/>
        </w:rPr>
        <w:t xml:space="preserve"> at: &lt;https://www.nytimes.com/2006/12/10/magazine/10Section2b.t-7.html&gt; [Accessed 9 October 2020].</w:t>
      </w:r>
    </w:p>
    <w:p w14:paraId="28235AEB" w14:textId="77777777" w:rsidR="001E0954" w:rsidRPr="001E0954" w:rsidRDefault="001E0954" w:rsidP="001E0954">
      <w:pPr>
        <w:overflowPunct/>
        <w:autoSpaceDE/>
        <w:autoSpaceDN/>
        <w:adjustRightInd/>
        <w:spacing w:after="160" w:line="276" w:lineRule="auto"/>
        <w:textAlignment w:val="auto"/>
        <w:rPr>
          <w:rFonts w:asciiTheme="minorHAnsi" w:eastAsiaTheme="minorHAnsi" w:hAnsiTheme="minorHAnsi" w:cstheme="minorHAnsi"/>
          <w:iCs/>
          <w:color w:val="auto"/>
          <w:sz w:val="18"/>
          <w:szCs w:val="18"/>
          <w:lang w:eastAsia="en-US"/>
        </w:rPr>
      </w:pPr>
      <w:r w:rsidRPr="001E0954">
        <w:rPr>
          <w:rFonts w:asciiTheme="minorHAnsi" w:eastAsiaTheme="minorHAnsi" w:hAnsiTheme="minorHAnsi" w:cstheme="minorHAnsi"/>
          <w:iCs/>
          <w:color w:val="auto"/>
          <w:sz w:val="18"/>
          <w:szCs w:val="18"/>
          <w:lang w:eastAsia="en-US"/>
        </w:rPr>
        <w:t xml:space="preserve">van der Ploeg et al. 2003 </w:t>
      </w:r>
      <w:r w:rsidRPr="001E0954">
        <w:rPr>
          <w:rFonts w:asciiTheme="minorHAnsi" w:eastAsiaTheme="minorHAnsi" w:hAnsiTheme="minorHAnsi" w:cstheme="minorHAnsi"/>
          <w:i/>
          <w:color w:val="auto"/>
          <w:sz w:val="18"/>
          <w:szCs w:val="18"/>
          <w:lang w:eastAsia="en-US"/>
        </w:rPr>
        <w:t>– Critical incidents and chronic stressors at work: Their impact on forensic doctors</w:t>
      </w:r>
      <w:r w:rsidRPr="001E0954">
        <w:rPr>
          <w:rFonts w:asciiTheme="minorHAnsi" w:eastAsiaTheme="minorHAnsi" w:hAnsiTheme="minorHAnsi" w:cstheme="minorHAnsi"/>
          <w:iCs/>
          <w:color w:val="auto"/>
          <w:sz w:val="18"/>
          <w:szCs w:val="18"/>
          <w:lang w:eastAsia="en-US"/>
        </w:rPr>
        <w:t>, Journal of Occupation Health Psychology8, 157 – 166</w:t>
      </w:r>
    </w:p>
    <w:p w14:paraId="6F63A370" w14:textId="77777777" w:rsidR="001E0954" w:rsidRPr="001E0954" w:rsidRDefault="001E0954" w:rsidP="001E0954">
      <w:pPr>
        <w:overflowPunct/>
        <w:autoSpaceDE/>
        <w:autoSpaceDN/>
        <w:adjustRightInd/>
        <w:spacing w:after="160" w:line="276" w:lineRule="auto"/>
        <w:textAlignment w:val="auto"/>
        <w:rPr>
          <w:rFonts w:asciiTheme="minorHAnsi" w:eastAsiaTheme="minorHAnsi" w:hAnsiTheme="minorHAnsi" w:cstheme="minorHAnsi"/>
          <w:iCs/>
          <w:color w:val="auto"/>
          <w:sz w:val="18"/>
          <w:szCs w:val="18"/>
          <w:lang w:eastAsia="en-US"/>
        </w:rPr>
      </w:pPr>
      <w:r w:rsidRPr="001E0954">
        <w:rPr>
          <w:rFonts w:asciiTheme="minorHAnsi" w:eastAsiaTheme="minorHAnsi" w:hAnsiTheme="minorHAnsi" w:cstheme="minorHAnsi"/>
          <w:iCs/>
          <w:color w:val="auto"/>
          <w:sz w:val="18"/>
          <w:szCs w:val="18"/>
          <w:lang w:eastAsia="en-US"/>
        </w:rPr>
        <w:t xml:space="preserve">Chen and Martin, 2007 </w:t>
      </w:r>
      <w:proofErr w:type="gramStart"/>
      <w:r w:rsidRPr="001E0954">
        <w:rPr>
          <w:rFonts w:asciiTheme="minorHAnsi" w:eastAsiaTheme="minorHAnsi" w:hAnsiTheme="minorHAnsi" w:cstheme="minorHAnsi"/>
          <w:i/>
          <w:color w:val="auto"/>
          <w:sz w:val="18"/>
          <w:szCs w:val="18"/>
          <w:lang w:eastAsia="en-US"/>
        </w:rPr>
        <w:t>-  A</w:t>
      </w:r>
      <w:proofErr w:type="gramEnd"/>
      <w:r w:rsidRPr="001E0954">
        <w:rPr>
          <w:rFonts w:asciiTheme="minorHAnsi" w:eastAsiaTheme="minorHAnsi" w:hAnsiTheme="minorHAnsi" w:cstheme="minorHAnsi"/>
          <w:i/>
          <w:color w:val="auto"/>
          <w:sz w:val="18"/>
          <w:szCs w:val="18"/>
          <w:lang w:eastAsia="en-US"/>
        </w:rPr>
        <w:t xml:space="preserve"> comparison of humour styles, coping </w:t>
      </w:r>
      <w:proofErr w:type="spellStart"/>
      <w:r w:rsidRPr="001E0954">
        <w:rPr>
          <w:rFonts w:asciiTheme="minorHAnsi" w:eastAsiaTheme="minorHAnsi" w:hAnsiTheme="minorHAnsi" w:cstheme="minorHAnsi"/>
          <w:i/>
          <w:color w:val="auto"/>
          <w:sz w:val="18"/>
          <w:szCs w:val="18"/>
          <w:lang w:eastAsia="en-US"/>
        </w:rPr>
        <w:t>humor</w:t>
      </w:r>
      <w:proofErr w:type="spellEnd"/>
      <w:r w:rsidRPr="001E0954">
        <w:rPr>
          <w:rFonts w:asciiTheme="minorHAnsi" w:eastAsiaTheme="minorHAnsi" w:hAnsiTheme="minorHAnsi" w:cstheme="minorHAnsi"/>
          <w:i/>
          <w:color w:val="auto"/>
          <w:sz w:val="18"/>
          <w:szCs w:val="18"/>
          <w:lang w:eastAsia="en-US"/>
        </w:rPr>
        <w:t xml:space="preserve"> and mental health between Chinese and Canadian university students</w:t>
      </w:r>
      <w:r w:rsidRPr="001E0954">
        <w:rPr>
          <w:rFonts w:asciiTheme="minorHAnsi" w:eastAsiaTheme="minorHAnsi" w:hAnsiTheme="minorHAnsi" w:cstheme="minorHAnsi"/>
          <w:iCs/>
          <w:color w:val="auto"/>
          <w:sz w:val="18"/>
          <w:szCs w:val="18"/>
          <w:lang w:eastAsia="en-US"/>
        </w:rPr>
        <w:t>, humour, 20, 215 – 234</w:t>
      </w:r>
    </w:p>
    <w:p w14:paraId="5C81F71F" w14:textId="77777777" w:rsidR="001E0954" w:rsidRPr="001E0954" w:rsidRDefault="001E0954" w:rsidP="001E0954">
      <w:pPr>
        <w:overflowPunct/>
        <w:autoSpaceDE/>
        <w:autoSpaceDN/>
        <w:adjustRightInd/>
        <w:spacing w:after="160" w:line="276" w:lineRule="auto"/>
        <w:textAlignment w:val="auto"/>
        <w:rPr>
          <w:rFonts w:asciiTheme="minorHAnsi" w:eastAsiaTheme="minorHAnsi" w:hAnsiTheme="minorHAnsi" w:cstheme="minorHAnsi"/>
          <w:iCs/>
          <w:color w:val="auto"/>
          <w:sz w:val="18"/>
          <w:szCs w:val="18"/>
          <w:lang w:eastAsia="en-US"/>
        </w:rPr>
      </w:pPr>
      <w:r w:rsidRPr="001E0954">
        <w:rPr>
          <w:rFonts w:asciiTheme="minorHAnsi" w:eastAsiaTheme="minorHAnsi" w:hAnsiTheme="minorHAnsi" w:cstheme="minorHAnsi"/>
          <w:iCs/>
          <w:color w:val="auto"/>
          <w:sz w:val="18"/>
          <w:szCs w:val="18"/>
          <w:lang w:eastAsia="en-US"/>
        </w:rPr>
        <w:t xml:space="preserve">Garrick, 2006 </w:t>
      </w:r>
      <w:proofErr w:type="gramStart"/>
      <w:r w:rsidRPr="001E0954">
        <w:rPr>
          <w:rFonts w:asciiTheme="minorHAnsi" w:eastAsiaTheme="minorHAnsi" w:hAnsiTheme="minorHAnsi" w:cstheme="minorHAnsi"/>
          <w:i/>
          <w:color w:val="auto"/>
          <w:sz w:val="18"/>
          <w:szCs w:val="18"/>
          <w:lang w:eastAsia="en-US"/>
        </w:rPr>
        <w:t>-  The</w:t>
      </w:r>
      <w:proofErr w:type="gramEnd"/>
      <w:r w:rsidRPr="001E0954">
        <w:rPr>
          <w:rFonts w:asciiTheme="minorHAnsi" w:eastAsiaTheme="minorHAnsi" w:hAnsiTheme="minorHAnsi" w:cstheme="minorHAnsi"/>
          <w:i/>
          <w:color w:val="auto"/>
          <w:sz w:val="18"/>
          <w:szCs w:val="18"/>
          <w:lang w:eastAsia="en-US"/>
        </w:rPr>
        <w:t xml:space="preserve"> humour of trauma survivors</w:t>
      </w:r>
      <w:r w:rsidRPr="001E0954">
        <w:rPr>
          <w:rFonts w:asciiTheme="minorHAnsi" w:eastAsiaTheme="minorHAnsi" w:hAnsiTheme="minorHAnsi" w:cstheme="minorHAnsi"/>
          <w:iCs/>
          <w:color w:val="auto"/>
          <w:sz w:val="18"/>
          <w:szCs w:val="18"/>
          <w:lang w:eastAsia="en-US"/>
        </w:rPr>
        <w:t>. Journal of Aggression, Maltreatment and Trauma, 12, 169 – 182</w:t>
      </w:r>
    </w:p>
    <w:p w14:paraId="00F24EC9" w14:textId="77777777" w:rsidR="001E0954" w:rsidRPr="001E0954" w:rsidRDefault="001E0954" w:rsidP="001E0954">
      <w:pPr>
        <w:overflowPunct/>
        <w:autoSpaceDE/>
        <w:autoSpaceDN/>
        <w:adjustRightInd/>
        <w:spacing w:after="160" w:line="276" w:lineRule="auto"/>
        <w:textAlignment w:val="auto"/>
        <w:rPr>
          <w:rFonts w:asciiTheme="minorHAnsi" w:eastAsiaTheme="minorHAnsi" w:hAnsiTheme="minorHAnsi" w:cstheme="minorHAnsi"/>
          <w:iCs/>
          <w:color w:val="auto"/>
          <w:sz w:val="18"/>
          <w:szCs w:val="18"/>
          <w:lang w:eastAsia="en-US"/>
        </w:rPr>
      </w:pPr>
      <w:proofErr w:type="spellStart"/>
      <w:r w:rsidRPr="001E0954">
        <w:rPr>
          <w:rFonts w:asciiTheme="minorHAnsi" w:eastAsiaTheme="minorHAnsi" w:hAnsiTheme="minorHAnsi" w:cstheme="minorHAnsi"/>
          <w:iCs/>
          <w:color w:val="auto"/>
          <w:sz w:val="18"/>
          <w:szCs w:val="18"/>
          <w:lang w:eastAsia="en-US"/>
        </w:rPr>
        <w:t>Thornson</w:t>
      </w:r>
      <w:proofErr w:type="spellEnd"/>
      <w:r w:rsidRPr="001E0954">
        <w:rPr>
          <w:rFonts w:asciiTheme="minorHAnsi" w:eastAsiaTheme="minorHAnsi" w:hAnsiTheme="minorHAnsi" w:cstheme="minorHAnsi"/>
          <w:iCs/>
          <w:color w:val="auto"/>
          <w:sz w:val="18"/>
          <w:szCs w:val="18"/>
          <w:lang w:eastAsia="en-US"/>
        </w:rPr>
        <w:t xml:space="preserve"> 1985 – </w:t>
      </w:r>
      <w:r w:rsidRPr="001E0954">
        <w:rPr>
          <w:rFonts w:asciiTheme="minorHAnsi" w:eastAsiaTheme="minorHAnsi" w:hAnsiTheme="minorHAnsi" w:cstheme="minorHAnsi"/>
          <w:i/>
          <w:color w:val="auto"/>
          <w:sz w:val="18"/>
          <w:szCs w:val="18"/>
          <w:lang w:eastAsia="en-US"/>
        </w:rPr>
        <w:t xml:space="preserve">‘A funny thing happened on the way to the morgue. Some thoughts on </w:t>
      </w:r>
      <w:proofErr w:type="spellStart"/>
      <w:r w:rsidRPr="001E0954">
        <w:rPr>
          <w:rFonts w:asciiTheme="minorHAnsi" w:eastAsiaTheme="minorHAnsi" w:hAnsiTheme="minorHAnsi" w:cstheme="minorHAnsi"/>
          <w:i/>
          <w:color w:val="auto"/>
          <w:sz w:val="18"/>
          <w:szCs w:val="18"/>
          <w:lang w:eastAsia="en-US"/>
        </w:rPr>
        <w:t>humor</w:t>
      </w:r>
      <w:proofErr w:type="spellEnd"/>
      <w:r w:rsidRPr="001E0954">
        <w:rPr>
          <w:rFonts w:asciiTheme="minorHAnsi" w:eastAsiaTheme="minorHAnsi" w:hAnsiTheme="minorHAnsi" w:cstheme="minorHAnsi"/>
          <w:i/>
          <w:color w:val="auto"/>
          <w:sz w:val="18"/>
          <w:szCs w:val="18"/>
          <w:lang w:eastAsia="en-US"/>
        </w:rPr>
        <w:t xml:space="preserve"> and death and a taxonomy of the humour associated with death</w:t>
      </w:r>
      <w:r w:rsidRPr="001E0954">
        <w:rPr>
          <w:rFonts w:asciiTheme="minorHAnsi" w:eastAsiaTheme="minorHAnsi" w:hAnsiTheme="minorHAnsi" w:cstheme="minorHAnsi"/>
          <w:iCs/>
          <w:color w:val="auto"/>
          <w:sz w:val="18"/>
          <w:szCs w:val="18"/>
          <w:lang w:eastAsia="en-US"/>
        </w:rPr>
        <w:t>. Death studies, 9, 204 – 216</w:t>
      </w:r>
    </w:p>
    <w:p w14:paraId="6AC5256C" w14:textId="77777777" w:rsidR="001E0954" w:rsidRPr="001E0954" w:rsidRDefault="001E0954" w:rsidP="001E0954">
      <w:pPr>
        <w:overflowPunct/>
        <w:autoSpaceDE/>
        <w:autoSpaceDN/>
        <w:adjustRightInd/>
        <w:spacing w:after="160" w:line="276" w:lineRule="auto"/>
        <w:textAlignment w:val="auto"/>
        <w:rPr>
          <w:rFonts w:asciiTheme="minorHAnsi" w:eastAsiaTheme="minorHAnsi" w:hAnsiTheme="minorHAnsi" w:cstheme="minorHAnsi"/>
          <w:iCs/>
          <w:color w:val="auto"/>
          <w:sz w:val="18"/>
          <w:szCs w:val="18"/>
          <w:lang w:eastAsia="en-US"/>
        </w:rPr>
      </w:pPr>
      <w:r w:rsidRPr="001E0954">
        <w:rPr>
          <w:rFonts w:asciiTheme="minorHAnsi" w:eastAsiaTheme="minorHAnsi" w:hAnsiTheme="minorHAnsi" w:cstheme="minorHAnsi"/>
          <w:iCs/>
          <w:color w:val="auto"/>
          <w:sz w:val="18"/>
          <w:szCs w:val="18"/>
          <w:lang w:eastAsia="en-US"/>
        </w:rPr>
        <w:t xml:space="preserve">Harris et al 2006 </w:t>
      </w:r>
      <w:r w:rsidRPr="001E0954">
        <w:rPr>
          <w:rFonts w:asciiTheme="minorHAnsi" w:eastAsiaTheme="minorHAnsi" w:hAnsiTheme="minorHAnsi" w:cstheme="minorHAnsi"/>
          <w:i/>
          <w:color w:val="auto"/>
          <w:sz w:val="18"/>
          <w:szCs w:val="18"/>
          <w:lang w:eastAsia="en-US"/>
        </w:rPr>
        <w:t xml:space="preserve">– Physical activity, exercise coping and depression in a </w:t>
      </w:r>
      <w:proofErr w:type="gramStart"/>
      <w:r w:rsidRPr="001E0954">
        <w:rPr>
          <w:rFonts w:asciiTheme="minorHAnsi" w:eastAsiaTheme="minorHAnsi" w:hAnsiTheme="minorHAnsi" w:cstheme="minorHAnsi"/>
          <w:i/>
          <w:color w:val="auto"/>
          <w:sz w:val="18"/>
          <w:szCs w:val="18"/>
          <w:lang w:eastAsia="en-US"/>
        </w:rPr>
        <w:t>10 year</w:t>
      </w:r>
      <w:proofErr w:type="gramEnd"/>
      <w:r w:rsidRPr="001E0954">
        <w:rPr>
          <w:rFonts w:asciiTheme="minorHAnsi" w:eastAsiaTheme="minorHAnsi" w:hAnsiTheme="minorHAnsi" w:cstheme="minorHAnsi"/>
          <w:i/>
          <w:color w:val="auto"/>
          <w:sz w:val="18"/>
          <w:szCs w:val="18"/>
          <w:lang w:eastAsia="en-US"/>
        </w:rPr>
        <w:t xml:space="preserve"> cohort study of depressed patients</w:t>
      </w:r>
      <w:r w:rsidRPr="001E0954">
        <w:rPr>
          <w:rFonts w:asciiTheme="minorHAnsi" w:eastAsiaTheme="minorHAnsi" w:hAnsiTheme="minorHAnsi" w:cstheme="minorHAnsi"/>
          <w:iCs/>
          <w:color w:val="auto"/>
          <w:sz w:val="18"/>
          <w:szCs w:val="18"/>
          <w:lang w:eastAsia="en-US"/>
        </w:rPr>
        <w:t>, Journal of Affective Disorders, 93, 79 - 85</w:t>
      </w:r>
    </w:p>
    <w:p w14:paraId="2839871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r w:rsidRPr="001E0954">
        <w:rPr>
          <w:rFonts w:asciiTheme="minorHAnsi" w:eastAsiaTheme="minorHAnsi" w:hAnsiTheme="minorHAnsi" w:cstheme="minorHAnsi"/>
          <w:color w:val="auto"/>
          <w:sz w:val="18"/>
          <w:szCs w:val="18"/>
          <w:shd w:val="clear" w:color="auto" w:fill="FFFFFF"/>
          <w:lang w:eastAsia="en-US"/>
        </w:rPr>
        <w:t xml:space="preserve">Independent.co.uk. 2020. </w:t>
      </w:r>
      <w:r w:rsidRPr="001E0954">
        <w:rPr>
          <w:rFonts w:asciiTheme="minorHAnsi" w:eastAsiaTheme="minorHAnsi" w:hAnsiTheme="minorHAnsi" w:cstheme="minorHAnsi"/>
          <w:i/>
          <w:iCs/>
          <w:color w:val="auto"/>
          <w:sz w:val="18"/>
          <w:szCs w:val="18"/>
          <w:lang w:eastAsia="en-US"/>
        </w:rPr>
        <w:t xml:space="preserve">Playing Video Games Is A Key Strategy </w:t>
      </w:r>
      <w:proofErr w:type="gramStart"/>
      <w:r w:rsidRPr="001E0954">
        <w:rPr>
          <w:rFonts w:asciiTheme="minorHAnsi" w:eastAsiaTheme="minorHAnsi" w:hAnsiTheme="minorHAnsi" w:cstheme="minorHAnsi"/>
          <w:i/>
          <w:iCs/>
          <w:color w:val="auto"/>
          <w:sz w:val="18"/>
          <w:szCs w:val="18"/>
          <w:lang w:eastAsia="en-US"/>
        </w:rPr>
        <w:t>For</w:t>
      </w:r>
      <w:proofErr w:type="gramEnd"/>
      <w:r w:rsidRPr="001E0954">
        <w:rPr>
          <w:rFonts w:asciiTheme="minorHAnsi" w:eastAsiaTheme="minorHAnsi" w:hAnsiTheme="minorHAnsi" w:cstheme="minorHAnsi"/>
          <w:i/>
          <w:iCs/>
          <w:color w:val="auto"/>
          <w:sz w:val="18"/>
          <w:szCs w:val="18"/>
          <w:lang w:eastAsia="en-US"/>
        </w:rPr>
        <w:t xml:space="preserve"> Coping With Stress, Study Finds</w:t>
      </w:r>
      <w:r w:rsidRPr="001E0954">
        <w:rPr>
          <w:rFonts w:asciiTheme="minorHAnsi" w:eastAsiaTheme="minorHAnsi" w:hAnsiTheme="minorHAnsi" w:cstheme="minorHAnsi"/>
          <w:color w:val="auto"/>
          <w:sz w:val="18"/>
          <w:szCs w:val="18"/>
          <w:shd w:val="clear" w:color="auto" w:fill="FFFFFF"/>
          <w:lang w:eastAsia="en-US"/>
        </w:rPr>
        <w:t>. [online] Available at: &lt;https://www.independent.co.uk/life-style/video-games-stress-playing-strategy-key-gamers-study-a8202541.html&gt; [Accessed 9 October 2020].</w:t>
      </w:r>
    </w:p>
    <w:p w14:paraId="420131B0" w14:textId="77777777" w:rsidR="001E0954" w:rsidRPr="001E0954" w:rsidRDefault="001E0954" w:rsidP="001E0954">
      <w:pPr>
        <w:overflowPunct/>
        <w:autoSpaceDE/>
        <w:autoSpaceDN/>
        <w:adjustRightInd/>
        <w:spacing w:after="160" w:line="276" w:lineRule="auto"/>
        <w:jc w:val="both"/>
        <w:textAlignment w:val="auto"/>
        <w:rPr>
          <w:rFonts w:asciiTheme="minorHAnsi" w:eastAsiaTheme="minorHAnsi" w:hAnsiTheme="minorHAnsi" w:cstheme="minorHAnsi"/>
          <w:b/>
          <w:iCs/>
          <w:color w:val="auto"/>
          <w:sz w:val="18"/>
          <w:szCs w:val="18"/>
          <w:lang w:eastAsia="en-US"/>
        </w:rPr>
      </w:pPr>
      <w:r w:rsidRPr="001E0954">
        <w:rPr>
          <w:rFonts w:asciiTheme="minorHAnsi" w:eastAsiaTheme="minorHAnsi" w:hAnsiTheme="minorHAnsi" w:cstheme="minorHAnsi"/>
          <w:color w:val="auto"/>
          <w:sz w:val="18"/>
          <w:szCs w:val="18"/>
          <w:shd w:val="clear" w:color="auto" w:fill="FFFFFF"/>
          <w:lang w:eastAsia="en-US"/>
        </w:rPr>
        <w:t xml:space="preserve">Policing Insight. 2020. </w:t>
      </w:r>
      <w:r w:rsidRPr="001E0954">
        <w:rPr>
          <w:rFonts w:asciiTheme="minorHAnsi" w:eastAsiaTheme="minorHAnsi" w:hAnsiTheme="minorHAnsi" w:cstheme="minorHAnsi"/>
          <w:i/>
          <w:iCs/>
          <w:color w:val="auto"/>
          <w:sz w:val="18"/>
          <w:szCs w:val="18"/>
          <w:lang w:eastAsia="en-US"/>
        </w:rPr>
        <w:t xml:space="preserve">British Police Took Almost 500,000 Sick Days In 2019 Due </w:t>
      </w:r>
      <w:proofErr w:type="gramStart"/>
      <w:r w:rsidRPr="001E0954">
        <w:rPr>
          <w:rFonts w:asciiTheme="minorHAnsi" w:eastAsiaTheme="minorHAnsi" w:hAnsiTheme="minorHAnsi" w:cstheme="minorHAnsi"/>
          <w:i/>
          <w:iCs/>
          <w:color w:val="auto"/>
          <w:sz w:val="18"/>
          <w:szCs w:val="18"/>
          <w:lang w:eastAsia="en-US"/>
        </w:rPr>
        <w:t>To</w:t>
      </w:r>
      <w:proofErr w:type="gramEnd"/>
      <w:r w:rsidRPr="001E0954">
        <w:rPr>
          <w:rFonts w:asciiTheme="minorHAnsi" w:eastAsiaTheme="minorHAnsi" w:hAnsiTheme="minorHAnsi" w:cstheme="minorHAnsi"/>
          <w:i/>
          <w:iCs/>
          <w:color w:val="auto"/>
          <w:sz w:val="18"/>
          <w:szCs w:val="18"/>
          <w:lang w:eastAsia="en-US"/>
        </w:rPr>
        <w:t xml:space="preserve"> Mental Health - Policing Insight</w:t>
      </w:r>
      <w:r w:rsidRPr="001E0954">
        <w:rPr>
          <w:rFonts w:asciiTheme="minorHAnsi" w:eastAsiaTheme="minorHAnsi" w:hAnsiTheme="minorHAnsi" w:cstheme="minorHAnsi"/>
          <w:color w:val="auto"/>
          <w:sz w:val="18"/>
          <w:szCs w:val="18"/>
          <w:shd w:val="clear" w:color="auto" w:fill="FFFFFF"/>
          <w:lang w:eastAsia="en-US"/>
        </w:rPr>
        <w:t>. [online] Available at: &lt;https://policinginsight.com/media-monitoring/british-police-took-almost-500000-sick-days-in-2019-due-to-mental-health/&gt; [Accessed 9 October 2020</w:t>
      </w:r>
      <w:r w:rsidRPr="001E0954">
        <w:rPr>
          <w:rFonts w:asciiTheme="minorHAnsi" w:eastAsiaTheme="minorHAnsi" w:hAnsiTheme="minorHAnsi" w:cstheme="minorHAnsi"/>
          <w:b/>
          <w:iCs/>
          <w:color w:val="auto"/>
          <w:sz w:val="18"/>
          <w:szCs w:val="18"/>
          <w:lang w:eastAsia="en-US"/>
        </w:rPr>
        <w:t xml:space="preserve"> </w:t>
      </w:r>
    </w:p>
    <w:p w14:paraId="42DBF1B9" w14:textId="77777777" w:rsidR="001E0954" w:rsidRPr="001E0954" w:rsidRDefault="001E0954" w:rsidP="001E0954">
      <w:pPr>
        <w:overflowPunct/>
        <w:autoSpaceDE/>
        <w:autoSpaceDN/>
        <w:adjustRightInd/>
        <w:spacing w:after="160" w:line="259" w:lineRule="auto"/>
        <w:ind w:left="720" w:hanging="360"/>
        <w:textAlignment w:val="auto"/>
        <w:rPr>
          <w:rFonts w:asciiTheme="minorHAnsi" w:eastAsiaTheme="minorHAnsi" w:hAnsiTheme="minorHAnsi" w:cstheme="minorHAnsi"/>
          <w:color w:val="auto"/>
          <w:sz w:val="18"/>
          <w:szCs w:val="18"/>
          <w:lang w:eastAsia="en-US"/>
        </w:rPr>
      </w:pPr>
    </w:p>
    <w:p w14:paraId="0AD5164F" w14:textId="77777777" w:rsidR="001E0954" w:rsidRPr="001E0954" w:rsidRDefault="001E0954" w:rsidP="001E0954">
      <w:pPr>
        <w:overflowPunct/>
        <w:autoSpaceDE/>
        <w:autoSpaceDN/>
        <w:adjustRightInd/>
        <w:spacing w:after="160" w:line="259" w:lineRule="auto"/>
        <w:ind w:left="720" w:hanging="360"/>
        <w:textAlignment w:val="auto"/>
        <w:rPr>
          <w:rFonts w:asciiTheme="minorHAnsi" w:eastAsiaTheme="minorHAnsi" w:hAnsiTheme="minorHAnsi" w:cstheme="minorHAnsi"/>
          <w:color w:val="auto"/>
          <w:sz w:val="18"/>
          <w:szCs w:val="18"/>
          <w:lang w:eastAsia="en-US"/>
        </w:rPr>
      </w:pPr>
    </w:p>
    <w:p w14:paraId="2BC58ED8" w14:textId="77777777" w:rsidR="001E0954" w:rsidRPr="001E0954" w:rsidRDefault="001E0954" w:rsidP="001E0954">
      <w:pPr>
        <w:overflowPunct/>
        <w:autoSpaceDE/>
        <w:autoSpaceDN/>
        <w:adjustRightInd/>
        <w:spacing w:after="160" w:line="259" w:lineRule="auto"/>
        <w:ind w:left="720" w:hanging="360"/>
        <w:textAlignment w:val="auto"/>
        <w:rPr>
          <w:rFonts w:asciiTheme="minorHAnsi" w:eastAsiaTheme="minorHAnsi" w:hAnsiTheme="minorHAnsi" w:cstheme="minorHAnsi"/>
          <w:color w:val="auto"/>
          <w:sz w:val="18"/>
          <w:szCs w:val="18"/>
          <w:lang w:eastAsia="en-US"/>
        </w:rPr>
      </w:pPr>
    </w:p>
    <w:p w14:paraId="5505CC82" w14:textId="77777777" w:rsidR="001E0954" w:rsidRPr="001E0954" w:rsidRDefault="001E0954" w:rsidP="001E0954">
      <w:pPr>
        <w:overflowPunct/>
        <w:autoSpaceDE/>
        <w:autoSpaceDN/>
        <w:adjustRightInd/>
        <w:spacing w:after="160" w:line="259" w:lineRule="auto"/>
        <w:ind w:left="720" w:hanging="360"/>
        <w:textAlignment w:val="auto"/>
        <w:rPr>
          <w:rFonts w:asciiTheme="minorHAnsi" w:eastAsiaTheme="minorHAnsi" w:hAnsiTheme="minorHAnsi" w:cstheme="minorHAnsi"/>
          <w:color w:val="auto"/>
          <w:sz w:val="18"/>
          <w:szCs w:val="18"/>
          <w:lang w:eastAsia="en-US"/>
        </w:rPr>
      </w:pPr>
    </w:p>
    <w:p w14:paraId="5A838179"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020AEE88"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786D764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r w:rsidRPr="001E0954">
        <w:rPr>
          <w:rFonts w:asciiTheme="minorHAnsi" w:eastAsiaTheme="minorHAnsi" w:hAnsiTheme="minorHAnsi" w:cstheme="minorHAnsi"/>
          <w:b/>
          <w:bCs/>
          <w:color w:val="auto"/>
          <w:sz w:val="22"/>
          <w:szCs w:val="22"/>
          <w:lang w:eastAsia="en-US"/>
        </w:rPr>
        <w:t>Assignment 2</w:t>
      </w:r>
    </w:p>
    <w:p w14:paraId="1A5F5558"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5659C964"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Mehrabian, Albert, 1981. </w:t>
      </w:r>
      <w:r w:rsidRPr="001E0954">
        <w:rPr>
          <w:rFonts w:asciiTheme="minorHAnsi" w:eastAsiaTheme="minorHAnsi" w:hAnsiTheme="minorHAnsi" w:cstheme="minorHAnsi"/>
          <w:i/>
          <w:iCs/>
          <w:color w:val="auto"/>
          <w:sz w:val="18"/>
          <w:szCs w:val="18"/>
          <w:lang w:eastAsia="en-US"/>
        </w:rPr>
        <w:t>Silent messages: implicit communication of emotions and attitudes.</w:t>
      </w:r>
      <w:r w:rsidRPr="001E0954">
        <w:rPr>
          <w:rFonts w:asciiTheme="minorHAnsi" w:eastAsiaTheme="minorHAnsi" w:hAnsiTheme="minorHAnsi" w:cstheme="minorHAnsi"/>
          <w:color w:val="auto"/>
          <w:sz w:val="18"/>
          <w:szCs w:val="18"/>
          <w:lang w:eastAsia="en-US"/>
        </w:rPr>
        <w:t xml:space="preserve"> Belmont, Calif. Wadsworth-Pub </w:t>
      </w:r>
      <w:proofErr w:type="gramStart"/>
      <w:r w:rsidRPr="001E0954">
        <w:rPr>
          <w:rFonts w:asciiTheme="minorHAnsi" w:eastAsiaTheme="minorHAnsi" w:hAnsiTheme="minorHAnsi" w:cstheme="minorHAnsi"/>
          <w:color w:val="auto"/>
          <w:sz w:val="18"/>
          <w:szCs w:val="18"/>
          <w:lang w:eastAsia="en-US"/>
        </w:rPr>
        <w:t>Co,.</w:t>
      </w:r>
      <w:proofErr w:type="gramEnd"/>
      <w:r w:rsidRPr="001E0954">
        <w:rPr>
          <w:rFonts w:asciiTheme="minorHAnsi" w:eastAsiaTheme="minorHAnsi" w:hAnsiTheme="minorHAnsi" w:cstheme="minorHAnsi"/>
          <w:color w:val="auto"/>
          <w:sz w:val="18"/>
          <w:szCs w:val="18"/>
          <w:lang w:eastAsia="en-US"/>
        </w:rPr>
        <w:t xml:space="preserve"> </w:t>
      </w:r>
    </w:p>
    <w:p w14:paraId="4D8FD28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Milgram, Stanley, 1963, </w:t>
      </w:r>
      <w:r w:rsidRPr="001E0954">
        <w:rPr>
          <w:rFonts w:asciiTheme="minorHAnsi" w:eastAsiaTheme="minorHAnsi" w:hAnsiTheme="minorHAnsi" w:cstheme="minorHAnsi"/>
          <w:i/>
          <w:iCs/>
          <w:color w:val="auto"/>
          <w:sz w:val="18"/>
          <w:szCs w:val="18"/>
          <w:lang w:eastAsia="en-US"/>
        </w:rPr>
        <w:t>Behaviour Study of Obedience. Journal of Abnormal and Social Psychology</w:t>
      </w:r>
      <w:r w:rsidRPr="001E0954">
        <w:rPr>
          <w:rFonts w:asciiTheme="minorHAnsi" w:eastAsiaTheme="minorHAnsi" w:hAnsiTheme="minorHAnsi" w:cstheme="minorHAnsi"/>
          <w:color w:val="auto"/>
          <w:sz w:val="18"/>
          <w:szCs w:val="18"/>
          <w:lang w:eastAsia="en-US"/>
        </w:rPr>
        <w:t xml:space="preserve"> 67 (4) 371 – 8</w:t>
      </w:r>
    </w:p>
    <w:p w14:paraId="218D412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i/>
          <w:iCs/>
          <w:color w:val="auto"/>
          <w:sz w:val="18"/>
          <w:szCs w:val="18"/>
          <w:lang w:eastAsia="en-US"/>
        </w:rPr>
      </w:pPr>
      <w:r w:rsidRPr="001E0954">
        <w:rPr>
          <w:rFonts w:asciiTheme="minorHAnsi" w:eastAsiaTheme="minorHAnsi" w:hAnsiTheme="minorHAnsi" w:cstheme="minorHAnsi"/>
          <w:color w:val="auto"/>
          <w:sz w:val="18"/>
          <w:szCs w:val="18"/>
          <w:lang w:eastAsia="en-US"/>
        </w:rPr>
        <w:t xml:space="preserve">Policing by Consent, UKGOV.UK (2012) Available at: </w:t>
      </w:r>
      <w:hyperlink r:id="rId20" w:history="1">
        <w:r w:rsidRPr="001E0954">
          <w:rPr>
            <w:rFonts w:asciiTheme="minorHAnsi" w:eastAsiaTheme="minorHAnsi" w:hAnsiTheme="minorHAnsi" w:cstheme="minorHAnsi"/>
            <w:i/>
            <w:iCs/>
            <w:color w:val="0563C1" w:themeColor="hyperlink"/>
            <w:sz w:val="18"/>
            <w:szCs w:val="18"/>
            <w:u w:val="single"/>
            <w:lang w:eastAsia="en-US"/>
          </w:rPr>
          <w:t>https://www.gov.uk/government/publications/policing-by-consent</w:t>
        </w:r>
      </w:hyperlink>
      <w:r w:rsidRPr="001E0954">
        <w:rPr>
          <w:rFonts w:asciiTheme="minorHAnsi" w:eastAsiaTheme="minorHAnsi" w:hAnsiTheme="minorHAnsi" w:cstheme="minorHAnsi"/>
          <w:i/>
          <w:iCs/>
          <w:color w:val="auto"/>
          <w:sz w:val="18"/>
          <w:szCs w:val="18"/>
          <w:lang w:eastAsia="en-US"/>
        </w:rPr>
        <w:t xml:space="preserve"> [accessed 09 October 2020)</w:t>
      </w:r>
    </w:p>
    <w:p w14:paraId="4309CF3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Bradford B, Jackson J, and Stank E (2009) </w:t>
      </w:r>
      <w:r w:rsidRPr="001E0954">
        <w:rPr>
          <w:rFonts w:asciiTheme="minorHAnsi" w:eastAsiaTheme="minorHAnsi" w:hAnsiTheme="minorHAnsi" w:cstheme="minorHAnsi"/>
          <w:i/>
          <w:iCs/>
          <w:color w:val="auto"/>
          <w:sz w:val="18"/>
          <w:szCs w:val="18"/>
          <w:lang w:eastAsia="en-US"/>
        </w:rPr>
        <w:t>Public encounters with the police; on the use of public opinion surveys to improve contact and confidence</w:t>
      </w:r>
      <w:r w:rsidRPr="001E0954">
        <w:rPr>
          <w:rFonts w:asciiTheme="minorHAnsi" w:eastAsiaTheme="minorHAnsi" w:hAnsiTheme="minorHAnsi" w:cstheme="minorHAnsi"/>
          <w:color w:val="auto"/>
          <w:sz w:val="18"/>
          <w:szCs w:val="18"/>
          <w:lang w:eastAsia="en-US"/>
        </w:rPr>
        <w:t>’ Policing and Society 19(1) 20 - 46</w:t>
      </w:r>
    </w:p>
    <w:p w14:paraId="6A5F141F"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College of Policing (2019) – </w:t>
      </w:r>
      <w:r w:rsidRPr="001E0954">
        <w:rPr>
          <w:rFonts w:asciiTheme="minorHAnsi" w:eastAsiaTheme="minorHAnsi" w:hAnsiTheme="minorHAnsi" w:cstheme="minorHAnsi"/>
          <w:i/>
          <w:iCs/>
          <w:color w:val="auto"/>
          <w:sz w:val="18"/>
          <w:szCs w:val="18"/>
          <w:lang w:eastAsia="en-US"/>
        </w:rPr>
        <w:t>Conflict Management using de-escalation, communication and negotiation</w:t>
      </w:r>
      <w:r w:rsidRPr="001E0954">
        <w:rPr>
          <w:rFonts w:asciiTheme="minorHAnsi" w:eastAsiaTheme="minorHAnsi" w:hAnsiTheme="minorHAnsi" w:cstheme="minorHAnsi"/>
          <w:color w:val="auto"/>
          <w:sz w:val="18"/>
          <w:szCs w:val="18"/>
          <w:lang w:eastAsia="en-US"/>
        </w:rPr>
        <w:t xml:space="preserve">. Available at:  </w:t>
      </w:r>
      <w:hyperlink r:id="rId21" w:history="1">
        <w:r w:rsidRPr="001E0954">
          <w:rPr>
            <w:rFonts w:asciiTheme="minorHAnsi" w:eastAsiaTheme="minorHAnsi" w:hAnsiTheme="minorHAnsi" w:cstheme="minorHAnsi"/>
            <w:color w:val="0563C1" w:themeColor="hyperlink"/>
            <w:sz w:val="18"/>
            <w:szCs w:val="18"/>
            <w:u w:val="single"/>
            <w:lang w:eastAsia="en-US"/>
          </w:rPr>
          <w:t>https://www.college.police.uk/What-we-do/Standards/Guidelines/Documents/Conflict_management_consultation260219.pdf</w:t>
        </w:r>
      </w:hyperlink>
      <w:r w:rsidRPr="001E0954">
        <w:rPr>
          <w:rFonts w:asciiTheme="minorHAnsi" w:eastAsiaTheme="minorHAnsi" w:hAnsiTheme="minorHAnsi" w:cstheme="minorHAnsi"/>
          <w:color w:val="auto"/>
          <w:sz w:val="18"/>
          <w:szCs w:val="18"/>
          <w:lang w:eastAsia="en-US"/>
        </w:rPr>
        <w:t xml:space="preserve"> [accessed 09 October 2020]</w:t>
      </w:r>
    </w:p>
    <w:p w14:paraId="5C93CA5E"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Shannon and Weaver (1949) – </w:t>
      </w:r>
      <w:r w:rsidRPr="001E0954">
        <w:rPr>
          <w:rFonts w:asciiTheme="minorHAnsi" w:eastAsiaTheme="minorHAnsi" w:hAnsiTheme="minorHAnsi" w:cstheme="minorHAnsi"/>
          <w:i/>
          <w:iCs/>
          <w:color w:val="auto"/>
          <w:sz w:val="18"/>
          <w:szCs w:val="18"/>
          <w:lang w:eastAsia="en-US"/>
        </w:rPr>
        <w:t>A Dictionary of Media and Communication</w:t>
      </w:r>
      <w:r w:rsidRPr="001E0954">
        <w:rPr>
          <w:rFonts w:asciiTheme="minorHAnsi" w:eastAsiaTheme="minorHAnsi" w:hAnsiTheme="minorHAnsi" w:cstheme="minorHAnsi"/>
          <w:color w:val="auto"/>
          <w:sz w:val="18"/>
          <w:szCs w:val="18"/>
          <w:lang w:eastAsia="en-US"/>
        </w:rPr>
        <w:t>, Oxford University Press</w:t>
      </w:r>
    </w:p>
    <w:p w14:paraId="2CC76193"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Kennedy, A (2000) </w:t>
      </w:r>
      <w:r w:rsidRPr="001E0954">
        <w:rPr>
          <w:rFonts w:asciiTheme="minorHAnsi" w:eastAsiaTheme="minorHAnsi" w:hAnsiTheme="minorHAnsi" w:cstheme="minorHAnsi"/>
          <w:i/>
          <w:iCs/>
          <w:color w:val="auto"/>
          <w:sz w:val="18"/>
          <w:szCs w:val="18"/>
          <w:lang w:eastAsia="en-US"/>
        </w:rPr>
        <w:t>-Reading as a Perceptual process</w:t>
      </w:r>
      <w:r w:rsidRPr="001E0954">
        <w:rPr>
          <w:rFonts w:asciiTheme="minorHAnsi" w:eastAsiaTheme="minorHAnsi" w:hAnsiTheme="minorHAnsi" w:cstheme="minorHAnsi"/>
          <w:color w:val="auto"/>
          <w:sz w:val="18"/>
          <w:szCs w:val="18"/>
          <w:lang w:eastAsia="en-US"/>
        </w:rPr>
        <w:t>, North Holland, Elsevier Ltd</w:t>
      </w:r>
    </w:p>
    <w:p w14:paraId="77F70DAE"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Keegan, J (2001) – </w:t>
      </w:r>
      <w:r w:rsidRPr="001E0954">
        <w:rPr>
          <w:rFonts w:asciiTheme="minorHAnsi" w:eastAsiaTheme="minorHAnsi" w:hAnsiTheme="minorHAnsi" w:cstheme="minorHAnsi"/>
          <w:i/>
          <w:iCs/>
          <w:color w:val="auto"/>
          <w:sz w:val="18"/>
          <w:szCs w:val="18"/>
          <w:lang w:eastAsia="en-US"/>
        </w:rPr>
        <w:t>Zones of Conflict</w:t>
      </w:r>
      <w:r w:rsidRPr="001E0954">
        <w:rPr>
          <w:rFonts w:asciiTheme="minorHAnsi" w:eastAsiaTheme="minorHAnsi" w:hAnsiTheme="minorHAnsi" w:cstheme="minorHAnsi"/>
          <w:color w:val="auto"/>
          <w:sz w:val="18"/>
          <w:szCs w:val="18"/>
          <w:lang w:eastAsia="en-US"/>
        </w:rPr>
        <w:t>, Simon and Schuster Publications</w:t>
      </w:r>
    </w:p>
    <w:p w14:paraId="5BD4BEC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val="en" w:eastAsia="en-US"/>
        </w:rPr>
      </w:pPr>
      <w:r w:rsidRPr="001E0954">
        <w:rPr>
          <w:rFonts w:asciiTheme="minorHAnsi" w:eastAsiaTheme="minorHAnsi" w:hAnsiTheme="minorHAnsi" w:cstheme="minorHAnsi"/>
          <w:color w:val="auto"/>
          <w:sz w:val="18"/>
          <w:szCs w:val="18"/>
          <w:lang w:val="en" w:eastAsia="en-US"/>
        </w:rPr>
        <w:t xml:space="preserve">Festinger, L. (1957). </w:t>
      </w:r>
      <w:r w:rsidRPr="001E0954">
        <w:rPr>
          <w:rFonts w:asciiTheme="minorHAnsi" w:eastAsiaTheme="minorHAnsi" w:hAnsiTheme="minorHAnsi" w:cstheme="minorHAnsi"/>
          <w:i/>
          <w:iCs/>
          <w:color w:val="auto"/>
          <w:sz w:val="18"/>
          <w:szCs w:val="18"/>
          <w:lang w:val="en" w:eastAsia="en-US"/>
        </w:rPr>
        <w:t>A Theory of Cognitive Dissonance.</w:t>
      </w:r>
      <w:r w:rsidRPr="001E0954">
        <w:rPr>
          <w:rFonts w:asciiTheme="minorHAnsi" w:eastAsiaTheme="minorHAnsi" w:hAnsiTheme="minorHAnsi" w:cstheme="minorHAnsi"/>
          <w:color w:val="auto"/>
          <w:sz w:val="18"/>
          <w:szCs w:val="18"/>
          <w:lang w:val="en" w:eastAsia="en-US"/>
        </w:rPr>
        <w:t xml:space="preserve"> Stanford, CA: Stanford University Press.</w:t>
      </w:r>
    </w:p>
    <w:p w14:paraId="0BA7A7CC"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val="en" w:eastAsia="en-US"/>
        </w:rPr>
      </w:pPr>
      <w:bookmarkStart w:id="0" w:name="_Hlk53500082"/>
      <w:r w:rsidRPr="001E0954">
        <w:rPr>
          <w:rFonts w:asciiTheme="minorHAnsi" w:eastAsiaTheme="minorHAnsi" w:hAnsiTheme="minorHAnsi" w:cstheme="minorHAnsi"/>
          <w:color w:val="auto"/>
          <w:sz w:val="18"/>
          <w:szCs w:val="18"/>
          <w:lang w:val="en" w:eastAsia="en-US"/>
        </w:rPr>
        <w:t xml:space="preserve">Dictionary Collins 2020.   </w:t>
      </w:r>
      <w:r w:rsidRPr="001E0954">
        <w:rPr>
          <w:rFonts w:asciiTheme="minorHAnsi" w:eastAsiaTheme="minorHAnsi" w:hAnsiTheme="minorHAnsi" w:cstheme="minorHAnsi"/>
          <w:i/>
          <w:iCs/>
          <w:color w:val="auto"/>
          <w:sz w:val="18"/>
          <w:szCs w:val="18"/>
          <w:lang w:val="en" w:eastAsia="en-US"/>
        </w:rPr>
        <w:t>Attitude / Meaning in the Collins English Dictionary</w:t>
      </w:r>
      <w:r w:rsidRPr="001E0954">
        <w:rPr>
          <w:rFonts w:asciiTheme="minorHAnsi" w:eastAsiaTheme="minorHAnsi" w:hAnsiTheme="minorHAnsi" w:cstheme="minorHAnsi"/>
          <w:color w:val="auto"/>
          <w:sz w:val="18"/>
          <w:szCs w:val="18"/>
          <w:lang w:val="en" w:eastAsia="en-US"/>
        </w:rPr>
        <w:t xml:space="preserve">. [online] Available at: </w:t>
      </w:r>
      <w:hyperlink r:id="rId22" w:history="1">
        <w:r w:rsidRPr="001E0954">
          <w:rPr>
            <w:rFonts w:asciiTheme="minorHAnsi" w:eastAsiaTheme="minorHAnsi" w:hAnsiTheme="minorHAnsi" w:cstheme="minorHAnsi"/>
            <w:color w:val="0563C1" w:themeColor="hyperlink"/>
            <w:sz w:val="18"/>
            <w:szCs w:val="18"/>
            <w:u w:val="single"/>
            <w:lang w:val="en" w:eastAsia="en-US"/>
          </w:rPr>
          <w:t>https://www.collinsdictionary.com/dictionary/english/attitude</w:t>
        </w:r>
      </w:hyperlink>
      <w:r w:rsidRPr="001E0954">
        <w:rPr>
          <w:rFonts w:asciiTheme="minorHAnsi" w:eastAsiaTheme="minorHAnsi" w:hAnsiTheme="minorHAnsi" w:cstheme="minorHAnsi"/>
          <w:color w:val="auto"/>
          <w:sz w:val="18"/>
          <w:szCs w:val="18"/>
          <w:lang w:val="en" w:eastAsia="en-US"/>
        </w:rPr>
        <w:t xml:space="preserve">  [accessed 13 October 2020]</w:t>
      </w:r>
    </w:p>
    <w:bookmarkEnd w:id="0"/>
    <w:p w14:paraId="39DCE5DF"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val="en" w:eastAsia="en-US"/>
        </w:rPr>
      </w:pPr>
      <w:r w:rsidRPr="001E0954">
        <w:rPr>
          <w:rFonts w:asciiTheme="minorHAnsi" w:eastAsiaTheme="minorHAnsi" w:hAnsiTheme="minorHAnsi" w:cstheme="minorHAnsi"/>
          <w:color w:val="auto"/>
          <w:sz w:val="18"/>
          <w:szCs w:val="18"/>
          <w:lang w:val="en" w:eastAsia="en-US"/>
        </w:rPr>
        <w:t xml:space="preserve">Dictionary Collins 2020.   </w:t>
      </w:r>
      <w:r w:rsidRPr="001E0954">
        <w:rPr>
          <w:rFonts w:asciiTheme="minorHAnsi" w:eastAsiaTheme="minorHAnsi" w:hAnsiTheme="minorHAnsi" w:cstheme="minorHAnsi"/>
          <w:i/>
          <w:iCs/>
          <w:color w:val="auto"/>
          <w:sz w:val="18"/>
          <w:szCs w:val="18"/>
          <w:lang w:val="en" w:eastAsia="en-US"/>
        </w:rPr>
        <w:t>Behavior / Meaning in the Collins English Dictionary</w:t>
      </w:r>
      <w:r w:rsidRPr="001E0954">
        <w:rPr>
          <w:rFonts w:asciiTheme="minorHAnsi" w:eastAsiaTheme="minorHAnsi" w:hAnsiTheme="minorHAnsi" w:cstheme="minorHAnsi"/>
          <w:color w:val="auto"/>
          <w:sz w:val="18"/>
          <w:szCs w:val="18"/>
          <w:lang w:val="en" w:eastAsia="en-US"/>
        </w:rPr>
        <w:t xml:space="preserve">. [online] Available at: </w:t>
      </w:r>
      <w:hyperlink r:id="rId23" w:history="1">
        <w:r w:rsidRPr="001E0954">
          <w:rPr>
            <w:rFonts w:asciiTheme="minorHAnsi" w:eastAsiaTheme="minorHAnsi" w:hAnsiTheme="minorHAnsi" w:cstheme="minorHAnsi"/>
            <w:color w:val="0563C1" w:themeColor="hyperlink"/>
            <w:sz w:val="18"/>
            <w:szCs w:val="18"/>
            <w:u w:val="single"/>
            <w:lang w:val="en" w:eastAsia="en-US"/>
          </w:rPr>
          <w:t>https://www.collinsdictionary.com/dictionary/english/behaviou</w:t>
        </w:r>
      </w:hyperlink>
      <w:r w:rsidRPr="001E0954">
        <w:rPr>
          <w:rFonts w:asciiTheme="minorHAnsi" w:eastAsiaTheme="minorHAnsi" w:hAnsiTheme="minorHAnsi" w:cstheme="minorHAnsi"/>
          <w:color w:val="auto"/>
          <w:sz w:val="18"/>
          <w:szCs w:val="18"/>
          <w:lang w:val="en" w:eastAsia="en-US"/>
        </w:rPr>
        <w:t xml:space="preserve"> [accessed 13 October 2020]</w:t>
      </w:r>
    </w:p>
    <w:p w14:paraId="6A6B6EA8"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proofErr w:type="spellStart"/>
      <w:r w:rsidRPr="001E0954">
        <w:rPr>
          <w:rFonts w:asciiTheme="minorHAnsi" w:eastAsiaTheme="minorHAnsi" w:hAnsiTheme="minorHAnsi" w:cstheme="minorHAnsi"/>
          <w:color w:val="auto"/>
          <w:sz w:val="18"/>
          <w:szCs w:val="18"/>
          <w:lang w:eastAsia="en-US"/>
        </w:rPr>
        <w:t>Klahm</w:t>
      </w:r>
      <w:proofErr w:type="spellEnd"/>
      <w:r w:rsidRPr="001E0954">
        <w:rPr>
          <w:rFonts w:asciiTheme="minorHAnsi" w:eastAsiaTheme="minorHAnsi" w:hAnsiTheme="minorHAnsi" w:cstheme="minorHAnsi"/>
          <w:color w:val="auto"/>
          <w:sz w:val="18"/>
          <w:szCs w:val="18"/>
          <w:lang w:eastAsia="en-US"/>
        </w:rPr>
        <w:t xml:space="preserve">, C., Frank, J. &amp; Brown, R.A. (2011). </w:t>
      </w:r>
      <w:r w:rsidRPr="001E0954">
        <w:rPr>
          <w:rFonts w:asciiTheme="minorHAnsi" w:eastAsiaTheme="minorHAnsi" w:hAnsiTheme="minorHAnsi" w:cstheme="minorHAnsi"/>
          <w:i/>
          <w:iCs/>
          <w:color w:val="auto"/>
          <w:sz w:val="18"/>
          <w:szCs w:val="18"/>
          <w:lang w:eastAsia="en-US"/>
        </w:rPr>
        <w:t>Police use of force: Tales from another city</w:t>
      </w:r>
      <w:r w:rsidRPr="001E0954">
        <w:rPr>
          <w:rFonts w:asciiTheme="minorHAnsi" w:eastAsiaTheme="minorHAnsi" w:hAnsiTheme="minorHAnsi" w:cstheme="minorHAnsi"/>
          <w:color w:val="auto"/>
          <w:sz w:val="18"/>
          <w:szCs w:val="18"/>
          <w:lang w:eastAsia="en-US"/>
        </w:rPr>
        <w:t>. Journal of Crime &amp; Justice, 34(3), pp.205–220</w:t>
      </w:r>
    </w:p>
    <w:p w14:paraId="36810A49"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p>
    <w:p w14:paraId="0F74518A"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College of Policing, 2019. </w:t>
      </w:r>
      <w:r w:rsidRPr="001E0954">
        <w:rPr>
          <w:rFonts w:asciiTheme="minorHAnsi" w:eastAsiaTheme="minorHAnsi" w:hAnsiTheme="minorHAnsi" w:cstheme="minorHAnsi"/>
          <w:i/>
          <w:iCs/>
          <w:color w:val="auto"/>
          <w:sz w:val="18"/>
          <w:szCs w:val="18"/>
          <w:lang w:eastAsia="en-US"/>
        </w:rPr>
        <w:t>Conflict Management using de-escalation, communication and negotiation</w:t>
      </w:r>
      <w:r w:rsidRPr="001E0954">
        <w:rPr>
          <w:rFonts w:asciiTheme="minorHAnsi" w:eastAsiaTheme="minorHAnsi" w:hAnsiTheme="minorHAnsi" w:cstheme="minorHAnsi"/>
          <w:color w:val="auto"/>
          <w:sz w:val="18"/>
          <w:szCs w:val="18"/>
          <w:lang w:eastAsia="en-US"/>
        </w:rPr>
        <w:t xml:space="preserve"> [online] Available at </w:t>
      </w:r>
      <w:hyperlink r:id="rId24" w:history="1">
        <w:r w:rsidRPr="001E0954">
          <w:rPr>
            <w:rFonts w:asciiTheme="minorHAnsi" w:eastAsiaTheme="minorHAnsi" w:hAnsiTheme="minorHAnsi" w:cstheme="minorHAnsi"/>
            <w:color w:val="0563C1" w:themeColor="hyperlink"/>
            <w:sz w:val="18"/>
            <w:szCs w:val="18"/>
            <w:u w:val="single"/>
            <w:lang w:eastAsia="en-US"/>
          </w:rPr>
          <w:t>https://www.college.police.uk/What-we-do/Standards/Guidelines/Documents/Conflict_management_consultation260219.pdf</w:t>
        </w:r>
      </w:hyperlink>
      <w:r w:rsidRPr="001E0954">
        <w:rPr>
          <w:rFonts w:asciiTheme="minorHAnsi" w:eastAsiaTheme="minorHAnsi" w:hAnsiTheme="minorHAnsi" w:cstheme="minorHAnsi"/>
          <w:color w:val="auto"/>
          <w:sz w:val="18"/>
          <w:szCs w:val="18"/>
          <w:lang w:eastAsia="en-US"/>
        </w:rPr>
        <w:t xml:space="preserve"> [accessed 13 October 2020]</w:t>
      </w:r>
    </w:p>
    <w:p w14:paraId="7C68C564"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p>
    <w:p w14:paraId="5A697840"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Terrill, W. (2005</w:t>
      </w:r>
      <w:r w:rsidRPr="001E0954">
        <w:rPr>
          <w:rFonts w:asciiTheme="minorHAnsi" w:eastAsiaTheme="minorHAnsi" w:hAnsiTheme="minorHAnsi" w:cstheme="minorHAnsi"/>
          <w:i/>
          <w:iCs/>
          <w:color w:val="auto"/>
          <w:sz w:val="18"/>
          <w:szCs w:val="18"/>
          <w:lang w:eastAsia="en-US"/>
        </w:rPr>
        <w:t>). Police Use of Force: A Transactional Approac</w:t>
      </w:r>
      <w:r w:rsidRPr="001E0954">
        <w:rPr>
          <w:rFonts w:asciiTheme="minorHAnsi" w:eastAsiaTheme="minorHAnsi" w:hAnsiTheme="minorHAnsi" w:cstheme="minorHAnsi"/>
          <w:color w:val="auto"/>
          <w:sz w:val="18"/>
          <w:szCs w:val="18"/>
          <w:lang w:eastAsia="en-US"/>
        </w:rPr>
        <w:t>h. Justice Quarterly, 22(1), pp.107–138.</w:t>
      </w:r>
    </w:p>
    <w:p w14:paraId="1B3710E2"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p>
    <w:p w14:paraId="2A8F7B94"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Johnson, R.R. (2011). </w:t>
      </w:r>
      <w:r w:rsidRPr="001E0954">
        <w:rPr>
          <w:rFonts w:asciiTheme="minorHAnsi" w:eastAsiaTheme="minorHAnsi" w:hAnsiTheme="minorHAnsi" w:cstheme="minorHAnsi"/>
          <w:i/>
          <w:iCs/>
          <w:color w:val="auto"/>
          <w:sz w:val="18"/>
          <w:szCs w:val="18"/>
          <w:lang w:eastAsia="en-US"/>
        </w:rPr>
        <w:t>Predicting Officer Physical Assaults at Domestic Assaults Calls</w:t>
      </w:r>
      <w:r w:rsidRPr="001E0954">
        <w:rPr>
          <w:rFonts w:asciiTheme="minorHAnsi" w:eastAsiaTheme="minorHAnsi" w:hAnsiTheme="minorHAnsi" w:cstheme="minorHAnsi"/>
          <w:color w:val="auto"/>
          <w:sz w:val="18"/>
          <w:szCs w:val="18"/>
          <w:lang w:eastAsia="en-US"/>
        </w:rPr>
        <w:t xml:space="preserve">. Journal of Family Violence, 26(3), </w:t>
      </w:r>
    </w:p>
    <w:p w14:paraId="5D84AF8F"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pp.163 –169.</w:t>
      </w:r>
    </w:p>
    <w:p w14:paraId="464FF623" w14:textId="77777777" w:rsidR="001E0954" w:rsidRPr="001E0954" w:rsidRDefault="001E0954" w:rsidP="001E0954">
      <w:pPr>
        <w:overflowPunct/>
        <w:textAlignment w:val="auto"/>
        <w:rPr>
          <w:rFonts w:asciiTheme="minorHAnsi" w:eastAsiaTheme="minorHAnsi" w:hAnsiTheme="minorHAnsi" w:cstheme="minorHAnsi"/>
          <w:color w:val="auto"/>
          <w:sz w:val="18"/>
          <w:szCs w:val="18"/>
          <w:lang w:eastAsia="en-US"/>
        </w:rPr>
      </w:pPr>
    </w:p>
    <w:p w14:paraId="04A279D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Wiley, Clapp (2007). "</w:t>
      </w:r>
      <w:r w:rsidRPr="001E0954">
        <w:rPr>
          <w:rFonts w:asciiTheme="minorHAnsi" w:eastAsiaTheme="minorHAnsi" w:hAnsiTheme="minorHAnsi" w:cstheme="minorHAnsi"/>
          <w:i/>
          <w:iCs/>
          <w:color w:val="auto"/>
          <w:sz w:val="18"/>
          <w:szCs w:val="18"/>
          <w:lang w:eastAsia="en-US"/>
        </w:rPr>
        <w:t xml:space="preserve">The Jeff Cooper Legacy". </w:t>
      </w:r>
      <w:hyperlink r:id="rId25" w:tooltip="American Rifleman" w:history="1">
        <w:r w:rsidRPr="001E0954">
          <w:rPr>
            <w:rFonts w:asciiTheme="minorHAnsi" w:eastAsiaTheme="minorHAnsi" w:hAnsiTheme="minorHAnsi" w:cstheme="minorHAnsi"/>
            <w:color w:val="auto"/>
            <w:sz w:val="18"/>
            <w:szCs w:val="18"/>
            <w:lang w:eastAsia="en-US"/>
          </w:rPr>
          <w:t>American Rifleman</w:t>
        </w:r>
      </w:hyperlink>
      <w:r w:rsidRPr="001E0954">
        <w:rPr>
          <w:rFonts w:asciiTheme="minorHAnsi" w:eastAsiaTheme="minorHAnsi" w:hAnsiTheme="minorHAnsi" w:cstheme="minorHAnsi"/>
          <w:color w:val="auto"/>
          <w:sz w:val="18"/>
          <w:szCs w:val="18"/>
          <w:lang w:eastAsia="en-US"/>
        </w:rPr>
        <w:t xml:space="preserve">. </w:t>
      </w:r>
      <w:hyperlink r:id="rId26" w:tooltip="National Rifle Association" w:history="1">
        <w:r w:rsidRPr="001E0954">
          <w:rPr>
            <w:rFonts w:asciiTheme="minorHAnsi" w:eastAsiaTheme="minorHAnsi" w:hAnsiTheme="minorHAnsi" w:cstheme="minorHAnsi"/>
            <w:color w:val="auto"/>
            <w:sz w:val="18"/>
            <w:szCs w:val="18"/>
            <w:lang w:eastAsia="en-US"/>
          </w:rPr>
          <w:t>National Rifle Association</w:t>
        </w:r>
      </w:hyperlink>
      <w:r w:rsidRPr="001E0954">
        <w:rPr>
          <w:rFonts w:asciiTheme="minorHAnsi" w:eastAsiaTheme="minorHAnsi" w:hAnsiTheme="minorHAnsi" w:cstheme="minorHAnsi"/>
          <w:color w:val="auto"/>
          <w:sz w:val="18"/>
          <w:szCs w:val="18"/>
          <w:lang w:eastAsia="en-US"/>
        </w:rPr>
        <w:t>. 155 (6): 44, 45, 58&amp;60.</w:t>
      </w:r>
    </w:p>
    <w:p w14:paraId="68297191"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^Strasburger, Hans (2019</w:t>
      </w:r>
      <w:r w:rsidRPr="001E0954">
        <w:rPr>
          <w:rFonts w:asciiTheme="minorHAnsi" w:eastAsiaTheme="minorHAnsi" w:hAnsiTheme="minorHAnsi" w:cstheme="minorHAnsi"/>
          <w:i/>
          <w:iCs/>
          <w:color w:val="auto"/>
          <w:sz w:val="18"/>
          <w:szCs w:val="18"/>
          <w:lang w:eastAsia="en-US"/>
        </w:rPr>
        <w:t xml:space="preserve">). </w:t>
      </w:r>
      <w:hyperlink r:id="rId27" w:history="1">
        <w:r w:rsidRPr="001E0954">
          <w:rPr>
            <w:rFonts w:asciiTheme="minorHAnsi" w:eastAsiaTheme="minorHAnsi" w:hAnsiTheme="minorHAnsi" w:cstheme="minorHAnsi"/>
            <w:color w:val="auto"/>
            <w:sz w:val="18"/>
            <w:szCs w:val="18"/>
            <w:lang w:eastAsia="en-US"/>
          </w:rPr>
          <w:t>"Seven myths on crowding and peripheral vision"</w:t>
        </w:r>
      </w:hyperlink>
      <w:r w:rsidRPr="001E0954">
        <w:rPr>
          <w:rFonts w:asciiTheme="minorHAnsi" w:eastAsiaTheme="minorHAnsi" w:hAnsiTheme="minorHAnsi" w:cstheme="minorHAnsi"/>
          <w:i/>
          <w:iCs/>
          <w:color w:val="auto"/>
          <w:sz w:val="18"/>
          <w:szCs w:val="18"/>
          <w:lang w:eastAsia="en-US"/>
        </w:rPr>
        <w:t>.</w:t>
      </w:r>
      <w:r w:rsidRPr="001E0954">
        <w:rPr>
          <w:rFonts w:asciiTheme="minorHAnsi" w:eastAsiaTheme="minorHAnsi" w:hAnsiTheme="minorHAnsi" w:cstheme="minorHAnsi"/>
          <w:color w:val="auto"/>
          <w:sz w:val="18"/>
          <w:szCs w:val="18"/>
          <w:lang w:eastAsia="en-US"/>
        </w:rPr>
        <w:t xml:space="preserve"> </w:t>
      </w:r>
      <w:proofErr w:type="spellStart"/>
      <w:r w:rsidRPr="001E0954">
        <w:rPr>
          <w:rFonts w:asciiTheme="minorHAnsi" w:eastAsiaTheme="minorHAnsi" w:hAnsiTheme="minorHAnsi" w:cstheme="minorHAnsi"/>
          <w:color w:val="auto"/>
          <w:sz w:val="18"/>
          <w:szCs w:val="18"/>
          <w:lang w:eastAsia="en-US"/>
        </w:rPr>
        <w:t>PeerJ</w:t>
      </w:r>
      <w:proofErr w:type="spellEnd"/>
      <w:r w:rsidRPr="001E0954">
        <w:rPr>
          <w:rFonts w:asciiTheme="minorHAnsi" w:eastAsiaTheme="minorHAnsi" w:hAnsiTheme="minorHAnsi" w:cstheme="minorHAnsi"/>
          <w:color w:val="auto"/>
          <w:sz w:val="18"/>
          <w:szCs w:val="18"/>
          <w:lang w:eastAsia="en-US"/>
        </w:rPr>
        <w:t xml:space="preserve"> Preprints. </w:t>
      </w:r>
      <w:proofErr w:type="gramStart"/>
      <w:r w:rsidRPr="001E0954">
        <w:rPr>
          <w:rFonts w:asciiTheme="minorHAnsi" w:eastAsiaTheme="minorHAnsi" w:hAnsiTheme="minorHAnsi" w:cstheme="minorHAnsi"/>
          <w:color w:val="auto"/>
          <w:sz w:val="18"/>
          <w:szCs w:val="18"/>
          <w:lang w:eastAsia="en-US"/>
        </w:rPr>
        <w:t>6:e</w:t>
      </w:r>
      <w:proofErr w:type="gramEnd"/>
      <w:r w:rsidRPr="001E0954">
        <w:rPr>
          <w:rFonts w:asciiTheme="minorHAnsi" w:eastAsiaTheme="minorHAnsi" w:hAnsiTheme="minorHAnsi" w:cstheme="minorHAnsi"/>
          <w:color w:val="auto"/>
          <w:sz w:val="18"/>
          <w:szCs w:val="18"/>
          <w:lang w:eastAsia="en-US"/>
        </w:rPr>
        <w:t>27353.</w:t>
      </w:r>
    </w:p>
    <w:p w14:paraId="18F6AB8F"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roofErr w:type="spellStart"/>
      <w:r w:rsidRPr="001E0954">
        <w:rPr>
          <w:rFonts w:asciiTheme="minorHAnsi" w:eastAsiaTheme="minorHAnsi" w:hAnsiTheme="minorHAnsi" w:cstheme="minorHAnsi"/>
          <w:color w:val="auto"/>
          <w:sz w:val="18"/>
          <w:szCs w:val="18"/>
          <w:lang w:eastAsia="en-US"/>
        </w:rPr>
        <w:t>Mellers</w:t>
      </w:r>
      <w:proofErr w:type="spellEnd"/>
      <w:r w:rsidRPr="001E0954">
        <w:rPr>
          <w:rFonts w:asciiTheme="minorHAnsi" w:eastAsiaTheme="minorHAnsi" w:hAnsiTheme="minorHAnsi" w:cstheme="minorHAnsi"/>
          <w:color w:val="auto"/>
          <w:sz w:val="18"/>
          <w:szCs w:val="18"/>
          <w:lang w:eastAsia="en-US"/>
        </w:rPr>
        <w:t xml:space="preserve">, B.A., &amp; McGraw, A.P. (2001). </w:t>
      </w:r>
      <w:r w:rsidRPr="001E0954">
        <w:rPr>
          <w:rFonts w:asciiTheme="minorHAnsi" w:eastAsiaTheme="minorHAnsi" w:hAnsiTheme="minorHAnsi" w:cstheme="minorHAnsi"/>
          <w:i/>
          <w:iCs/>
          <w:color w:val="auto"/>
          <w:sz w:val="18"/>
          <w:szCs w:val="18"/>
          <w:lang w:eastAsia="en-US"/>
        </w:rPr>
        <w:t xml:space="preserve">Anticipated emotions as guides </w:t>
      </w:r>
      <w:proofErr w:type="gramStart"/>
      <w:r w:rsidRPr="001E0954">
        <w:rPr>
          <w:rFonts w:asciiTheme="minorHAnsi" w:eastAsiaTheme="minorHAnsi" w:hAnsiTheme="minorHAnsi" w:cstheme="minorHAnsi"/>
          <w:i/>
          <w:iCs/>
          <w:color w:val="auto"/>
          <w:sz w:val="18"/>
          <w:szCs w:val="18"/>
          <w:lang w:eastAsia="en-US"/>
        </w:rPr>
        <w:t>to choice</w:t>
      </w:r>
      <w:proofErr w:type="gramEnd"/>
      <w:r w:rsidRPr="001E0954">
        <w:rPr>
          <w:rFonts w:asciiTheme="minorHAnsi" w:eastAsiaTheme="minorHAnsi" w:hAnsiTheme="minorHAnsi" w:cstheme="minorHAnsi"/>
          <w:i/>
          <w:iCs/>
          <w:color w:val="auto"/>
          <w:sz w:val="18"/>
          <w:szCs w:val="18"/>
          <w:lang w:eastAsia="en-US"/>
        </w:rPr>
        <w:t>.</w:t>
      </w:r>
      <w:r w:rsidRPr="001E0954">
        <w:rPr>
          <w:rFonts w:asciiTheme="minorHAnsi" w:eastAsiaTheme="minorHAnsi" w:hAnsiTheme="minorHAnsi" w:cstheme="minorHAnsi"/>
          <w:color w:val="auto"/>
          <w:sz w:val="18"/>
          <w:szCs w:val="18"/>
          <w:lang w:eastAsia="en-US"/>
        </w:rPr>
        <w:t xml:space="preserve"> Current directions in psychological science, 10(6). 210-214.</w:t>
      </w:r>
    </w:p>
    <w:p w14:paraId="4A20454C"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530F3ED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0AEB7E5A"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075B02EA"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498B71AC"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0594A2D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3237ACEE"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p>
    <w:p w14:paraId="1CF2015A"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r w:rsidRPr="001E0954">
        <w:rPr>
          <w:rFonts w:asciiTheme="minorHAnsi" w:eastAsiaTheme="minorHAnsi" w:hAnsiTheme="minorHAnsi" w:cstheme="minorHAnsi"/>
          <w:b/>
          <w:bCs/>
          <w:color w:val="auto"/>
          <w:sz w:val="22"/>
          <w:szCs w:val="22"/>
          <w:lang w:eastAsia="en-US"/>
        </w:rPr>
        <w:lastRenderedPageBreak/>
        <w:t xml:space="preserve">Assignment 3 </w:t>
      </w:r>
    </w:p>
    <w:p w14:paraId="0B2A99D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7C5C6CCC"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GOV.UK, Equality Act Guidance 2010. Available at: </w:t>
      </w:r>
      <w:hyperlink r:id="rId28" w:history="1">
        <w:r w:rsidRPr="001E0954">
          <w:rPr>
            <w:rFonts w:asciiTheme="minorHAnsi" w:eastAsiaTheme="minorHAnsi" w:hAnsiTheme="minorHAnsi" w:cstheme="minorHAnsi"/>
            <w:color w:val="0563C1" w:themeColor="hyperlink"/>
            <w:sz w:val="18"/>
            <w:szCs w:val="18"/>
            <w:u w:val="single"/>
            <w:lang w:eastAsia="en-US"/>
          </w:rPr>
          <w:t>https://www.gov.uk/guidance/equality-act-2010-guidance</w:t>
        </w:r>
      </w:hyperlink>
      <w:r w:rsidRPr="001E0954">
        <w:rPr>
          <w:rFonts w:asciiTheme="minorHAnsi" w:eastAsiaTheme="minorHAnsi" w:hAnsiTheme="minorHAnsi" w:cstheme="minorHAnsi"/>
          <w:color w:val="auto"/>
          <w:sz w:val="18"/>
          <w:szCs w:val="18"/>
          <w:lang w:eastAsia="en-US"/>
        </w:rPr>
        <w:t xml:space="preserve"> [accessed on 14 October 2020]</w:t>
      </w:r>
    </w:p>
    <w:p w14:paraId="00C6C7F2"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S29, Police Act 1996. Availed at: </w:t>
      </w:r>
      <w:hyperlink r:id="rId29" w:history="1">
        <w:r w:rsidRPr="001E0954">
          <w:rPr>
            <w:rFonts w:asciiTheme="minorHAnsi" w:eastAsiaTheme="minorHAnsi" w:hAnsiTheme="minorHAnsi" w:cstheme="minorHAnsi"/>
            <w:color w:val="0563C1" w:themeColor="hyperlink"/>
            <w:sz w:val="18"/>
            <w:szCs w:val="18"/>
            <w:u w:val="single"/>
            <w:lang w:eastAsia="en-US"/>
          </w:rPr>
          <w:t>https://www.legislation.gov.uk/ukpga/1996/16/section/29</w:t>
        </w:r>
      </w:hyperlink>
      <w:r w:rsidRPr="001E0954">
        <w:rPr>
          <w:rFonts w:asciiTheme="minorHAnsi" w:eastAsiaTheme="minorHAnsi" w:hAnsiTheme="minorHAnsi" w:cstheme="minorHAnsi"/>
          <w:color w:val="auto"/>
          <w:sz w:val="18"/>
          <w:szCs w:val="18"/>
          <w:lang w:eastAsia="en-US"/>
        </w:rPr>
        <w:t xml:space="preserve"> [accessed on 14 October 2020]</w:t>
      </w:r>
    </w:p>
    <w:p w14:paraId="64F14FE0"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Bryan, Robin (2019</w:t>
      </w:r>
      <w:r w:rsidRPr="001E0954">
        <w:rPr>
          <w:rFonts w:asciiTheme="minorHAnsi" w:eastAsiaTheme="minorHAnsi" w:hAnsiTheme="minorHAnsi" w:cstheme="minorHAnsi"/>
          <w:i/>
          <w:iCs/>
          <w:color w:val="auto"/>
          <w:sz w:val="18"/>
          <w:szCs w:val="18"/>
          <w:lang w:eastAsia="en-US"/>
        </w:rPr>
        <w:t xml:space="preserve">) </w:t>
      </w:r>
      <w:proofErr w:type="spellStart"/>
      <w:r w:rsidRPr="001E0954">
        <w:rPr>
          <w:rFonts w:asciiTheme="minorHAnsi" w:eastAsiaTheme="minorHAnsi" w:hAnsiTheme="minorHAnsi" w:cstheme="minorHAnsi"/>
          <w:i/>
          <w:iCs/>
          <w:color w:val="auto"/>
          <w:sz w:val="18"/>
          <w:szCs w:val="18"/>
          <w:lang w:eastAsia="en-US"/>
        </w:rPr>
        <w:t>Blacksones</w:t>
      </w:r>
      <w:proofErr w:type="spellEnd"/>
      <w:r w:rsidRPr="001E0954">
        <w:rPr>
          <w:rFonts w:asciiTheme="minorHAnsi" w:eastAsiaTheme="minorHAnsi" w:hAnsiTheme="minorHAnsi" w:cstheme="minorHAnsi"/>
          <w:i/>
          <w:iCs/>
          <w:color w:val="auto"/>
          <w:sz w:val="18"/>
          <w:szCs w:val="18"/>
          <w:lang w:eastAsia="en-US"/>
        </w:rPr>
        <w:t xml:space="preserve">’ Handbook for Policing Students 2020. </w:t>
      </w:r>
      <w:r w:rsidRPr="001E0954">
        <w:rPr>
          <w:rFonts w:asciiTheme="minorHAnsi" w:eastAsiaTheme="minorHAnsi" w:hAnsiTheme="minorHAnsi" w:cstheme="minorHAnsi"/>
          <w:color w:val="auto"/>
          <w:sz w:val="18"/>
          <w:szCs w:val="18"/>
          <w:lang w:eastAsia="en-US"/>
        </w:rPr>
        <w:t>Oxford University Press</w:t>
      </w:r>
    </w:p>
    <w:p w14:paraId="189230BA"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Nozick R (1974) </w:t>
      </w:r>
      <w:r w:rsidRPr="001E0954">
        <w:rPr>
          <w:rFonts w:asciiTheme="minorHAnsi" w:eastAsiaTheme="minorHAnsi" w:hAnsiTheme="minorHAnsi" w:cstheme="minorHAnsi"/>
          <w:i/>
          <w:iCs/>
          <w:color w:val="auto"/>
          <w:sz w:val="18"/>
          <w:szCs w:val="18"/>
          <w:lang w:eastAsia="en-US"/>
        </w:rPr>
        <w:t xml:space="preserve">Anarchy, State and Utopia, </w:t>
      </w:r>
      <w:r w:rsidRPr="001E0954">
        <w:rPr>
          <w:rFonts w:asciiTheme="minorHAnsi" w:eastAsiaTheme="minorHAnsi" w:hAnsiTheme="minorHAnsi" w:cstheme="minorHAnsi"/>
          <w:color w:val="auto"/>
          <w:sz w:val="18"/>
          <w:szCs w:val="18"/>
          <w:lang w:eastAsia="en-US"/>
        </w:rPr>
        <w:t>Oxford: Blackwell, 2003 Print</w:t>
      </w:r>
    </w:p>
    <w:p w14:paraId="3B64012C"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Simmons (2001) </w:t>
      </w:r>
      <w:r w:rsidRPr="001E0954">
        <w:rPr>
          <w:rFonts w:asciiTheme="minorHAnsi" w:eastAsiaTheme="minorHAnsi" w:hAnsiTheme="minorHAnsi" w:cstheme="minorHAnsi"/>
          <w:i/>
          <w:iCs/>
          <w:color w:val="auto"/>
          <w:sz w:val="18"/>
          <w:szCs w:val="18"/>
          <w:lang w:eastAsia="en-US"/>
        </w:rPr>
        <w:t>Justification and Legitimacy: Essays on rights and obligations</w:t>
      </w:r>
      <w:r w:rsidRPr="001E0954">
        <w:rPr>
          <w:rFonts w:asciiTheme="minorHAnsi" w:eastAsiaTheme="minorHAnsi" w:hAnsiTheme="minorHAnsi" w:cstheme="minorHAnsi"/>
          <w:color w:val="auto"/>
          <w:sz w:val="18"/>
          <w:szCs w:val="18"/>
          <w:lang w:eastAsia="en-US"/>
        </w:rPr>
        <w:t xml:space="preserve"> (Cambridge: Cambridge University Press</w:t>
      </w:r>
    </w:p>
    <w:p w14:paraId="068DD845"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Metropolitan Police Act (1829)  Available at: </w:t>
      </w:r>
      <w:hyperlink r:id="rId30" w:history="1">
        <w:r w:rsidRPr="001E0954">
          <w:rPr>
            <w:rFonts w:asciiTheme="minorHAnsi" w:eastAsiaTheme="minorHAnsi" w:hAnsiTheme="minorHAnsi" w:cstheme="minorHAnsi"/>
            <w:color w:val="0563C1" w:themeColor="hyperlink"/>
            <w:sz w:val="18"/>
            <w:szCs w:val="18"/>
            <w:u w:val="single"/>
            <w:lang w:eastAsia="en-US"/>
          </w:rPr>
          <w:t>https://www.legislation.gov.uk/ukpga/Geo4/10/44/introduction</w:t>
        </w:r>
      </w:hyperlink>
      <w:r w:rsidRPr="001E0954">
        <w:rPr>
          <w:rFonts w:asciiTheme="minorHAnsi" w:eastAsiaTheme="minorHAnsi" w:hAnsiTheme="minorHAnsi" w:cstheme="minorHAnsi"/>
          <w:color w:val="auto"/>
          <w:sz w:val="18"/>
          <w:szCs w:val="18"/>
          <w:lang w:eastAsia="en-US"/>
        </w:rPr>
        <w:t xml:space="preserve"> [accessed on 14 October 2020]</w:t>
      </w:r>
    </w:p>
    <w:p w14:paraId="0AAE7608"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Alderson (1998</w:t>
      </w:r>
      <w:r w:rsidRPr="001E0954">
        <w:rPr>
          <w:rFonts w:asciiTheme="minorHAnsi" w:eastAsiaTheme="minorHAnsi" w:hAnsiTheme="minorHAnsi" w:cstheme="minorHAnsi"/>
          <w:i/>
          <w:iCs/>
          <w:color w:val="auto"/>
          <w:sz w:val="18"/>
          <w:szCs w:val="18"/>
          <w:lang w:eastAsia="en-US"/>
        </w:rPr>
        <w:t>) Principle Policing: Protecting the public with integrity</w:t>
      </w:r>
      <w:r w:rsidRPr="001E0954">
        <w:rPr>
          <w:rFonts w:asciiTheme="minorHAnsi" w:eastAsiaTheme="minorHAnsi" w:hAnsiTheme="minorHAnsi" w:cstheme="minorHAnsi"/>
          <w:color w:val="auto"/>
          <w:sz w:val="18"/>
          <w:szCs w:val="18"/>
          <w:lang w:eastAsia="en-US"/>
        </w:rPr>
        <w:t>. Winchester, Waterside Press</w:t>
      </w:r>
    </w:p>
    <w:p w14:paraId="61F2D5C3"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Police workforce Gov.Uk (2019) </w:t>
      </w:r>
      <w:r w:rsidRPr="001E0954">
        <w:rPr>
          <w:rFonts w:asciiTheme="minorHAnsi" w:eastAsiaTheme="minorHAnsi" w:hAnsiTheme="minorHAnsi" w:cstheme="minorHAnsi"/>
          <w:i/>
          <w:iCs/>
          <w:color w:val="auto"/>
          <w:sz w:val="18"/>
          <w:szCs w:val="18"/>
          <w:lang w:eastAsia="en-US"/>
        </w:rPr>
        <w:t>Police Workforce – Ethnicity facts and figures</w:t>
      </w:r>
      <w:r w:rsidRPr="001E0954">
        <w:rPr>
          <w:rFonts w:asciiTheme="minorHAnsi" w:eastAsiaTheme="minorHAnsi" w:hAnsiTheme="minorHAnsi" w:cstheme="minorHAnsi"/>
          <w:color w:val="auto"/>
          <w:sz w:val="18"/>
          <w:szCs w:val="18"/>
          <w:lang w:eastAsia="en-US"/>
        </w:rPr>
        <w:t xml:space="preserve">. Available at: </w:t>
      </w:r>
      <w:hyperlink r:id="rId31" w:anchor=":~:text=at%20the%20end%20of%20March%202019%2C%2093.1%25%20of,ethnic%20groups%20combined%2C%20compared%20with%202.8%25%20in%202007" w:history="1">
        <w:r w:rsidRPr="001E0954">
          <w:rPr>
            <w:rFonts w:asciiTheme="minorHAnsi" w:eastAsiaTheme="minorHAnsi" w:hAnsiTheme="minorHAnsi" w:cstheme="minorHAnsi"/>
            <w:color w:val="0563C1" w:themeColor="hyperlink"/>
            <w:sz w:val="18"/>
            <w:szCs w:val="18"/>
            <w:u w:val="single"/>
            <w:lang w:eastAsia="en-US"/>
          </w:rPr>
          <w:t>https://www.ethnicity-facts-figures.service.gov.uk/workforce-and-business/workforce-diversity/police-workforce/latest#:~:text=at%20the%20end%20of%20March%202019%2C%2093.1%25%20of,ethnic%20groups%20combined%2C%20compared%20with%202.8%25%20in%202007</w:t>
        </w:r>
      </w:hyperlink>
      <w:r w:rsidRPr="001E0954">
        <w:rPr>
          <w:rFonts w:asciiTheme="minorHAnsi" w:eastAsiaTheme="minorHAnsi" w:hAnsiTheme="minorHAnsi" w:cstheme="minorHAnsi"/>
          <w:color w:val="auto"/>
          <w:sz w:val="18"/>
          <w:szCs w:val="18"/>
          <w:lang w:eastAsia="en-US"/>
        </w:rPr>
        <w:t xml:space="preserve"> [accessed on 14 October 2020]</w:t>
      </w:r>
    </w:p>
    <w:p w14:paraId="3BFF9745"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Jones, P., Cornish, T. (2013</w:t>
      </w:r>
      <w:r w:rsidRPr="001E0954">
        <w:rPr>
          <w:rFonts w:asciiTheme="minorHAnsi" w:eastAsiaTheme="minorHAnsi" w:hAnsiTheme="minorHAnsi" w:cstheme="minorHAnsi"/>
          <w:i/>
          <w:iCs/>
          <w:color w:val="auto"/>
          <w:sz w:val="18"/>
          <w:szCs w:val="18"/>
          <w:lang w:eastAsia="en-US"/>
        </w:rPr>
        <w:t>) Unconscious bias and higher education</w:t>
      </w:r>
      <w:r w:rsidRPr="001E0954">
        <w:rPr>
          <w:rFonts w:asciiTheme="minorHAnsi" w:eastAsiaTheme="minorHAnsi" w:hAnsiTheme="minorHAnsi" w:cstheme="minorHAnsi"/>
          <w:color w:val="auto"/>
          <w:sz w:val="18"/>
          <w:szCs w:val="18"/>
          <w:lang w:eastAsia="en-US"/>
        </w:rPr>
        <w:t xml:space="preserve"> London: ECU/Cornish Consultancy Services. </w:t>
      </w:r>
    </w:p>
    <w:p w14:paraId="575B0E74"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Carnes, M. et al (2012</w:t>
      </w:r>
      <w:r w:rsidRPr="001E0954">
        <w:rPr>
          <w:rFonts w:asciiTheme="minorHAnsi" w:eastAsiaTheme="minorHAnsi" w:hAnsiTheme="minorHAnsi" w:cstheme="minorHAnsi"/>
          <w:i/>
          <w:iCs/>
          <w:color w:val="auto"/>
          <w:sz w:val="18"/>
          <w:szCs w:val="18"/>
          <w:lang w:eastAsia="en-US"/>
        </w:rPr>
        <w:t>) Promoting Institutional Change Through Bias Literacy</w:t>
      </w:r>
      <w:r w:rsidRPr="001E0954">
        <w:rPr>
          <w:rFonts w:asciiTheme="minorHAnsi" w:eastAsiaTheme="minorHAnsi" w:hAnsiTheme="minorHAnsi" w:cstheme="minorHAnsi"/>
          <w:color w:val="auto"/>
          <w:sz w:val="18"/>
          <w:szCs w:val="18"/>
          <w:lang w:eastAsia="en-US"/>
        </w:rPr>
        <w:t xml:space="preserve"> Journal of Diversity in Higher Education vol 5 pp 63-77. Palm Beach: </w:t>
      </w:r>
    </w:p>
    <w:p w14:paraId="5B46508E"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Hill, M. E., </w:t>
      </w:r>
      <w:proofErr w:type="spellStart"/>
      <w:r w:rsidRPr="001E0954">
        <w:rPr>
          <w:rFonts w:asciiTheme="minorHAnsi" w:eastAsiaTheme="minorHAnsi" w:hAnsiTheme="minorHAnsi" w:cstheme="minorHAnsi"/>
          <w:color w:val="auto"/>
          <w:sz w:val="18"/>
          <w:szCs w:val="18"/>
          <w:lang w:eastAsia="en-US"/>
        </w:rPr>
        <w:t>Augoustinos</w:t>
      </w:r>
      <w:proofErr w:type="spellEnd"/>
      <w:r w:rsidRPr="001E0954">
        <w:rPr>
          <w:rFonts w:asciiTheme="minorHAnsi" w:eastAsiaTheme="minorHAnsi" w:hAnsiTheme="minorHAnsi" w:cstheme="minorHAnsi"/>
          <w:color w:val="auto"/>
          <w:sz w:val="18"/>
          <w:szCs w:val="18"/>
          <w:lang w:eastAsia="en-US"/>
        </w:rPr>
        <w:t xml:space="preserve">, M. (2001) </w:t>
      </w:r>
      <w:r w:rsidRPr="001E0954">
        <w:rPr>
          <w:rFonts w:asciiTheme="minorHAnsi" w:eastAsiaTheme="minorHAnsi" w:hAnsiTheme="minorHAnsi" w:cstheme="minorHAnsi"/>
          <w:i/>
          <w:iCs/>
          <w:color w:val="auto"/>
          <w:sz w:val="18"/>
          <w:szCs w:val="18"/>
          <w:lang w:eastAsia="en-US"/>
        </w:rPr>
        <w:t>Stereotype Change and Prejudice Reduction: Short- and Long-Term Evaluation of a Cross-</w:t>
      </w:r>
      <w:r w:rsidRPr="001E0954">
        <w:rPr>
          <w:rFonts w:asciiTheme="minorHAnsi" w:eastAsiaTheme="minorHAnsi" w:hAnsiTheme="minorHAnsi" w:cstheme="minorHAnsi"/>
          <w:color w:val="auto"/>
          <w:sz w:val="18"/>
          <w:szCs w:val="18"/>
          <w:lang w:eastAsia="en-US"/>
        </w:rPr>
        <w:t xml:space="preserve">Cultural Awareness Programme Journal of Community &amp; Applied Social Psychology vol 11.4 pp 243-262. New York: </w:t>
      </w:r>
    </w:p>
    <w:p w14:paraId="338D3E50"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i/>
          <w:iCs/>
          <w:color w:val="202122"/>
          <w:sz w:val="18"/>
          <w:szCs w:val="18"/>
          <w:lang w:eastAsia="en-US"/>
        </w:rPr>
      </w:pPr>
      <w:r w:rsidRPr="001E0954">
        <w:rPr>
          <w:rFonts w:asciiTheme="minorHAnsi" w:eastAsiaTheme="minorHAnsi" w:hAnsiTheme="minorHAnsi" w:cstheme="minorHAnsi"/>
          <w:i/>
          <w:iCs/>
          <w:color w:val="202122"/>
          <w:sz w:val="18"/>
          <w:szCs w:val="18"/>
          <w:lang w:eastAsia="en-US"/>
        </w:rPr>
        <w:t xml:space="preserve">Sackett, D. L. (1979). "Bias in analytic research". Journal of Chronic Diseases. </w:t>
      </w:r>
      <w:r w:rsidRPr="001E0954">
        <w:rPr>
          <w:rFonts w:asciiTheme="minorHAnsi" w:eastAsiaTheme="minorHAnsi" w:hAnsiTheme="minorHAnsi" w:cstheme="minorHAnsi"/>
          <w:b/>
          <w:bCs/>
          <w:i/>
          <w:iCs/>
          <w:color w:val="202122"/>
          <w:sz w:val="18"/>
          <w:szCs w:val="18"/>
          <w:lang w:eastAsia="en-US"/>
        </w:rPr>
        <w:t>32</w:t>
      </w:r>
      <w:r w:rsidRPr="001E0954">
        <w:rPr>
          <w:rFonts w:asciiTheme="minorHAnsi" w:eastAsiaTheme="minorHAnsi" w:hAnsiTheme="minorHAnsi" w:cstheme="minorHAnsi"/>
          <w:i/>
          <w:iCs/>
          <w:color w:val="202122"/>
          <w:sz w:val="18"/>
          <w:szCs w:val="18"/>
          <w:lang w:eastAsia="en-US"/>
        </w:rPr>
        <w:t xml:space="preserve"> (1–2): 51–63. </w:t>
      </w:r>
    </w:p>
    <w:p w14:paraId="4C9C5E0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roofErr w:type="gramStart"/>
      <w:r w:rsidRPr="001E0954">
        <w:rPr>
          <w:rFonts w:asciiTheme="minorHAnsi" w:eastAsiaTheme="minorHAnsi" w:hAnsiTheme="minorHAnsi" w:cstheme="minorHAnsi"/>
          <w:color w:val="auto"/>
          <w:sz w:val="18"/>
          <w:szCs w:val="18"/>
          <w:lang w:eastAsia="en-US"/>
        </w:rPr>
        <w:t>CPS.gov.uk  (</w:t>
      </w:r>
      <w:proofErr w:type="gramEnd"/>
      <w:r w:rsidRPr="001E0954">
        <w:rPr>
          <w:rFonts w:asciiTheme="minorHAnsi" w:eastAsiaTheme="minorHAnsi" w:hAnsiTheme="minorHAnsi" w:cstheme="minorHAnsi"/>
          <w:color w:val="auto"/>
          <w:sz w:val="18"/>
          <w:szCs w:val="18"/>
          <w:lang w:eastAsia="en-US"/>
        </w:rPr>
        <w:t xml:space="preserve">2019) </w:t>
      </w:r>
      <w:r w:rsidRPr="001E0954">
        <w:rPr>
          <w:rFonts w:asciiTheme="minorHAnsi" w:eastAsiaTheme="minorHAnsi" w:hAnsiTheme="minorHAnsi" w:cstheme="minorHAnsi"/>
          <w:i/>
          <w:iCs/>
          <w:color w:val="auto"/>
          <w:sz w:val="18"/>
          <w:szCs w:val="18"/>
          <w:lang w:eastAsia="en-US"/>
        </w:rPr>
        <w:t>Crime info – hate crime</w:t>
      </w:r>
      <w:r w:rsidRPr="001E0954">
        <w:rPr>
          <w:rFonts w:asciiTheme="minorHAnsi" w:eastAsiaTheme="minorHAnsi" w:hAnsiTheme="minorHAnsi" w:cstheme="minorHAnsi"/>
          <w:color w:val="auto"/>
          <w:sz w:val="18"/>
          <w:szCs w:val="18"/>
          <w:lang w:eastAsia="en-US"/>
        </w:rPr>
        <w:t xml:space="preserve">. Available at: </w:t>
      </w:r>
      <w:hyperlink r:id="rId32" w:history="1">
        <w:r w:rsidRPr="001E0954">
          <w:rPr>
            <w:rFonts w:asciiTheme="minorHAnsi" w:eastAsiaTheme="minorHAnsi" w:hAnsiTheme="minorHAnsi" w:cstheme="minorHAnsi"/>
            <w:color w:val="0563C1" w:themeColor="hyperlink"/>
            <w:sz w:val="18"/>
            <w:szCs w:val="18"/>
            <w:u w:val="single"/>
            <w:lang w:eastAsia="en-US"/>
          </w:rPr>
          <w:t>https://www.cps.gov.uk/crime-info/hate-crime</w:t>
        </w:r>
      </w:hyperlink>
      <w:r w:rsidRPr="001E0954">
        <w:rPr>
          <w:rFonts w:asciiTheme="minorHAnsi" w:eastAsiaTheme="minorHAnsi" w:hAnsiTheme="minorHAnsi" w:cstheme="minorHAnsi"/>
          <w:color w:val="auto"/>
          <w:sz w:val="18"/>
          <w:szCs w:val="18"/>
          <w:lang w:eastAsia="en-US"/>
        </w:rPr>
        <w:t xml:space="preserve"> [accessed on 14 October 2020]</w:t>
      </w:r>
    </w:p>
    <w:p w14:paraId="25CFF9A7"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BBC NEWS (2017) </w:t>
      </w:r>
      <w:r w:rsidRPr="001E0954">
        <w:rPr>
          <w:rFonts w:asciiTheme="minorHAnsi" w:eastAsiaTheme="minorHAnsi" w:hAnsiTheme="minorHAnsi" w:cstheme="minorHAnsi"/>
          <w:i/>
          <w:iCs/>
          <w:color w:val="auto"/>
          <w:sz w:val="18"/>
          <w:szCs w:val="18"/>
          <w:lang w:eastAsia="en-US"/>
        </w:rPr>
        <w:t>Bijan Ebrahimi Murder: Institutional racism by council and police</w:t>
      </w:r>
      <w:r w:rsidRPr="001E0954">
        <w:rPr>
          <w:rFonts w:asciiTheme="minorHAnsi" w:eastAsiaTheme="minorHAnsi" w:hAnsiTheme="minorHAnsi" w:cstheme="minorHAnsi"/>
          <w:color w:val="auto"/>
          <w:sz w:val="18"/>
          <w:szCs w:val="18"/>
          <w:lang w:eastAsia="en-US"/>
        </w:rPr>
        <w:t xml:space="preserve">. Available at: </w:t>
      </w:r>
      <w:hyperlink r:id="rId33" w:history="1">
        <w:r w:rsidRPr="001E0954">
          <w:rPr>
            <w:rFonts w:asciiTheme="minorHAnsi" w:eastAsiaTheme="minorHAnsi" w:hAnsiTheme="minorHAnsi" w:cstheme="minorHAnsi"/>
            <w:color w:val="0563C1" w:themeColor="hyperlink"/>
            <w:sz w:val="18"/>
            <w:szCs w:val="18"/>
            <w:u w:val="single"/>
            <w:lang w:eastAsia="en-US"/>
          </w:rPr>
          <w:t>https://www.bbc.com/news/uk-england-bristol-42393488</w:t>
        </w:r>
      </w:hyperlink>
      <w:r w:rsidRPr="001E0954">
        <w:rPr>
          <w:rFonts w:asciiTheme="minorHAnsi" w:eastAsiaTheme="minorHAnsi" w:hAnsiTheme="minorHAnsi" w:cstheme="minorHAnsi"/>
          <w:color w:val="auto"/>
          <w:sz w:val="18"/>
          <w:szCs w:val="18"/>
          <w:lang w:eastAsia="en-US"/>
        </w:rPr>
        <w:t xml:space="preserve"> [accessed on 14 October 2020]</w:t>
      </w:r>
    </w:p>
    <w:p w14:paraId="36A93D9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BBC NEWS (2011</w:t>
      </w:r>
      <w:proofErr w:type="gramStart"/>
      <w:r w:rsidRPr="001E0954">
        <w:rPr>
          <w:rFonts w:asciiTheme="minorHAnsi" w:eastAsiaTheme="minorHAnsi" w:hAnsiTheme="minorHAnsi" w:cstheme="minorHAnsi"/>
          <w:color w:val="auto"/>
          <w:sz w:val="18"/>
          <w:szCs w:val="18"/>
          <w:lang w:eastAsia="en-US"/>
        </w:rPr>
        <w:t xml:space="preserve">)  </w:t>
      </w:r>
      <w:r w:rsidRPr="001E0954">
        <w:rPr>
          <w:rFonts w:asciiTheme="minorHAnsi" w:eastAsiaTheme="minorHAnsi" w:hAnsiTheme="minorHAnsi" w:cstheme="minorHAnsi"/>
          <w:i/>
          <w:iCs/>
          <w:color w:val="auto"/>
          <w:sz w:val="18"/>
          <w:szCs w:val="18"/>
          <w:lang w:eastAsia="en-US"/>
        </w:rPr>
        <w:t>Fiona</w:t>
      </w:r>
      <w:proofErr w:type="gramEnd"/>
      <w:r w:rsidRPr="001E0954">
        <w:rPr>
          <w:rFonts w:asciiTheme="minorHAnsi" w:eastAsiaTheme="minorHAnsi" w:hAnsiTheme="minorHAnsi" w:cstheme="minorHAnsi"/>
          <w:i/>
          <w:iCs/>
          <w:color w:val="auto"/>
          <w:sz w:val="18"/>
          <w:szCs w:val="18"/>
          <w:lang w:eastAsia="en-US"/>
        </w:rPr>
        <w:t xml:space="preserve"> Pilkington officers face misconduct proceedings.</w:t>
      </w:r>
      <w:r w:rsidRPr="001E0954">
        <w:rPr>
          <w:rFonts w:asciiTheme="minorHAnsi" w:eastAsiaTheme="minorHAnsi" w:hAnsiTheme="minorHAnsi" w:cstheme="minorHAnsi"/>
          <w:color w:val="auto"/>
          <w:sz w:val="18"/>
          <w:szCs w:val="18"/>
          <w:lang w:eastAsia="en-US"/>
        </w:rPr>
        <w:t xml:space="preserve"> Available at: </w:t>
      </w:r>
      <w:hyperlink r:id="rId34" w:history="1">
        <w:r w:rsidRPr="001E0954">
          <w:rPr>
            <w:rFonts w:asciiTheme="minorHAnsi" w:eastAsiaTheme="minorHAnsi" w:hAnsiTheme="minorHAnsi" w:cstheme="minorHAnsi"/>
            <w:color w:val="0563C1" w:themeColor="hyperlink"/>
            <w:sz w:val="18"/>
            <w:szCs w:val="18"/>
            <w:u w:val="single"/>
            <w:lang w:eastAsia="en-US"/>
          </w:rPr>
          <w:t>https://www.bbc.co.uk/news/uk-england-leicestershire-13504618</w:t>
        </w:r>
      </w:hyperlink>
      <w:r w:rsidRPr="001E0954">
        <w:rPr>
          <w:rFonts w:asciiTheme="minorHAnsi" w:eastAsiaTheme="minorHAnsi" w:hAnsiTheme="minorHAnsi" w:cstheme="minorHAnsi"/>
          <w:color w:val="auto"/>
          <w:sz w:val="18"/>
          <w:szCs w:val="18"/>
          <w:lang w:eastAsia="en-US"/>
        </w:rPr>
        <w:t xml:space="preserve"> [accessed on 14 October 2020]</w:t>
      </w:r>
    </w:p>
    <w:p w14:paraId="15AD3728"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3129B6D3"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GOV.UK (2005</w:t>
      </w:r>
      <w:r w:rsidRPr="001E0954">
        <w:rPr>
          <w:rFonts w:asciiTheme="minorHAnsi" w:eastAsiaTheme="minorHAnsi" w:hAnsiTheme="minorHAnsi" w:cstheme="minorHAnsi"/>
          <w:i/>
          <w:iCs/>
          <w:color w:val="auto"/>
          <w:sz w:val="18"/>
          <w:szCs w:val="18"/>
          <w:lang w:eastAsia="en-US"/>
        </w:rPr>
        <w:t>) The Code of Practice for Victims of Crime</w:t>
      </w:r>
      <w:r w:rsidRPr="001E0954">
        <w:rPr>
          <w:rFonts w:asciiTheme="minorHAnsi" w:eastAsiaTheme="minorHAnsi" w:hAnsiTheme="minorHAnsi" w:cstheme="minorHAnsi"/>
          <w:color w:val="auto"/>
          <w:sz w:val="18"/>
          <w:szCs w:val="18"/>
          <w:lang w:eastAsia="en-US"/>
        </w:rPr>
        <w:t xml:space="preserve">. Available at: </w:t>
      </w:r>
      <w:hyperlink r:id="rId35" w:history="1">
        <w:r w:rsidRPr="001E0954">
          <w:rPr>
            <w:rFonts w:asciiTheme="minorHAnsi" w:eastAsiaTheme="minorHAnsi" w:hAnsiTheme="minorHAnsi" w:cstheme="minorHAnsi"/>
            <w:color w:val="0563C1" w:themeColor="hyperlink"/>
            <w:sz w:val="18"/>
            <w:szCs w:val="18"/>
            <w:u w:val="single"/>
            <w:lang w:eastAsia="en-US"/>
          </w:rPr>
          <w:t>https://www.gov.uk/government/publications/the-code-of-practice-for-victims-of-crime</w:t>
        </w:r>
      </w:hyperlink>
      <w:r w:rsidRPr="001E0954">
        <w:rPr>
          <w:rFonts w:asciiTheme="minorHAnsi" w:eastAsiaTheme="minorHAnsi" w:hAnsiTheme="minorHAnsi" w:cstheme="minorHAnsi"/>
          <w:color w:val="auto"/>
          <w:sz w:val="18"/>
          <w:szCs w:val="18"/>
          <w:lang w:eastAsia="en-US"/>
        </w:rPr>
        <w:t xml:space="preserve"> [accessed 14 October 2020]</w:t>
      </w:r>
    </w:p>
    <w:p w14:paraId="28578675"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Ministry of Justice (2011) </w:t>
      </w:r>
      <w:r w:rsidRPr="001E0954">
        <w:rPr>
          <w:rFonts w:asciiTheme="minorHAnsi" w:eastAsiaTheme="minorHAnsi" w:hAnsiTheme="minorHAnsi" w:cstheme="minorHAnsi"/>
          <w:i/>
          <w:iCs/>
          <w:color w:val="auto"/>
          <w:sz w:val="18"/>
          <w:szCs w:val="18"/>
          <w:lang w:eastAsia="en-US"/>
        </w:rPr>
        <w:t xml:space="preserve">Working with victims and witnesses. </w:t>
      </w:r>
      <w:r w:rsidRPr="001E0954">
        <w:rPr>
          <w:rFonts w:asciiTheme="minorHAnsi" w:eastAsiaTheme="minorHAnsi" w:hAnsiTheme="minorHAnsi" w:cstheme="minorHAnsi"/>
          <w:color w:val="auto"/>
          <w:sz w:val="18"/>
          <w:szCs w:val="18"/>
          <w:lang w:eastAsia="en-US"/>
        </w:rPr>
        <w:t xml:space="preserve">Available at: </w:t>
      </w:r>
      <w:hyperlink r:id="rId36" w:history="1">
        <w:r w:rsidRPr="001E0954">
          <w:rPr>
            <w:rFonts w:asciiTheme="minorHAnsi" w:eastAsiaTheme="minorHAnsi" w:hAnsiTheme="minorHAnsi" w:cstheme="minorHAnsi"/>
            <w:color w:val="0563C1" w:themeColor="hyperlink"/>
            <w:sz w:val="18"/>
            <w:szCs w:val="18"/>
            <w:u w:val="single"/>
            <w:lang w:eastAsia="en-US"/>
          </w:rPr>
          <w:t>https://www.app.college.police.uk/app-content/investigations/victims-and-witnesses/</w:t>
        </w:r>
      </w:hyperlink>
      <w:r w:rsidRPr="001E0954">
        <w:rPr>
          <w:rFonts w:asciiTheme="minorHAnsi" w:eastAsiaTheme="minorHAnsi" w:hAnsiTheme="minorHAnsi" w:cstheme="minorHAnsi"/>
          <w:color w:val="auto"/>
          <w:sz w:val="18"/>
          <w:szCs w:val="18"/>
          <w:lang w:eastAsia="en-US"/>
        </w:rPr>
        <w:t xml:space="preserve"> [accessed on 14 October 2020]</w:t>
      </w:r>
    </w:p>
    <w:p w14:paraId="40CE0D1F"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S24 Care Act (2014) – Care Act 2014. Available at: </w:t>
      </w:r>
      <w:hyperlink r:id="rId37" w:anchor=":~:text=There%20are%20currently%20no%20known%20outstanding%20effects%20for,legislation%20you%20are%20viewing%20by%20the%20editorial%20team" w:history="1">
        <w:r w:rsidRPr="001E0954">
          <w:rPr>
            <w:rFonts w:asciiTheme="minorHAnsi" w:eastAsiaTheme="minorHAnsi" w:hAnsiTheme="minorHAnsi" w:cstheme="minorHAnsi"/>
            <w:color w:val="0563C1" w:themeColor="hyperlink"/>
            <w:sz w:val="18"/>
            <w:szCs w:val="18"/>
            <w:u w:val="single"/>
            <w:lang w:eastAsia="en-US"/>
          </w:rPr>
          <w:t>https://www.legislation.gov.uk/ukpga/2014/23/section/24#:~:text=There%20are%20currently%20no%20known%20outstanding%20effects%20for,legislation%20you%20are%20viewing%20by%20the%20editorial%20team</w:t>
        </w:r>
      </w:hyperlink>
      <w:r w:rsidRPr="001E0954">
        <w:rPr>
          <w:rFonts w:asciiTheme="minorHAnsi" w:eastAsiaTheme="minorHAnsi" w:hAnsiTheme="minorHAnsi" w:cstheme="minorHAnsi"/>
          <w:color w:val="auto"/>
          <w:sz w:val="18"/>
          <w:szCs w:val="18"/>
          <w:lang w:eastAsia="en-US"/>
        </w:rPr>
        <w:t>. [accessed on 14 October 2020]</w:t>
      </w:r>
    </w:p>
    <w:p w14:paraId="3BDA3734"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Reducing the Risk (2019) – </w:t>
      </w:r>
      <w:r w:rsidRPr="001E0954">
        <w:rPr>
          <w:rFonts w:asciiTheme="minorHAnsi" w:eastAsiaTheme="minorHAnsi" w:hAnsiTheme="minorHAnsi" w:cstheme="minorHAnsi"/>
          <w:i/>
          <w:iCs/>
          <w:color w:val="auto"/>
          <w:sz w:val="18"/>
          <w:szCs w:val="18"/>
          <w:lang w:eastAsia="en-US"/>
        </w:rPr>
        <w:t>Reducing the Risk of Domestic Abuse</w:t>
      </w:r>
      <w:r w:rsidRPr="001E0954">
        <w:rPr>
          <w:rFonts w:asciiTheme="minorHAnsi" w:eastAsiaTheme="minorHAnsi" w:hAnsiTheme="minorHAnsi" w:cstheme="minorHAnsi"/>
          <w:color w:val="auto"/>
          <w:sz w:val="18"/>
          <w:szCs w:val="18"/>
          <w:lang w:eastAsia="en-US"/>
        </w:rPr>
        <w:t xml:space="preserve">. Available at: </w:t>
      </w:r>
      <w:hyperlink r:id="rId38" w:history="1">
        <w:r w:rsidRPr="001E0954">
          <w:rPr>
            <w:rFonts w:asciiTheme="minorHAnsi" w:eastAsiaTheme="minorHAnsi" w:hAnsiTheme="minorHAnsi" w:cstheme="minorHAnsi"/>
            <w:color w:val="0563C1" w:themeColor="hyperlink"/>
            <w:sz w:val="18"/>
            <w:szCs w:val="18"/>
            <w:u w:val="single"/>
            <w:lang w:eastAsia="en-US"/>
          </w:rPr>
          <w:t>https://www.reducingtherisk.org.uk/cms/content/marac</w:t>
        </w:r>
      </w:hyperlink>
      <w:r w:rsidRPr="001E0954">
        <w:rPr>
          <w:rFonts w:asciiTheme="minorHAnsi" w:eastAsiaTheme="minorHAnsi" w:hAnsiTheme="minorHAnsi" w:cstheme="minorHAnsi"/>
          <w:color w:val="006621"/>
          <w:sz w:val="18"/>
          <w:szCs w:val="18"/>
          <w:lang w:eastAsia="en-US"/>
        </w:rPr>
        <w:t xml:space="preserve"> [</w:t>
      </w:r>
      <w:proofErr w:type="spellStart"/>
      <w:r w:rsidRPr="001E0954">
        <w:rPr>
          <w:rFonts w:asciiTheme="minorHAnsi" w:eastAsiaTheme="minorHAnsi" w:hAnsiTheme="minorHAnsi" w:cstheme="minorHAnsi"/>
          <w:color w:val="auto"/>
          <w:sz w:val="18"/>
          <w:szCs w:val="18"/>
          <w:lang w:eastAsia="en-US"/>
        </w:rPr>
        <w:t>accssed</w:t>
      </w:r>
      <w:proofErr w:type="spellEnd"/>
      <w:r w:rsidRPr="001E0954">
        <w:rPr>
          <w:rFonts w:asciiTheme="minorHAnsi" w:eastAsiaTheme="minorHAnsi" w:hAnsiTheme="minorHAnsi" w:cstheme="minorHAnsi"/>
          <w:color w:val="auto"/>
          <w:sz w:val="18"/>
          <w:szCs w:val="18"/>
          <w:lang w:eastAsia="en-US"/>
        </w:rPr>
        <w:t xml:space="preserve"> on 14 October 2020]</w:t>
      </w:r>
    </w:p>
    <w:p w14:paraId="3D8490A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roofErr w:type="gramStart"/>
      <w:r w:rsidRPr="001E0954">
        <w:rPr>
          <w:rFonts w:asciiTheme="minorHAnsi" w:eastAsiaTheme="minorHAnsi" w:hAnsiTheme="minorHAnsi" w:cstheme="minorHAnsi"/>
          <w:color w:val="auto"/>
          <w:sz w:val="18"/>
          <w:szCs w:val="18"/>
          <w:lang w:eastAsia="en-US"/>
        </w:rPr>
        <w:t>Marshall ,Tony</w:t>
      </w:r>
      <w:proofErr w:type="gramEnd"/>
      <w:r w:rsidRPr="001E0954">
        <w:rPr>
          <w:rFonts w:asciiTheme="minorHAnsi" w:eastAsiaTheme="minorHAnsi" w:hAnsiTheme="minorHAnsi" w:cstheme="minorHAnsi"/>
          <w:color w:val="auto"/>
          <w:sz w:val="18"/>
          <w:szCs w:val="18"/>
          <w:lang w:eastAsia="en-US"/>
        </w:rPr>
        <w:t xml:space="preserve"> (1999) </w:t>
      </w:r>
      <w:r w:rsidRPr="001E0954">
        <w:rPr>
          <w:rFonts w:asciiTheme="minorHAnsi" w:eastAsiaTheme="minorHAnsi" w:hAnsiTheme="minorHAnsi" w:cstheme="minorHAnsi"/>
          <w:i/>
          <w:iCs/>
          <w:color w:val="auto"/>
          <w:sz w:val="18"/>
          <w:szCs w:val="18"/>
          <w:lang w:eastAsia="en-US"/>
        </w:rPr>
        <w:t>Restorative  Justice an Overview</w:t>
      </w:r>
      <w:r w:rsidRPr="001E0954">
        <w:rPr>
          <w:rFonts w:asciiTheme="minorHAnsi" w:eastAsiaTheme="minorHAnsi" w:hAnsiTheme="minorHAnsi" w:cstheme="minorHAnsi"/>
          <w:color w:val="auto"/>
          <w:sz w:val="18"/>
          <w:szCs w:val="18"/>
          <w:lang w:eastAsia="en-US"/>
        </w:rPr>
        <w:t>. Spain. Antonia Casella Publications</w:t>
      </w:r>
    </w:p>
    <w:p w14:paraId="21AED49A"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College of Policing, 2018. </w:t>
      </w:r>
      <w:r w:rsidRPr="001E0954">
        <w:rPr>
          <w:rFonts w:asciiTheme="minorHAnsi" w:eastAsiaTheme="minorHAnsi" w:hAnsiTheme="minorHAnsi" w:cstheme="minorHAnsi"/>
          <w:i/>
          <w:iCs/>
          <w:color w:val="auto"/>
          <w:sz w:val="18"/>
          <w:szCs w:val="18"/>
          <w:lang w:eastAsia="en-US"/>
        </w:rPr>
        <w:t>Competency Values – impartiality.</w:t>
      </w:r>
      <w:r w:rsidRPr="001E0954">
        <w:rPr>
          <w:rFonts w:asciiTheme="minorHAnsi" w:eastAsiaTheme="minorHAnsi" w:hAnsiTheme="minorHAnsi" w:cstheme="minorHAnsi"/>
          <w:color w:val="auto"/>
          <w:sz w:val="18"/>
          <w:szCs w:val="18"/>
          <w:lang w:eastAsia="en-US"/>
        </w:rPr>
        <w:t xml:space="preserve"> Available at: </w:t>
      </w:r>
      <w:hyperlink r:id="rId39" w:history="1">
        <w:r w:rsidRPr="001E0954">
          <w:rPr>
            <w:rFonts w:asciiTheme="minorHAnsi" w:eastAsiaTheme="minorHAnsi" w:hAnsiTheme="minorHAnsi" w:cstheme="minorHAnsi"/>
            <w:color w:val="0563C1" w:themeColor="hyperlink"/>
            <w:sz w:val="18"/>
            <w:szCs w:val="18"/>
            <w:u w:val="single"/>
            <w:lang w:eastAsia="en-US"/>
          </w:rPr>
          <w:t>https://profdev.college.police.uk/competency-values/impartiality/</w:t>
        </w:r>
      </w:hyperlink>
      <w:r w:rsidRPr="001E0954">
        <w:rPr>
          <w:rFonts w:asciiTheme="minorHAnsi" w:eastAsiaTheme="minorHAnsi" w:hAnsiTheme="minorHAnsi" w:cstheme="minorHAnsi"/>
          <w:color w:val="auto"/>
          <w:sz w:val="18"/>
          <w:szCs w:val="18"/>
          <w:lang w:eastAsia="en-US"/>
        </w:rPr>
        <w:t xml:space="preserve"> [accessed 14 October 2020]</w:t>
      </w:r>
    </w:p>
    <w:p w14:paraId="4B1EE1A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7AC4797E" w14:textId="65F7131B" w:rsidR="001E0954" w:rsidRDefault="001E0954" w:rsidP="001E0954">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sz w:val="18"/>
          <w:szCs w:val="18"/>
          <w:lang w:eastAsia="en-US"/>
        </w:rPr>
      </w:pPr>
    </w:p>
    <w:p w14:paraId="52A4CFCB" w14:textId="17C4888C" w:rsidR="001E0954" w:rsidRDefault="001E0954" w:rsidP="001E0954">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sz w:val="18"/>
          <w:szCs w:val="18"/>
          <w:lang w:eastAsia="en-US"/>
        </w:rPr>
      </w:pPr>
    </w:p>
    <w:p w14:paraId="755981B7" w14:textId="77777777" w:rsidR="001E0954" w:rsidRPr="001E0954" w:rsidRDefault="001E0954" w:rsidP="001E0954">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sz w:val="18"/>
          <w:szCs w:val="18"/>
          <w:lang w:eastAsia="en-US"/>
        </w:rPr>
      </w:pPr>
    </w:p>
    <w:p w14:paraId="5E75DA32"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b/>
          <w:bCs/>
          <w:color w:val="auto"/>
          <w:sz w:val="22"/>
          <w:szCs w:val="22"/>
          <w:lang w:eastAsia="en-US"/>
        </w:rPr>
      </w:pPr>
      <w:r w:rsidRPr="001E0954">
        <w:rPr>
          <w:rFonts w:asciiTheme="minorHAnsi" w:eastAsiaTheme="minorHAnsi" w:hAnsiTheme="minorHAnsi" w:cstheme="minorHAnsi"/>
          <w:b/>
          <w:bCs/>
          <w:color w:val="auto"/>
          <w:sz w:val="22"/>
          <w:szCs w:val="22"/>
          <w:lang w:eastAsia="en-US"/>
        </w:rPr>
        <w:lastRenderedPageBreak/>
        <w:t xml:space="preserve">Assignment 4 </w:t>
      </w:r>
    </w:p>
    <w:p w14:paraId="6A40A114"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Legislation.gov (1971) </w:t>
      </w:r>
      <w:r w:rsidRPr="001E0954">
        <w:rPr>
          <w:rFonts w:asciiTheme="minorHAnsi" w:eastAsiaTheme="minorHAnsi" w:hAnsiTheme="minorHAnsi" w:cstheme="minorHAnsi"/>
          <w:i/>
          <w:iCs/>
          <w:color w:val="auto"/>
          <w:sz w:val="18"/>
          <w:szCs w:val="18"/>
          <w:lang w:eastAsia="en-US"/>
        </w:rPr>
        <w:t>Misuse of Drugs Act – Available</w:t>
      </w:r>
      <w:r w:rsidRPr="001E0954">
        <w:rPr>
          <w:rFonts w:asciiTheme="minorHAnsi" w:eastAsiaTheme="minorHAnsi" w:hAnsiTheme="minorHAnsi" w:cstheme="minorHAnsi"/>
          <w:color w:val="auto"/>
          <w:sz w:val="18"/>
          <w:szCs w:val="18"/>
          <w:lang w:eastAsia="en-US"/>
        </w:rPr>
        <w:t xml:space="preserve"> At </w:t>
      </w:r>
      <w:hyperlink r:id="rId40" w:history="1">
        <w:r w:rsidRPr="001E0954">
          <w:rPr>
            <w:rFonts w:asciiTheme="minorHAnsi" w:eastAsiaTheme="minorHAnsi" w:hAnsiTheme="minorHAnsi" w:cstheme="minorHAnsi"/>
            <w:color w:val="0563C1" w:themeColor="hyperlink"/>
            <w:sz w:val="18"/>
            <w:szCs w:val="18"/>
            <w:u w:val="single"/>
            <w:lang w:eastAsia="en-US"/>
          </w:rPr>
          <w:t>https://www.legislation.gov.uk/ukpga/1971/38/section/23</w:t>
        </w:r>
      </w:hyperlink>
      <w:r w:rsidRPr="001E0954">
        <w:rPr>
          <w:rFonts w:asciiTheme="minorHAnsi" w:eastAsiaTheme="minorHAnsi" w:hAnsiTheme="minorHAnsi" w:cstheme="minorHAnsi"/>
          <w:color w:val="auto"/>
          <w:sz w:val="18"/>
          <w:szCs w:val="18"/>
          <w:lang w:eastAsia="en-US"/>
        </w:rPr>
        <w:t xml:space="preserve"> [accessed 13 October 2020]</w:t>
      </w:r>
    </w:p>
    <w:p w14:paraId="4C707234"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10DA0AF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006621"/>
          <w:sz w:val="18"/>
          <w:szCs w:val="18"/>
          <w:lang w:eastAsia="en-US"/>
        </w:rPr>
      </w:pPr>
      <w:r w:rsidRPr="001E0954">
        <w:rPr>
          <w:rFonts w:asciiTheme="minorHAnsi" w:eastAsiaTheme="minorHAnsi" w:hAnsiTheme="minorHAnsi" w:cstheme="minorHAnsi"/>
          <w:color w:val="auto"/>
          <w:sz w:val="18"/>
          <w:szCs w:val="18"/>
          <w:lang w:eastAsia="en-US"/>
        </w:rPr>
        <w:t>College of Policing (2019</w:t>
      </w:r>
      <w:r w:rsidRPr="001E0954">
        <w:rPr>
          <w:rFonts w:asciiTheme="minorHAnsi" w:eastAsiaTheme="minorHAnsi" w:hAnsiTheme="minorHAnsi" w:cstheme="minorHAnsi"/>
          <w:i/>
          <w:iCs/>
          <w:color w:val="auto"/>
          <w:sz w:val="18"/>
          <w:szCs w:val="18"/>
          <w:lang w:eastAsia="en-US"/>
        </w:rPr>
        <w:t xml:space="preserve">) Stop and Search: Effective use </w:t>
      </w:r>
      <w:r w:rsidRPr="001E0954">
        <w:rPr>
          <w:rFonts w:asciiTheme="minorHAnsi" w:eastAsiaTheme="minorHAnsi" w:hAnsiTheme="minorHAnsi" w:cstheme="minorHAnsi"/>
          <w:color w:val="auto"/>
          <w:sz w:val="18"/>
          <w:szCs w:val="18"/>
          <w:lang w:eastAsia="en-US"/>
        </w:rPr>
        <w:t xml:space="preserve">– available at </w:t>
      </w:r>
      <w:hyperlink r:id="rId41" w:history="1">
        <w:r w:rsidRPr="001E0954">
          <w:rPr>
            <w:rFonts w:asciiTheme="minorHAnsi" w:eastAsiaTheme="minorHAnsi" w:hAnsiTheme="minorHAnsi" w:cstheme="minorHAnsi"/>
            <w:color w:val="0563C1" w:themeColor="hyperlink"/>
            <w:sz w:val="18"/>
            <w:szCs w:val="18"/>
            <w:u w:val="single"/>
            <w:lang w:eastAsia="en-US"/>
          </w:rPr>
          <w:t>https://www.app.college.police.uk/app-content/stop-and-search</w:t>
        </w:r>
      </w:hyperlink>
      <w:r w:rsidRPr="001E0954">
        <w:rPr>
          <w:rFonts w:asciiTheme="minorHAnsi" w:eastAsiaTheme="minorHAnsi" w:hAnsiTheme="minorHAnsi" w:cstheme="minorHAnsi"/>
          <w:color w:val="006621"/>
          <w:sz w:val="18"/>
          <w:szCs w:val="18"/>
          <w:lang w:eastAsia="en-US"/>
        </w:rPr>
        <w:t xml:space="preserve"> </w:t>
      </w:r>
      <w:r w:rsidRPr="001E0954">
        <w:rPr>
          <w:rFonts w:asciiTheme="minorHAnsi" w:eastAsiaTheme="minorHAnsi" w:hAnsiTheme="minorHAnsi" w:cstheme="minorHAnsi"/>
          <w:color w:val="auto"/>
          <w:sz w:val="18"/>
          <w:szCs w:val="18"/>
          <w:lang w:eastAsia="en-US"/>
        </w:rPr>
        <w:t>[accessed 13 October 2020]</w:t>
      </w:r>
    </w:p>
    <w:p w14:paraId="17E43413"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006621"/>
          <w:sz w:val="18"/>
          <w:szCs w:val="18"/>
          <w:lang w:eastAsia="en-US"/>
        </w:rPr>
      </w:pPr>
    </w:p>
    <w:p w14:paraId="28AE7E2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roofErr w:type="spellStart"/>
      <w:r w:rsidRPr="001E0954">
        <w:rPr>
          <w:rFonts w:asciiTheme="minorHAnsi" w:eastAsiaTheme="minorHAnsi" w:hAnsiTheme="minorHAnsi" w:cstheme="minorHAnsi"/>
          <w:color w:val="auto"/>
          <w:sz w:val="18"/>
          <w:szCs w:val="18"/>
          <w:lang w:eastAsia="en-US"/>
        </w:rPr>
        <w:t>GuardianOnline</w:t>
      </w:r>
      <w:proofErr w:type="spellEnd"/>
      <w:r w:rsidRPr="001E0954">
        <w:rPr>
          <w:rFonts w:asciiTheme="minorHAnsi" w:eastAsiaTheme="minorHAnsi" w:hAnsiTheme="minorHAnsi" w:cstheme="minorHAnsi"/>
          <w:color w:val="auto"/>
          <w:sz w:val="18"/>
          <w:szCs w:val="18"/>
          <w:lang w:eastAsia="en-US"/>
        </w:rPr>
        <w:t xml:space="preserve">, (2018) </w:t>
      </w:r>
      <w:r w:rsidRPr="001E0954">
        <w:rPr>
          <w:rFonts w:asciiTheme="minorHAnsi" w:eastAsiaTheme="minorHAnsi" w:hAnsiTheme="minorHAnsi" w:cstheme="minorHAnsi"/>
          <w:i/>
          <w:iCs/>
          <w:color w:val="auto"/>
          <w:sz w:val="18"/>
          <w:szCs w:val="18"/>
          <w:lang w:eastAsia="en-US"/>
        </w:rPr>
        <w:t>William Whitelaw Public Inquiry</w:t>
      </w:r>
      <w:r w:rsidRPr="001E0954">
        <w:rPr>
          <w:rFonts w:asciiTheme="minorHAnsi" w:eastAsiaTheme="minorHAnsi" w:hAnsiTheme="minorHAnsi" w:cstheme="minorHAnsi"/>
          <w:color w:val="auto"/>
          <w:sz w:val="18"/>
          <w:szCs w:val="18"/>
          <w:lang w:eastAsia="en-US"/>
        </w:rPr>
        <w:t xml:space="preserve">  - available at </w:t>
      </w:r>
      <w:hyperlink r:id="rId42" w:history="1">
        <w:r w:rsidRPr="001E0954">
          <w:rPr>
            <w:rFonts w:asciiTheme="minorHAnsi" w:eastAsiaTheme="minorHAnsi" w:hAnsiTheme="minorHAnsi" w:cstheme="minorHAnsi"/>
            <w:color w:val="0563C1" w:themeColor="hyperlink"/>
            <w:sz w:val="18"/>
            <w:szCs w:val="18"/>
            <w:u w:val="single"/>
            <w:lang w:eastAsia="en-US"/>
          </w:rPr>
          <w:t>https://www.theguardian.com/uk/1982/jul/13/monarchy.martinlinton</w:t>
        </w:r>
      </w:hyperlink>
      <w:r w:rsidRPr="001E0954">
        <w:rPr>
          <w:rFonts w:asciiTheme="minorHAnsi" w:eastAsiaTheme="minorHAnsi" w:hAnsiTheme="minorHAnsi" w:cstheme="minorHAnsi"/>
          <w:color w:val="auto"/>
          <w:sz w:val="18"/>
          <w:szCs w:val="18"/>
          <w:lang w:eastAsia="en-US"/>
        </w:rPr>
        <w:t xml:space="preserve"> [accessed 13 October 2020]</w:t>
      </w:r>
    </w:p>
    <w:p w14:paraId="492AF31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0FBD81E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proofErr w:type="spellStart"/>
      <w:r w:rsidRPr="001E0954">
        <w:rPr>
          <w:rFonts w:asciiTheme="minorHAnsi" w:eastAsiaTheme="minorHAnsi" w:hAnsiTheme="minorHAnsi" w:cstheme="minorHAnsi"/>
          <w:color w:val="auto"/>
          <w:sz w:val="18"/>
          <w:szCs w:val="18"/>
          <w:shd w:val="clear" w:color="auto" w:fill="FFFFFF"/>
          <w:lang w:eastAsia="en-US"/>
        </w:rPr>
        <w:t>McPhearson</w:t>
      </w:r>
      <w:proofErr w:type="spellEnd"/>
      <w:r w:rsidRPr="001E0954">
        <w:rPr>
          <w:rFonts w:asciiTheme="minorHAnsi" w:eastAsiaTheme="minorHAnsi" w:hAnsiTheme="minorHAnsi" w:cstheme="minorHAnsi"/>
          <w:color w:val="auto"/>
          <w:sz w:val="18"/>
          <w:szCs w:val="18"/>
          <w:shd w:val="clear" w:color="auto" w:fill="FFFFFF"/>
          <w:lang w:eastAsia="en-US"/>
        </w:rPr>
        <w:t xml:space="preserve"> Report 1999. [online] Available at: &lt;https://assets.publishing.service.gov.uk/government/uploads/system/uploads/attachment_data/file/277111/4262.pdf&gt; [Accessed 13 October 2020].</w:t>
      </w:r>
    </w:p>
    <w:p w14:paraId="742DDACD"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shd w:val="clear" w:color="auto" w:fill="FFFFFF"/>
          <w:lang w:eastAsia="en-US"/>
        </w:rPr>
      </w:pPr>
    </w:p>
    <w:p w14:paraId="1E2FE0C9"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Scarman, 1981. The Scarman Report  Available at: </w:t>
      </w:r>
      <w:hyperlink r:id="rId43" w:history="1">
        <w:r w:rsidRPr="001E0954">
          <w:rPr>
            <w:rFonts w:asciiTheme="minorHAnsi" w:eastAsiaTheme="minorHAnsi" w:hAnsiTheme="minorHAnsi" w:cstheme="minorHAnsi"/>
            <w:color w:val="0563C1" w:themeColor="hyperlink"/>
            <w:sz w:val="18"/>
            <w:szCs w:val="18"/>
            <w:u w:val="single"/>
            <w:lang w:eastAsia="en-US"/>
          </w:rPr>
          <w:t>https://api.parliament.uk/historic-hansard/lords/1981/nov/25/the-scarman-report</w:t>
        </w:r>
      </w:hyperlink>
      <w:r w:rsidRPr="001E0954">
        <w:rPr>
          <w:rFonts w:asciiTheme="minorHAnsi" w:eastAsiaTheme="minorHAnsi" w:hAnsiTheme="minorHAnsi" w:cstheme="minorHAnsi"/>
          <w:color w:val="auto"/>
          <w:sz w:val="18"/>
          <w:szCs w:val="18"/>
          <w:lang w:eastAsia="en-US"/>
        </w:rPr>
        <w:t xml:space="preserve"> [accessed 13 October 2020]</w:t>
      </w:r>
    </w:p>
    <w:p w14:paraId="2DCF51A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057CCE03"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Independent 2020, Stop and Search UK police. Available at: </w:t>
      </w:r>
      <w:hyperlink r:id="rId44" w:history="1">
        <w:r w:rsidRPr="001E0954">
          <w:rPr>
            <w:rFonts w:asciiTheme="minorHAnsi" w:eastAsiaTheme="minorHAnsi" w:hAnsiTheme="minorHAnsi" w:cstheme="minorHAnsi"/>
            <w:color w:val="0563C1" w:themeColor="hyperlink"/>
            <w:sz w:val="18"/>
            <w:szCs w:val="18"/>
            <w:u w:val="single"/>
            <w:lang w:eastAsia="en-US"/>
          </w:rPr>
          <w:t>https://www.independent.co.uk/voices/stop-and-search-uk-police-amber-rudd-body-cameras-discrimination-a7890821.html</w:t>
        </w:r>
      </w:hyperlink>
      <w:r w:rsidRPr="001E0954">
        <w:rPr>
          <w:rFonts w:asciiTheme="minorHAnsi" w:eastAsiaTheme="minorHAnsi" w:hAnsiTheme="minorHAnsi" w:cstheme="minorHAnsi"/>
          <w:color w:val="auto"/>
          <w:sz w:val="18"/>
          <w:szCs w:val="18"/>
          <w:lang w:eastAsia="en-US"/>
        </w:rPr>
        <w:t xml:space="preserve"> [accessed 13 October 2020</w:t>
      </w:r>
    </w:p>
    <w:p w14:paraId="1FF8081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095BC46F"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Independent/NPCC </w:t>
      </w:r>
      <w:proofErr w:type="gramStart"/>
      <w:r w:rsidRPr="001E0954">
        <w:rPr>
          <w:rFonts w:asciiTheme="minorHAnsi" w:eastAsiaTheme="minorHAnsi" w:hAnsiTheme="minorHAnsi" w:cstheme="minorHAnsi"/>
          <w:color w:val="auto"/>
          <w:sz w:val="18"/>
          <w:szCs w:val="18"/>
          <w:lang w:eastAsia="en-US"/>
        </w:rPr>
        <w:t>2020,  Police</w:t>
      </w:r>
      <w:proofErr w:type="gramEnd"/>
      <w:r w:rsidRPr="001E0954">
        <w:rPr>
          <w:rFonts w:asciiTheme="minorHAnsi" w:eastAsiaTheme="minorHAnsi" w:hAnsiTheme="minorHAnsi" w:cstheme="minorHAnsi"/>
          <w:color w:val="auto"/>
          <w:sz w:val="18"/>
          <w:szCs w:val="18"/>
          <w:lang w:eastAsia="en-US"/>
        </w:rPr>
        <w:t xml:space="preserve"> racial inequality. Available at </w:t>
      </w:r>
      <w:hyperlink r:id="rId45" w:history="1">
        <w:r w:rsidRPr="001E0954">
          <w:rPr>
            <w:rFonts w:asciiTheme="minorHAnsi" w:eastAsiaTheme="minorHAnsi" w:hAnsiTheme="minorHAnsi" w:cstheme="minorHAnsi"/>
            <w:color w:val="0563C1" w:themeColor="hyperlink"/>
            <w:sz w:val="18"/>
            <w:szCs w:val="18"/>
            <w:u w:val="single"/>
            <w:lang w:eastAsia="en-US"/>
          </w:rPr>
          <w:t>https://www.independent.co.uk/news/uk/home-news/police-racial-inequality-black-lives-matter-protests-a9573696.html</w:t>
        </w:r>
      </w:hyperlink>
      <w:r w:rsidRPr="001E0954">
        <w:rPr>
          <w:rFonts w:asciiTheme="minorHAnsi" w:eastAsiaTheme="minorHAnsi" w:hAnsiTheme="minorHAnsi" w:cstheme="minorHAnsi"/>
          <w:color w:val="auto"/>
          <w:sz w:val="18"/>
          <w:szCs w:val="18"/>
          <w:lang w:eastAsia="en-US"/>
        </w:rPr>
        <w:t xml:space="preserve"> [accessed 13 October 2020]</w:t>
      </w:r>
    </w:p>
    <w:p w14:paraId="208B9AE3"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26C1B1A9"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Criminal Justice Alliance (2020) New Stop and Search Guidance on Community Scrutiny. Available at: </w:t>
      </w:r>
      <w:proofErr w:type="gramStart"/>
      <w:r w:rsidRPr="001E0954">
        <w:rPr>
          <w:rFonts w:asciiTheme="minorHAnsi" w:eastAsiaTheme="minorHAnsi" w:hAnsiTheme="minorHAnsi" w:cstheme="minorHAnsi"/>
          <w:color w:val="auto"/>
          <w:sz w:val="18"/>
          <w:szCs w:val="18"/>
          <w:lang w:eastAsia="en-US"/>
        </w:rPr>
        <w:t>http://criminaljusticealliance.org/cja-welcomes-new-stop-and-search-guidance-on-community-scrutin/  [</w:t>
      </w:r>
      <w:proofErr w:type="gramEnd"/>
      <w:r w:rsidRPr="001E0954">
        <w:rPr>
          <w:rFonts w:asciiTheme="minorHAnsi" w:eastAsiaTheme="minorHAnsi" w:hAnsiTheme="minorHAnsi" w:cstheme="minorHAnsi"/>
          <w:color w:val="auto"/>
          <w:sz w:val="18"/>
          <w:szCs w:val="18"/>
          <w:lang w:eastAsia="en-US"/>
        </w:rPr>
        <w:t>accessed 13 October 2020)</w:t>
      </w:r>
    </w:p>
    <w:p w14:paraId="6FC966E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202122"/>
          <w:sz w:val="18"/>
          <w:szCs w:val="18"/>
          <w:shd w:val="clear" w:color="auto" w:fill="FFFFFF"/>
          <w:lang w:eastAsia="en-US"/>
        </w:rPr>
        <w:t xml:space="preserve">Peel, Arthur George Villiers (1895). </w:t>
      </w:r>
      <w:hyperlink r:id="rId46" w:history="1">
        <w:r w:rsidRPr="001E0954">
          <w:rPr>
            <w:rFonts w:asciiTheme="minorHAnsi" w:eastAsiaTheme="minorHAnsi" w:hAnsiTheme="minorHAnsi" w:cstheme="minorHAnsi"/>
            <w:color w:val="3366BB"/>
            <w:sz w:val="18"/>
            <w:szCs w:val="18"/>
            <w:u w:val="single"/>
            <w:lang w:eastAsia="en-US"/>
          </w:rPr>
          <w:t>"Peel, Robert (1788-1850)" </w:t>
        </w:r>
      </w:hyperlink>
      <w:r w:rsidRPr="001E0954">
        <w:rPr>
          <w:rFonts w:asciiTheme="minorHAnsi" w:eastAsiaTheme="minorHAnsi" w:hAnsiTheme="minorHAnsi" w:cstheme="minorHAnsi"/>
          <w:color w:val="202122"/>
          <w:sz w:val="18"/>
          <w:szCs w:val="18"/>
          <w:shd w:val="clear" w:color="auto" w:fill="FFFFFF"/>
          <w:lang w:eastAsia="en-US"/>
        </w:rPr>
        <w:t xml:space="preserve">. In </w:t>
      </w:r>
      <w:hyperlink r:id="rId47" w:tooltip="Sidney Lee" w:history="1">
        <w:r w:rsidRPr="001E0954">
          <w:rPr>
            <w:rFonts w:asciiTheme="minorHAnsi" w:eastAsiaTheme="minorHAnsi" w:hAnsiTheme="minorHAnsi" w:cstheme="minorHAnsi"/>
            <w:color w:val="0645AD"/>
            <w:sz w:val="18"/>
            <w:szCs w:val="18"/>
            <w:u w:val="single"/>
            <w:lang w:eastAsia="en-US"/>
          </w:rPr>
          <w:t>Lee, Sidney</w:t>
        </w:r>
      </w:hyperlink>
      <w:r w:rsidRPr="001E0954">
        <w:rPr>
          <w:rFonts w:asciiTheme="minorHAnsi" w:eastAsiaTheme="minorHAnsi" w:hAnsiTheme="minorHAnsi" w:cstheme="minorHAnsi"/>
          <w:color w:val="202122"/>
          <w:sz w:val="18"/>
          <w:szCs w:val="18"/>
          <w:shd w:val="clear" w:color="auto" w:fill="FFFFFF"/>
          <w:lang w:eastAsia="en-US"/>
        </w:rPr>
        <w:t xml:space="preserve"> (ed.). </w:t>
      </w:r>
      <w:hyperlink r:id="rId48" w:tooltip="Dictionary of National Biography" w:history="1">
        <w:r w:rsidRPr="001E0954">
          <w:rPr>
            <w:rFonts w:asciiTheme="minorHAnsi" w:eastAsiaTheme="minorHAnsi" w:hAnsiTheme="minorHAnsi" w:cstheme="minorHAnsi"/>
            <w:i/>
            <w:iCs/>
            <w:color w:val="0645AD"/>
            <w:sz w:val="18"/>
            <w:szCs w:val="18"/>
            <w:u w:val="single"/>
            <w:lang w:eastAsia="en-US"/>
          </w:rPr>
          <w:t>Dictionary of National Biography</w:t>
        </w:r>
      </w:hyperlink>
      <w:r w:rsidRPr="001E0954">
        <w:rPr>
          <w:rFonts w:asciiTheme="minorHAnsi" w:eastAsiaTheme="minorHAnsi" w:hAnsiTheme="minorHAnsi" w:cstheme="minorHAnsi"/>
          <w:color w:val="202122"/>
          <w:sz w:val="18"/>
          <w:szCs w:val="18"/>
          <w:shd w:val="clear" w:color="auto" w:fill="FFFFFF"/>
          <w:lang w:eastAsia="en-US"/>
        </w:rPr>
        <w:t xml:space="preserve">. </w:t>
      </w:r>
      <w:r w:rsidRPr="001E0954">
        <w:rPr>
          <w:rFonts w:asciiTheme="minorHAnsi" w:eastAsiaTheme="minorHAnsi" w:hAnsiTheme="minorHAnsi" w:cstheme="minorHAnsi"/>
          <w:b/>
          <w:bCs/>
          <w:color w:val="202122"/>
          <w:sz w:val="18"/>
          <w:szCs w:val="18"/>
          <w:lang w:eastAsia="en-US"/>
        </w:rPr>
        <w:t>44</w:t>
      </w:r>
      <w:r w:rsidRPr="001E0954">
        <w:rPr>
          <w:rFonts w:asciiTheme="minorHAnsi" w:eastAsiaTheme="minorHAnsi" w:hAnsiTheme="minorHAnsi" w:cstheme="minorHAnsi"/>
          <w:color w:val="202122"/>
          <w:sz w:val="18"/>
          <w:szCs w:val="18"/>
          <w:shd w:val="clear" w:color="auto" w:fill="FFFFFF"/>
          <w:lang w:eastAsia="en-US"/>
        </w:rPr>
        <w:t>. London: Smith, Elder &amp; Co.</w:t>
      </w:r>
    </w:p>
    <w:p w14:paraId="1C7D82D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Guardian (2011) Cost of English Riots Much more than first thought  Available at: </w:t>
      </w:r>
      <w:hyperlink r:id="rId49" w:history="1">
        <w:r w:rsidRPr="001E0954">
          <w:rPr>
            <w:rFonts w:asciiTheme="minorHAnsi" w:eastAsiaTheme="minorHAnsi" w:hAnsiTheme="minorHAnsi" w:cstheme="minorHAnsi"/>
            <w:color w:val="0563C1" w:themeColor="hyperlink"/>
            <w:sz w:val="18"/>
            <w:szCs w:val="18"/>
            <w:u w:val="single"/>
            <w:lang w:eastAsia="en-US"/>
          </w:rPr>
          <w:t>https://www.theguardian.com/uk/2011/oct/24/england-riots-cost-police-report</w:t>
        </w:r>
      </w:hyperlink>
      <w:r w:rsidRPr="001E0954">
        <w:rPr>
          <w:rFonts w:asciiTheme="minorHAnsi" w:eastAsiaTheme="minorHAnsi" w:hAnsiTheme="minorHAnsi" w:cstheme="minorHAnsi"/>
          <w:color w:val="auto"/>
          <w:sz w:val="18"/>
          <w:szCs w:val="18"/>
          <w:lang w:eastAsia="en-US"/>
        </w:rPr>
        <w:t xml:space="preserve"> [accessed 14/10/2020]</w:t>
      </w:r>
    </w:p>
    <w:p w14:paraId="16111A32"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College of Policing (2013) National Decision Model. Available at </w:t>
      </w:r>
      <w:hyperlink r:id="rId50" w:anchor=":~:text=The%20NDM%20puts%20the%20Code%20of%20Ethics%20at,behaviour%20set%20out%20in%20the%20Code.%20Policing%20principles" w:history="1">
        <w:r w:rsidRPr="001E0954">
          <w:rPr>
            <w:rFonts w:asciiTheme="minorHAnsi" w:eastAsiaTheme="minorHAnsi" w:hAnsiTheme="minorHAnsi" w:cstheme="minorHAnsi"/>
            <w:color w:val="0563C1" w:themeColor="hyperlink"/>
            <w:sz w:val="18"/>
            <w:szCs w:val="18"/>
            <w:u w:val="single"/>
            <w:lang w:eastAsia="en-US"/>
          </w:rPr>
          <w:t>https://www.app.college.police.uk/app-content/national-decision-model/the-national-decision-model/#:~:text=The%20NDM%20puts%20the%20Code%20of%20Ethics%20at,behaviour%20set%20out%20in%20the%20Code.%20Policing%20principles</w:t>
        </w:r>
      </w:hyperlink>
      <w:r w:rsidRPr="001E0954">
        <w:rPr>
          <w:rFonts w:asciiTheme="minorHAnsi" w:eastAsiaTheme="minorHAnsi" w:hAnsiTheme="minorHAnsi" w:cstheme="minorHAnsi"/>
          <w:color w:val="auto"/>
          <w:sz w:val="18"/>
          <w:szCs w:val="18"/>
          <w:lang w:eastAsia="en-US"/>
        </w:rPr>
        <w:t xml:space="preserve"> [accessed 14/10/2020]</w:t>
      </w:r>
    </w:p>
    <w:p w14:paraId="2926AA76"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t xml:space="preserve">ACPO (2012) DfE and ACPO drug advice for schools. Available at: </w:t>
      </w:r>
      <w:hyperlink r:id="rId51" w:history="1">
        <w:r w:rsidRPr="001E0954">
          <w:rPr>
            <w:rFonts w:asciiTheme="minorHAnsi" w:eastAsiaTheme="minorHAnsi" w:hAnsiTheme="minorHAnsi" w:cstheme="minorHAnsi"/>
            <w:color w:val="0563C1" w:themeColor="hyperlink"/>
            <w:sz w:val="18"/>
            <w:szCs w:val="18"/>
            <w:u w:val="single"/>
            <w:lang w:eastAsia="en-US"/>
          </w:rPr>
          <w:t>https://assets.publishing.service.gov.uk/government/uploads/system/uploads/attachment_data/file/270169/drug_advice_for_schools.pdf</w:t>
        </w:r>
      </w:hyperlink>
      <w:r w:rsidRPr="001E0954">
        <w:rPr>
          <w:rFonts w:asciiTheme="minorHAnsi" w:eastAsiaTheme="minorHAnsi" w:hAnsiTheme="minorHAnsi" w:cstheme="minorHAnsi"/>
          <w:color w:val="auto"/>
          <w:sz w:val="18"/>
          <w:szCs w:val="18"/>
          <w:lang w:eastAsia="en-US"/>
        </w:rPr>
        <w:t xml:space="preserve"> [accessed 14 October 2020]</w:t>
      </w:r>
    </w:p>
    <w:p w14:paraId="4B66307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r w:rsidRPr="001E0954">
        <w:rPr>
          <w:rFonts w:asciiTheme="minorHAnsi" w:eastAsiaTheme="minorHAnsi" w:hAnsiTheme="minorHAnsi" w:cstheme="minorHAnsi"/>
          <w:color w:val="auto"/>
          <w:sz w:val="18"/>
          <w:szCs w:val="18"/>
          <w:lang w:eastAsia="en-US"/>
        </w:rPr>
        <w:br w:type="page"/>
      </w:r>
    </w:p>
    <w:p w14:paraId="2A5EC0B1" w14:textId="4B2C01C6"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i/>
          <w:iCs/>
          <w:color w:val="202122"/>
          <w:sz w:val="18"/>
          <w:szCs w:val="18"/>
          <w:lang w:eastAsia="en-US"/>
        </w:rPr>
      </w:pPr>
      <w:r w:rsidRPr="001E0954">
        <w:rPr>
          <w:rFonts w:asciiTheme="minorHAnsi" w:eastAsiaTheme="minorHAnsi" w:hAnsiTheme="minorHAnsi" w:cstheme="minorHAnsi"/>
          <w:i/>
          <w:iCs/>
          <w:color w:val="202122"/>
          <w:sz w:val="18"/>
          <w:szCs w:val="18"/>
          <w:lang w:eastAsia="en-US"/>
        </w:rPr>
        <w:lastRenderedPageBreak/>
        <w:t xml:space="preserve">Millen &amp; Stephens, F. &amp; M. (2011). </w:t>
      </w:r>
      <w:hyperlink r:id="rId52" w:history="1">
        <w:r w:rsidRPr="001E0954">
          <w:rPr>
            <w:rFonts w:asciiTheme="minorHAnsi" w:eastAsiaTheme="minorHAnsi" w:hAnsiTheme="minorHAnsi" w:cstheme="minorHAnsi"/>
            <w:i/>
            <w:iCs/>
            <w:color w:val="3366BB"/>
            <w:sz w:val="18"/>
            <w:szCs w:val="18"/>
            <w:u w:val="single"/>
            <w:lang w:eastAsia="en-US"/>
          </w:rPr>
          <w:t xml:space="preserve">"Policing and </w:t>
        </w:r>
        <w:proofErr w:type="spellStart"/>
        <w:proofErr w:type="gramStart"/>
        <w:r w:rsidRPr="001E0954">
          <w:rPr>
            <w:rFonts w:asciiTheme="minorHAnsi" w:eastAsiaTheme="minorHAnsi" w:hAnsiTheme="minorHAnsi" w:cstheme="minorHAnsi"/>
            <w:i/>
            <w:iCs/>
            <w:color w:val="3366BB"/>
            <w:sz w:val="18"/>
            <w:szCs w:val="18"/>
            <w:u w:val="single"/>
            <w:lang w:eastAsia="en-US"/>
          </w:rPr>
          <w:t>accountability:the</w:t>
        </w:r>
        <w:proofErr w:type="spellEnd"/>
        <w:proofErr w:type="gramEnd"/>
        <w:r w:rsidRPr="001E0954">
          <w:rPr>
            <w:rFonts w:asciiTheme="minorHAnsi" w:eastAsiaTheme="minorHAnsi" w:hAnsiTheme="minorHAnsi" w:cstheme="minorHAnsi"/>
            <w:i/>
            <w:iCs/>
            <w:color w:val="3366BB"/>
            <w:sz w:val="18"/>
            <w:szCs w:val="18"/>
            <w:u w:val="single"/>
            <w:lang w:eastAsia="en-US"/>
          </w:rPr>
          <w:t xml:space="preserve"> working of police authorities"</w:t>
        </w:r>
      </w:hyperlink>
      <w:r w:rsidRPr="001E0954">
        <w:rPr>
          <w:rFonts w:asciiTheme="minorHAnsi" w:eastAsiaTheme="minorHAnsi" w:hAnsiTheme="minorHAnsi" w:cstheme="minorHAnsi"/>
          <w:i/>
          <w:iCs/>
          <w:color w:val="202122"/>
          <w:sz w:val="18"/>
          <w:szCs w:val="18"/>
          <w:lang w:eastAsia="en-US"/>
        </w:rPr>
        <w:t xml:space="preserve">. Policing and Society. </w:t>
      </w:r>
      <w:r w:rsidRPr="001E0954">
        <w:rPr>
          <w:rFonts w:asciiTheme="minorHAnsi" w:eastAsiaTheme="minorHAnsi" w:hAnsiTheme="minorHAnsi" w:cstheme="minorHAnsi"/>
          <w:b/>
          <w:bCs/>
          <w:i/>
          <w:iCs/>
          <w:color w:val="202122"/>
          <w:sz w:val="18"/>
          <w:szCs w:val="18"/>
          <w:lang w:eastAsia="en-US"/>
        </w:rPr>
        <w:t>21</w:t>
      </w:r>
      <w:r w:rsidRPr="001E0954">
        <w:rPr>
          <w:rFonts w:asciiTheme="minorHAnsi" w:eastAsiaTheme="minorHAnsi" w:hAnsiTheme="minorHAnsi" w:cstheme="minorHAnsi"/>
          <w:i/>
          <w:iCs/>
          <w:color w:val="202122"/>
          <w:sz w:val="18"/>
          <w:szCs w:val="18"/>
          <w:lang w:eastAsia="en-US"/>
        </w:rPr>
        <w:t xml:space="preserve"> (3): 265–283. </w:t>
      </w:r>
    </w:p>
    <w:p w14:paraId="4663722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i/>
          <w:iCs/>
          <w:color w:val="202122"/>
          <w:sz w:val="18"/>
          <w:szCs w:val="18"/>
          <w:lang w:eastAsia="en-US"/>
        </w:rPr>
      </w:pPr>
      <w:r w:rsidRPr="001E0954">
        <w:rPr>
          <w:rFonts w:asciiTheme="minorHAnsi" w:eastAsiaTheme="minorHAnsi" w:hAnsiTheme="minorHAnsi" w:cstheme="minorHAnsi"/>
          <w:i/>
          <w:iCs/>
          <w:color w:val="202122"/>
          <w:sz w:val="18"/>
          <w:szCs w:val="18"/>
          <w:lang w:eastAsia="en-US"/>
        </w:rPr>
        <w:t xml:space="preserve">College of Policing (2013) RISK available at: </w:t>
      </w:r>
      <w:hyperlink r:id="rId53" w:history="1">
        <w:r w:rsidRPr="001E0954">
          <w:rPr>
            <w:rFonts w:asciiTheme="minorHAnsi" w:eastAsiaTheme="minorHAnsi" w:hAnsiTheme="minorHAnsi" w:cstheme="minorHAnsi"/>
            <w:color w:val="0563C1" w:themeColor="hyperlink"/>
            <w:sz w:val="18"/>
            <w:szCs w:val="18"/>
            <w:u w:val="single"/>
            <w:lang w:eastAsia="en-US"/>
          </w:rPr>
          <w:t>https://www.app.college.police.uk/app-content/risk-2/risk/</w:t>
        </w:r>
      </w:hyperlink>
      <w:r w:rsidRPr="001E0954">
        <w:rPr>
          <w:rFonts w:asciiTheme="minorHAnsi" w:eastAsiaTheme="minorHAnsi" w:hAnsiTheme="minorHAnsi" w:cstheme="minorHAnsi"/>
          <w:i/>
          <w:iCs/>
          <w:color w:val="202122"/>
          <w:sz w:val="18"/>
          <w:szCs w:val="18"/>
          <w:lang w:eastAsia="en-US"/>
        </w:rPr>
        <w:t xml:space="preserve">  [accessed at 14/10/2020]</w:t>
      </w:r>
    </w:p>
    <w:p w14:paraId="701FAC51" w14:textId="45C7ABAA"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202122"/>
          <w:sz w:val="18"/>
          <w:szCs w:val="18"/>
          <w:shd w:val="clear" w:color="auto" w:fill="FFFFFF"/>
          <w:lang w:eastAsia="en-US"/>
        </w:rPr>
      </w:pPr>
      <w:r w:rsidRPr="001E0954">
        <w:rPr>
          <w:rFonts w:asciiTheme="minorHAnsi" w:eastAsiaTheme="minorHAnsi" w:hAnsiTheme="minorHAnsi" w:cstheme="minorHAnsi"/>
          <w:color w:val="202122"/>
          <w:sz w:val="18"/>
          <w:szCs w:val="18"/>
          <w:shd w:val="clear" w:color="auto" w:fill="FFFFFF"/>
          <w:lang w:eastAsia="en-US"/>
        </w:rPr>
        <w:t xml:space="preserve">Banks, R. R., &amp; Ford, R. T. (2009). (How) does unconscious bias matter: Law, politics, and racial inequality. </w:t>
      </w:r>
      <w:r w:rsidRPr="001E0954">
        <w:rPr>
          <w:rFonts w:asciiTheme="minorHAnsi" w:eastAsiaTheme="minorHAnsi" w:hAnsiTheme="minorHAnsi" w:cstheme="minorHAnsi"/>
          <w:i/>
          <w:iCs/>
          <w:color w:val="202122"/>
          <w:sz w:val="18"/>
          <w:szCs w:val="18"/>
          <w:lang w:eastAsia="en-US"/>
        </w:rPr>
        <w:t>Emory Law Journal, 58</w:t>
      </w:r>
      <w:r w:rsidRPr="001E0954">
        <w:rPr>
          <w:rFonts w:asciiTheme="minorHAnsi" w:eastAsiaTheme="minorHAnsi" w:hAnsiTheme="minorHAnsi" w:cstheme="minorHAnsi"/>
          <w:color w:val="202122"/>
          <w:sz w:val="18"/>
          <w:szCs w:val="18"/>
          <w:shd w:val="clear" w:color="auto" w:fill="FFFFFF"/>
          <w:lang w:eastAsia="en-US"/>
        </w:rPr>
        <w:t xml:space="preserve">, </w:t>
      </w:r>
    </w:p>
    <w:p w14:paraId="6B2DADDC" w14:textId="18118076"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202122"/>
          <w:sz w:val="18"/>
          <w:szCs w:val="18"/>
          <w:shd w:val="clear" w:color="auto" w:fill="FFFFFF"/>
          <w:lang w:eastAsia="en-US"/>
        </w:rPr>
      </w:pPr>
      <w:r w:rsidRPr="001E0954">
        <w:rPr>
          <w:rFonts w:asciiTheme="minorHAnsi" w:eastAsiaTheme="minorHAnsi" w:hAnsiTheme="minorHAnsi" w:cstheme="minorHAnsi"/>
          <w:color w:val="202122"/>
          <w:sz w:val="18"/>
          <w:szCs w:val="18"/>
          <w:lang w:eastAsia="en-US"/>
        </w:rPr>
        <w:t xml:space="preserve">Lai, C. (2014). "Reducing implicit racial references: I. A comparative investigation of 17 interventions". </w:t>
      </w:r>
      <w:r w:rsidRPr="001E0954">
        <w:rPr>
          <w:rFonts w:asciiTheme="minorHAnsi" w:eastAsiaTheme="minorHAnsi" w:hAnsiTheme="minorHAnsi" w:cstheme="minorHAnsi"/>
          <w:i/>
          <w:iCs/>
          <w:color w:val="202122"/>
          <w:sz w:val="18"/>
          <w:szCs w:val="18"/>
          <w:lang w:eastAsia="en-US"/>
        </w:rPr>
        <w:t>Journal of experimental psychology</w:t>
      </w:r>
      <w:r w:rsidRPr="001E0954">
        <w:rPr>
          <w:rFonts w:asciiTheme="minorHAnsi" w:eastAsiaTheme="minorHAnsi" w:hAnsiTheme="minorHAnsi" w:cstheme="minorHAnsi"/>
          <w:color w:val="202122"/>
          <w:sz w:val="18"/>
          <w:szCs w:val="18"/>
          <w:lang w:eastAsia="en-US"/>
        </w:rPr>
        <w:t>, 143(4),</w:t>
      </w:r>
    </w:p>
    <w:p w14:paraId="5273BE2B" w14:textId="77777777" w:rsidR="001E0954" w:rsidRPr="001E0954" w:rsidRDefault="001E0954" w:rsidP="001E0954">
      <w:pPr>
        <w:overflowPunct/>
        <w:autoSpaceDE/>
        <w:autoSpaceDN/>
        <w:adjustRightInd/>
        <w:spacing w:after="160" w:line="259" w:lineRule="auto"/>
        <w:textAlignment w:val="auto"/>
        <w:rPr>
          <w:rFonts w:asciiTheme="minorHAnsi" w:eastAsiaTheme="minorHAnsi" w:hAnsiTheme="minorHAnsi" w:cstheme="minorHAnsi"/>
          <w:color w:val="auto"/>
          <w:sz w:val="18"/>
          <w:szCs w:val="18"/>
          <w:lang w:eastAsia="en-US"/>
        </w:rPr>
      </w:pPr>
    </w:p>
    <w:p w14:paraId="3D534B2B" w14:textId="77777777" w:rsidR="001E0954" w:rsidRPr="001E0954" w:rsidRDefault="001E0954" w:rsidP="00C86BE9">
      <w:pPr>
        <w:overflowPunct/>
        <w:autoSpaceDE/>
        <w:autoSpaceDN/>
        <w:adjustRightInd/>
        <w:spacing w:after="160" w:line="259" w:lineRule="auto"/>
        <w:contextualSpacing/>
        <w:textAlignment w:val="auto"/>
        <w:rPr>
          <w:rFonts w:asciiTheme="minorHAnsi" w:eastAsiaTheme="minorHAnsi" w:hAnsiTheme="minorHAnsi" w:cstheme="minorHAnsi"/>
          <w:color w:val="auto"/>
          <w:sz w:val="18"/>
          <w:szCs w:val="18"/>
          <w:lang w:eastAsia="en-US"/>
        </w:rPr>
      </w:pPr>
    </w:p>
    <w:p w14:paraId="31214499" w14:textId="64516205" w:rsidR="001E0954" w:rsidRDefault="001E0954" w:rsidP="00E6298B">
      <w:pPr>
        <w:keepNext/>
        <w:spacing w:before="240" w:after="60"/>
        <w:ind w:right="107"/>
        <w:jc w:val="both"/>
        <w:rPr>
          <w:sz w:val="24"/>
          <w:szCs w:val="24"/>
        </w:rPr>
      </w:pPr>
    </w:p>
    <w:p w14:paraId="212A3BC0" w14:textId="6C42F7BC" w:rsidR="001E0954" w:rsidRDefault="001E0954" w:rsidP="00E6298B">
      <w:pPr>
        <w:keepNext/>
        <w:spacing w:before="240" w:after="60"/>
        <w:ind w:right="107"/>
        <w:jc w:val="both"/>
        <w:rPr>
          <w:sz w:val="24"/>
          <w:szCs w:val="24"/>
        </w:rPr>
      </w:pPr>
    </w:p>
    <w:p w14:paraId="6026CFF8" w14:textId="4C0553DB" w:rsidR="001E0954" w:rsidRDefault="001E0954" w:rsidP="00E6298B">
      <w:pPr>
        <w:keepNext/>
        <w:spacing w:before="240" w:after="60"/>
        <w:ind w:right="107"/>
        <w:jc w:val="both"/>
        <w:rPr>
          <w:sz w:val="24"/>
          <w:szCs w:val="24"/>
        </w:rPr>
      </w:pPr>
    </w:p>
    <w:p w14:paraId="036ECE95" w14:textId="4CF7CB52" w:rsidR="001E0954" w:rsidRDefault="001E0954" w:rsidP="00E6298B">
      <w:pPr>
        <w:keepNext/>
        <w:spacing w:before="240" w:after="60"/>
        <w:ind w:right="107"/>
        <w:jc w:val="both"/>
        <w:rPr>
          <w:sz w:val="24"/>
          <w:szCs w:val="24"/>
        </w:rPr>
      </w:pPr>
    </w:p>
    <w:p w14:paraId="593FF489" w14:textId="77777777" w:rsidR="001E0954" w:rsidRPr="00270EEB" w:rsidRDefault="001E0954"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bookmarkStart w:id="1" w:name="_GoBack"/>
      <w:bookmarkEnd w:id="1"/>
    </w:p>
    <w:p w14:paraId="7234495E" w14:textId="7C0E1E74"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w:t>
      </w:r>
      <w:r w:rsidR="00C86BE9">
        <w:rPr>
          <w:sz w:val="24"/>
          <w:szCs w:val="24"/>
        </w:rPr>
        <w:t xml:space="preserve">Luke </w:t>
      </w:r>
      <w:proofErr w:type="gramStart"/>
      <w:r w:rsidR="00C86BE9">
        <w:rPr>
          <w:sz w:val="24"/>
          <w:szCs w:val="24"/>
        </w:rPr>
        <w:t>Silver</w:t>
      </w:r>
      <w:r w:rsidRPr="005D583E">
        <w:rPr>
          <w:sz w:val="24"/>
          <w:szCs w:val="24"/>
        </w:rPr>
        <w:t xml:space="preserve">  (</w:t>
      </w:r>
      <w:proofErr w:type="gramEnd"/>
      <w:r w:rsidRPr="005D583E">
        <w:rPr>
          <w:sz w:val="24"/>
          <w:szCs w:val="24"/>
        </w:rPr>
        <w:t>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7F7A1792"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Date: </w:t>
      </w:r>
      <w:r w:rsidR="00D7583B">
        <w:rPr>
          <w:sz w:val="24"/>
          <w:szCs w:val="24"/>
        </w:rPr>
        <w:t>15-10-2020</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21C45C8" w:rsidR="28A9B94D" w:rsidRDefault="28A9B94D" w:rsidP="28A9B94D">
      <w:pPr>
        <w:jc w:val="both"/>
      </w:pPr>
      <w:r w:rsidRPr="28A9B94D">
        <w:rPr>
          <w:rFonts w:eastAsia="Arial"/>
          <w:sz w:val="24"/>
          <w:szCs w:val="24"/>
        </w:rPr>
        <w:t>Signed</w:t>
      </w:r>
      <w:r w:rsidR="00D7583B">
        <w:rPr>
          <w:rFonts w:eastAsia="Arial"/>
          <w:sz w:val="24"/>
          <w:szCs w:val="24"/>
        </w:rPr>
        <w:t>: Luke Silver</w:t>
      </w:r>
      <w:r w:rsidRPr="28A9B94D">
        <w:rPr>
          <w:rFonts w:eastAsia="Arial"/>
          <w:sz w:val="24"/>
          <w:szCs w:val="24"/>
        </w:rPr>
        <w:t xml:space="preserve"> (Learner)</w:t>
      </w:r>
    </w:p>
    <w:p w14:paraId="2927D153" w14:textId="06E6B241" w:rsidR="28A9B94D" w:rsidRDefault="28A9B94D" w:rsidP="28A9B94D">
      <w:pPr>
        <w:jc w:val="both"/>
      </w:pPr>
      <w:r w:rsidRPr="28A9B94D">
        <w:rPr>
          <w:rFonts w:eastAsia="Arial"/>
          <w:sz w:val="24"/>
          <w:szCs w:val="24"/>
        </w:rPr>
        <w:t xml:space="preserve"> </w:t>
      </w:r>
    </w:p>
    <w:p w14:paraId="1BBFDBC4" w14:textId="1AF7EAC9" w:rsidR="28A9B94D" w:rsidRDefault="28A9B94D" w:rsidP="28A9B94D">
      <w:pPr>
        <w:jc w:val="both"/>
      </w:pPr>
      <w:r w:rsidRPr="28A9B94D">
        <w:rPr>
          <w:rFonts w:eastAsia="Arial"/>
          <w:sz w:val="24"/>
          <w:szCs w:val="24"/>
        </w:rPr>
        <w:t>Date</w:t>
      </w:r>
      <w:r w:rsidR="00D7583B">
        <w:rPr>
          <w:rFonts w:eastAsia="Arial"/>
          <w:sz w:val="24"/>
          <w:szCs w:val="24"/>
        </w:rPr>
        <w:t xml:space="preserve"> 15-10-2020</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6117667"/>
    <w:multiLevelType w:val="hybridMultilevel"/>
    <w:tmpl w:val="56763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5"/>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6"/>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E0954"/>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347E"/>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366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67F0B"/>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649"/>
    <w:rsid w:val="008708F1"/>
    <w:rsid w:val="0087534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815"/>
    <w:rsid w:val="00A10D56"/>
    <w:rsid w:val="00A11EB7"/>
    <w:rsid w:val="00A12AAE"/>
    <w:rsid w:val="00A15BF1"/>
    <w:rsid w:val="00A16DD1"/>
    <w:rsid w:val="00A22441"/>
    <w:rsid w:val="00A23F3B"/>
    <w:rsid w:val="00A24406"/>
    <w:rsid w:val="00A25F64"/>
    <w:rsid w:val="00A27CC2"/>
    <w:rsid w:val="00A40ED6"/>
    <w:rsid w:val="00A434EE"/>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6BE9"/>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583B"/>
    <w:rsid w:val="00D876E6"/>
    <w:rsid w:val="00DA1025"/>
    <w:rsid w:val="00DA22EC"/>
    <w:rsid w:val="00DA5860"/>
    <w:rsid w:val="00DB2767"/>
    <w:rsid w:val="00DC4729"/>
    <w:rsid w:val="00DC4981"/>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A568B"/>
    <w:rsid w:val="00EB2173"/>
    <w:rsid w:val="00EB62E6"/>
    <w:rsid w:val="00ED1B30"/>
    <w:rsid w:val="00ED250E"/>
    <w:rsid w:val="00ED294A"/>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6A581E81"/>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9320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54523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en.wikipedia.org/wiki/National_Rifle_Association" TargetMode="External"/><Relationship Id="rId39" Type="http://schemas.openxmlformats.org/officeDocument/2006/relationships/hyperlink" Target="https://profdev.college.police.uk/competency-values/impartiality/" TargetMode="External"/><Relationship Id="rId21" Type="http://schemas.openxmlformats.org/officeDocument/2006/relationships/hyperlink" Target="https://www.college.police.uk/What-we-do/Standards/Guidelines/Documents/Conflict_management_consultation260219.pdf" TargetMode="External"/><Relationship Id="rId34" Type="http://schemas.openxmlformats.org/officeDocument/2006/relationships/hyperlink" Target="https://www.bbc.co.uk/news/uk-england-leicestershire-13504618" TargetMode="External"/><Relationship Id="rId42" Type="http://schemas.openxmlformats.org/officeDocument/2006/relationships/hyperlink" Target="https://www.theguardian.com/uk/1982/jul/13/monarchy.martinlinton" TargetMode="External"/><Relationship Id="rId47" Type="http://schemas.openxmlformats.org/officeDocument/2006/relationships/hyperlink" Target="https://en.wikipedia.org/wiki/Sidney_Lee" TargetMode="External"/><Relationship Id="rId50" Type="http://schemas.openxmlformats.org/officeDocument/2006/relationships/hyperlink" Target="https://www.app.college.police.uk/app-content/national-decision-model/the-national-decision-model/"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n.wikipedia.org/wiki/American_Rifleman" TargetMode="External"/><Relationship Id="rId33" Type="http://schemas.openxmlformats.org/officeDocument/2006/relationships/hyperlink" Target="https://www.bbc.com/news/uk-england-bristol-42393488" TargetMode="External"/><Relationship Id="rId38" Type="http://schemas.openxmlformats.org/officeDocument/2006/relationships/hyperlink" Target="https://www.reducingtherisk.org.uk/cms/content/marac" TargetMode="External"/><Relationship Id="rId46" Type="http://schemas.openxmlformats.org/officeDocument/2006/relationships/hyperlink" Target="https://en.wikisource.org/wiki/Peel,_Robert_(1788-1850)_(DNB0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policing-by-consent" TargetMode="External"/><Relationship Id="rId29" Type="http://schemas.openxmlformats.org/officeDocument/2006/relationships/hyperlink" Target="https://www.legislation.gov.uk/ukpga/1996/16/section/29" TargetMode="External"/><Relationship Id="rId41" Type="http://schemas.openxmlformats.org/officeDocument/2006/relationships/hyperlink" Target="https://www.app.college.police.uk/app-content/stop-and-search"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What-we-do/Standards/Guidelines/Documents/Conflict_management_consultation260219.pdf" TargetMode="External"/><Relationship Id="rId32" Type="http://schemas.openxmlformats.org/officeDocument/2006/relationships/hyperlink" Target="https://www.cps.gov.uk/crime-info/hate-crime" TargetMode="External"/><Relationship Id="rId37" Type="http://schemas.openxmlformats.org/officeDocument/2006/relationships/hyperlink" Target="https://www.legislation.gov.uk/ukpga/2014/23/section/24" TargetMode="External"/><Relationship Id="rId40" Type="http://schemas.openxmlformats.org/officeDocument/2006/relationships/hyperlink" Target="https://www.legislation.gov.uk/ukpga/1971/38/section/23" TargetMode="External"/><Relationship Id="rId45" Type="http://schemas.openxmlformats.org/officeDocument/2006/relationships/hyperlink" Target="https://www.independent.co.uk/news/uk/home-news/police-racial-inequality-black-lives-matter-protests-a9573696.html" TargetMode="External"/><Relationship Id="rId53" Type="http://schemas.openxmlformats.org/officeDocument/2006/relationships/hyperlink" Target="https://www.app.college.police.uk/app-content/risk-2/risk/"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dictionary/english/behaviou" TargetMode="External"/><Relationship Id="rId28" Type="http://schemas.openxmlformats.org/officeDocument/2006/relationships/hyperlink" Target="https://www.gov.uk/guidance/equality-act-2010-guidance" TargetMode="External"/><Relationship Id="rId36" Type="http://schemas.openxmlformats.org/officeDocument/2006/relationships/hyperlink" Target="https://www.app.college.police.uk/app-content/investigations/victims-and-witnesses/" TargetMode="External"/><Relationship Id="rId49" Type="http://schemas.openxmlformats.org/officeDocument/2006/relationships/hyperlink" Target="https://www.theguardian.com/uk/2011/oct/24/england-riots-cost-police-repor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ethnicity-facts-figures.service.gov.uk/workforce-and-business/workforce-diversity/police-workforce/latest" TargetMode="External"/><Relationship Id="rId44" Type="http://schemas.openxmlformats.org/officeDocument/2006/relationships/hyperlink" Target="https://www.independent.co.uk/voices/stop-and-search-uk-police-amber-rudd-body-cameras-discrimination-a7890821.html" TargetMode="External"/><Relationship Id="rId52" Type="http://schemas.openxmlformats.org/officeDocument/2006/relationships/hyperlink" Target="https://dspace.lboro.ac.uk/2134/150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insdictionary.com/dictionary/english/attitude" TargetMode="External"/><Relationship Id="rId27" Type="http://schemas.openxmlformats.org/officeDocument/2006/relationships/hyperlink" Target="https://peerj.com/preprints/27353" TargetMode="External"/><Relationship Id="rId30" Type="http://schemas.openxmlformats.org/officeDocument/2006/relationships/hyperlink" Target="https://www.legislation.gov.uk/ukpga/Geo4/10/44/introduction" TargetMode="External"/><Relationship Id="rId35" Type="http://schemas.openxmlformats.org/officeDocument/2006/relationships/hyperlink" Target="https://www.gov.uk/government/publications/the-code-of-practice-for-victims-of-crime" TargetMode="External"/><Relationship Id="rId43" Type="http://schemas.openxmlformats.org/officeDocument/2006/relationships/hyperlink" Target="https://api.parliament.uk/historic-hansard/lords/1981/nov/25/the-scarman-report" TargetMode="External"/><Relationship Id="rId48" Type="http://schemas.openxmlformats.org/officeDocument/2006/relationships/hyperlink" Target="https://en.wikipedia.org/wiki/Dictionary_of_National_Biography"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270169/drug_advice_for_schools.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85E903-21CD-4FF3-8BB4-B9C6243E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11795</Words>
  <Characters>70754</Characters>
  <Application>Microsoft Office Word</Application>
  <DocSecurity>0</DocSecurity>
  <Lines>589</Lines>
  <Paragraphs>164</Paragraphs>
  <ScaleCrop>false</ScaleCrop>
  <Company>Powys County Council</Company>
  <LinksUpToDate>false</LinksUpToDate>
  <CharactersWithSpaces>82385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Silver, Luke</cp:lastModifiedBy>
  <cp:revision>17</cp:revision>
  <cp:lastPrinted>2019-08-13T11:47:00Z</cp:lastPrinted>
  <dcterms:created xsi:type="dcterms:W3CDTF">2019-08-13T11:48:00Z</dcterms:created>
  <dcterms:modified xsi:type="dcterms:W3CDTF">2020-10-14T23:35:00Z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luke.silver@gwent.police.uk</vt:lpwstr>
  </property>
  <property fmtid="{D5CDD505-2E9C-101B-9397-08002B2CF9AE}" pid="6" name="MSIP_Label_f2acd28b-79a3-4a0f-b0ff-4b75658b1549_SetDate">
    <vt:lpwstr>2020-10-14T23:35:11.0041501Z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23e2fa1a-0281-424b-a2f7-6cde712e15e5</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