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6DD6" w:rsidRPr="00601FB9" w:rsidRDefault="005131BB">
      <w:pPr>
        <w:rPr>
          <w:b/>
        </w:rPr>
      </w:pPr>
      <w:r w:rsidRPr="00601FB9">
        <w:rPr>
          <w:b/>
        </w:rPr>
        <w:t>Describe and critically assess Rousseau’s account of the ‘General Will’.</w:t>
      </w:r>
    </w:p>
    <w:p w:rsidR="00246DD6" w:rsidRDefault="00246DD6" w:rsidP="00246DD6">
      <w:pPr>
        <w:tabs>
          <w:tab w:val="right" w:pos="9026"/>
        </w:tabs>
      </w:pPr>
      <w:r>
        <w:t xml:space="preserve">Rousseau’s general will </w:t>
      </w:r>
      <w:proofErr w:type="gramStart"/>
      <w:r>
        <w:t>is</w:t>
      </w:r>
      <w:proofErr w:type="gramEnd"/>
      <w:r>
        <w:t xml:space="preserve"> crucial to his concept of a free society. This essay will explore what the concept of the general will </w:t>
      </w:r>
      <w:proofErr w:type="gramStart"/>
      <w:r>
        <w:t>actually is</w:t>
      </w:r>
      <w:proofErr w:type="gramEnd"/>
      <w:r>
        <w:t>, and question whether a society in which everyone is bought up to share the same ideals and values, creating the general will, is really free. Before we go on, it is necessary to distinguish between two types of democracy</w:t>
      </w:r>
      <w:r w:rsidR="00D518A5">
        <w:t xml:space="preserve"> as emphasised by Isaiah Berlin</w:t>
      </w:r>
      <w:r>
        <w:t xml:space="preserve">: direct democracy, </w:t>
      </w:r>
      <w:r w:rsidR="00804BE9">
        <w:t xml:space="preserve">where people vote directly on each law, and representative democracy, where representatives are voted in and go on to create the laws. There are also two concepts of freedom worth distinguishing between: negative freedom and positive freedom. The term negative freedom expresses the view that one has freedom so long as they are left to do what they want, without the interference of others, whereas </w:t>
      </w:r>
      <w:r w:rsidR="00DE512D">
        <w:t>positive freedom is concerned with having the ability of fulfilling pu</w:t>
      </w:r>
      <w:r w:rsidR="00A46B75">
        <w:t>rposes and having opportunities</w:t>
      </w:r>
      <w:r w:rsidR="00DE512D">
        <w:rPr>
          <w:rStyle w:val="FootnoteReference"/>
        </w:rPr>
        <w:footnoteReference w:id="1"/>
      </w:r>
      <w:r w:rsidR="00601FB9">
        <w:t xml:space="preserve"> but allows room for </w:t>
      </w:r>
      <w:r w:rsidR="00D518A5">
        <w:t>people to be ‘moulded’ by society a certain way</w:t>
      </w:r>
      <w:r w:rsidR="00C9195A">
        <w:t>,</w:t>
      </w:r>
      <w:r w:rsidR="00D518A5">
        <w:t xml:space="preserve"> in order </w:t>
      </w:r>
      <w:r w:rsidR="00C9195A">
        <w:t xml:space="preserve">for them </w:t>
      </w:r>
      <w:r w:rsidR="00D518A5">
        <w:t xml:space="preserve">to have access to such </w:t>
      </w:r>
      <w:r w:rsidR="00C9195A">
        <w:t>opportunities</w:t>
      </w:r>
      <w:r w:rsidR="00D518A5">
        <w:t>.</w:t>
      </w:r>
    </w:p>
    <w:p w:rsidR="000C58E5" w:rsidRDefault="00154380">
      <w:r>
        <w:t xml:space="preserve">Rousseau supported direct democracy, as he believed representative democracy required giving up one’s freedom, however he </w:t>
      </w:r>
      <w:r w:rsidR="00F831FE">
        <w:t>believed</w:t>
      </w:r>
      <w:r>
        <w:t xml:space="preserve"> that direct democracy would only work in small city states. </w:t>
      </w:r>
      <w:r w:rsidR="00F831FE">
        <w:t>Furthermore, he recognised</w:t>
      </w:r>
      <w:r>
        <w:t xml:space="preserve"> that direct democracy could still result in a tyranny of the masses</w:t>
      </w:r>
      <w:r w:rsidR="000C58E5">
        <w:t xml:space="preserve"> if decisions were not unanimous</w:t>
      </w:r>
      <w:r w:rsidR="00B83288">
        <w:t xml:space="preserve">, which was </w:t>
      </w:r>
      <w:r>
        <w:t>problem</w:t>
      </w:r>
      <w:r w:rsidR="00B83288">
        <w:t>atic</w:t>
      </w:r>
      <w:r w:rsidR="00A101D7">
        <w:t xml:space="preserve"> as this would cause</w:t>
      </w:r>
      <w:r>
        <w:t xml:space="preserve"> th</w:t>
      </w:r>
      <w:r w:rsidR="000C58E5">
        <w:t>ose who had voted against the majority</w:t>
      </w:r>
      <w:r>
        <w:t xml:space="preserve"> not to be free. This is where the concept of the general will comes into play. </w:t>
      </w:r>
      <w:r w:rsidR="00F831FE">
        <w:t xml:space="preserve">Central to his political concept was the belief that as well as everyone’s </w:t>
      </w:r>
      <w:r w:rsidR="00512BC4">
        <w:t>individual will, the</w:t>
      </w:r>
      <w:r w:rsidR="00F831FE">
        <w:t>re was a general will</w:t>
      </w:r>
      <w:bookmarkStart w:id="0" w:name="_GoBack"/>
      <w:bookmarkEnd w:id="0"/>
      <w:r w:rsidR="00512BC4">
        <w:t xml:space="preserve">. </w:t>
      </w:r>
      <w:r w:rsidR="000C58E5">
        <w:t xml:space="preserve">The general will </w:t>
      </w:r>
      <w:proofErr w:type="gramStart"/>
      <w:r w:rsidR="000C58E5">
        <w:t>is</w:t>
      </w:r>
      <w:proofErr w:type="gramEnd"/>
      <w:r w:rsidR="003222EE">
        <w:t xml:space="preserve"> the will shared by the people of the society. </w:t>
      </w:r>
      <w:r w:rsidR="00512BC4">
        <w:t>The terms that represent Rousseau’s thought are “</w:t>
      </w:r>
      <w:proofErr w:type="spellStart"/>
      <w:r w:rsidR="00512BC4">
        <w:t>volont</w:t>
      </w:r>
      <w:r w:rsidR="00512BC4">
        <w:rPr>
          <w:rFonts w:cstheme="minorHAnsi"/>
        </w:rPr>
        <w:t>é</w:t>
      </w:r>
      <w:proofErr w:type="spellEnd"/>
      <w:r w:rsidR="00512BC4">
        <w:t xml:space="preserve"> </w:t>
      </w:r>
      <w:proofErr w:type="spellStart"/>
      <w:r w:rsidR="00361255">
        <w:t>générale</w:t>
      </w:r>
      <w:proofErr w:type="spellEnd"/>
      <w:r w:rsidR="00361255">
        <w:t>”-will and generality- with generality standing for laws, education, the common good, and will standing for “Rousseau’s conviction that civil association is the most voluntary act in the world</w:t>
      </w:r>
      <w:r w:rsidR="005C043A">
        <w:t>.”</w:t>
      </w:r>
      <w:r w:rsidR="005C043A">
        <w:rPr>
          <w:rStyle w:val="FootnoteReference"/>
        </w:rPr>
        <w:footnoteReference w:id="2"/>
      </w:r>
      <w:r w:rsidR="00361255">
        <w:t xml:space="preserve"> </w:t>
      </w:r>
      <w:r w:rsidR="00F86FD6">
        <w:t xml:space="preserve">This </w:t>
      </w:r>
      <w:r w:rsidR="003222EE">
        <w:t>explains the need for generality relative to democracy, as it allows for la</w:t>
      </w:r>
      <w:r w:rsidR="00AD3EB2">
        <w:t xml:space="preserve">ws to be passed </w:t>
      </w:r>
      <w:r w:rsidR="000C58E5">
        <w:t>using</w:t>
      </w:r>
      <w:r w:rsidR="00AD3EB2">
        <w:t xml:space="preserve"> direct democracy</w:t>
      </w:r>
      <w:r w:rsidR="000C58E5">
        <w:t xml:space="preserve"> without resulting in a tyranny of the masses</w:t>
      </w:r>
      <w:r w:rsidR="00FE2FEF">
        <w:t>, because</w:t>
      </w:r>
      <w:r w:rsidR="00AD3EB2">
        <w:t xml:space="preserve"> there is a focus on the common good, rather than what is good for the individual</w:t>
      </w:r>
      <w:r w:rsidR="000C58E5">
        <w:t>, so everyone votes in agreement</w:t>
      </w:r>
      <w:r w:rsidR="00AD3EB2">
        <w:t xml:space="preserve">. </w:t>
      </w:r>
      <w:r w:rsidR="000C58E5">
        <w:t xml:space="preserve">If one finds themselves disagreeing with this general will, then-Rousseau says-they should realise that they are mistaken and adjust their views accordingly. </w:t>
      </w:r>
    </w:p>
    <w:p w:rsidR="00C97A37" w:rsidRDefault="005C043A">
      <w:r>
        <w:t>Here</w:t>
      </w:r>
      <w:r w:rsidR="009E5C35">
        <w:t>, in the importance Rousseau places on will</w:t>
      </w:r>
      <w:r>
        <w:t xml:space="preserve">, there can be seen some similarity to John Stuart Mill. </w:t>
      </w:r>
      <w:r w:rsidR="00404B6F">
        <w:t>Mill advocated a society where the state had minimal interference with the lives of individuals as to maximise the freedom of said individuals. He believed only when an individual posed a threat to others should the state intervene.</w:t>
      </w:r>
      <w:r w:rsidR="00282772">
        <w:rPr>
          <w:rStyle w:val="FootnoteReference"/>
        </w:rPr>
        <w:footnoteReference w:id="3"/>
      </w:r>
      <w:r w:rsidR="00404B6F">
        <w:t xml:space="preserve"> </w:t>
      </w:r>
      <w:r w:rsidR="000B40E9">
        <w:t>This would reduce the restrictions by the state on individuals</w:t>
      </w:r>
      <w:r w:rsidR="00173CC3">
        <w:t xml:space="preserve"> as people would be able to do whatever they wished even if this went against the wishes of the majority</w:t>
      </w:r>
      <w:r w:rsidR="000B40E9">
        <w:t xml:space="preserve">, thus meaning they were </w:t>
      </w:r>
      <w:proofErr w:type="gramStart"/>
      <w:r w:rsidR="000B40E9">
        <w:t>more free</w:t>
      </w:r>
      <w:proofErr w:type="gramEnd"/>
      <w:r w:rsidR="00173CC3">
        <w:t xml:space="preserve"> and there was no tyranny of the masses</w:t>
      </w:r>
      <w:r w:rsidR="000B40E9">
        <w:t>.</w:t>
      </w:r>
      <w:r w:rsidR="00173CC3">
        <w:t xml:space="preserve"> </w:t>
      </w:r>
      <w:r w:rsidR="00372099">
        <w:t xml:space="preserve">It appears that Mill and Rousseau share the ideal of a society where individuals’ autonomy is not restricted by the wishes of the majority-which in a democracy would be represented by the state. However, whereas </w:t>
      </w:r>
      <w:r w:rsidR="00173CC3">
        <w:t>Mill is advocating is that</w:t>
      </w:r>
      <w:r w:rsidR="00372099">
        <w:t xml:space="preserve"> maximum freedom (that still allows for working society) would be achieved by a state that has minimal interference</w:t>
      </w:r>
      <w:r w:rsidR="00C22268">
        <w:t xml:space="preserve"> (ideals of negative freedom)</w:t>
      </w:r>
      <w:r w:rsidR="00173CC3">
        <w:t>,</w:t>
      </w:r>
      <w:r w:rsidR="00372099">
        <w:t xml:space="preserve"> what Rousseau</w:t>
      </w:r>
      <w:r w:rsidR="003B492B">
        <w:t xml:space="preserve"> (who is more </w:t>
      </w:r>
      <w:r w:rsidR="003B492B">
        <w:lastRenderedPageBreak/>
        <w:t>associated with positive freedom</w:t>
      </w:r>
      <w:r w:rsidR="00C22268">
        <w:t>)</w:t>
      </w:r>
      <w:r w:rsidR="00372099">
        <w:t xml:space="preserve"> suggests seems to result in a situation where the state interferes more in individuals lives, to the point that </w:t>
      </w:r>
      <w:r w:rsidR="00946E86">
        <w:t>it asserts that everyone believe, or at least vote for, certain things. Though Rousseau maintains that people would “will” to believe or vote in this way, this seems tenuous and even if accepted, Rousseau himself argues for people to be educated in a</w:t>
      </w:r>
      <w:r w:rsidR="001265DA">
        <w:t xml:space="preserve"> certain way-socialised to vote in the “general will.”</w:t>
      </w:r>
      <w:r w:rsidR="00C45F85">
        <w:t xml:space="preserve"> The extent to which Rousseau requires people to be moulded to this general will seems to go beyond what is typical of positive freedom</w:t>
      </w:r>
      <w:r w:rsidR="00325EFB">
        <w:t xml:space="preserve">. For example, one may expect a society with positive freedom to make it the law that they are educated to a certain level </w:t>
      </w:r>
      <w:proofErr w:type="gramStart"/>
      <w:r w:rsidR="00325EFB">
        <w:t>in order to</w:t>
      </w:r>
      <w:proofErr w:type="gramEnd"/>
      <w:r w:rsidR="00325EFB">
        <w:t xml:space="preserve"> </w:t>
      </w:r>
      <w:r w:rsidR="00C22268">
        <w:t xml:space="preserve">have access to certain job opportunities. </w:t>
      </w:r>
    </w:p>
    <w:p w:rsidR="008A1A44" w:rsidRDefault="00C22268">
      <w:proofErr w:type="gramStart"/>
      <w:r>
        <w:t>However</w:t>
      </w:r>
      <w:proofErr w:type="gramEnd"/>
      <w:r>
        <w:t xml:space="preserve"> under Rousseau’s model, </w:t>
      </w:r>
      <w:r w:rsidR="00C9195A">
        <w:t xml:space="preserve">people are not </w:t>
      </w:r>
      <w:r w:rsidR="003B492B">
        <w:t>merely</w:t>
      </w:r>
      <w:r w:rsidR="00325EFB">
        <w:t xml:space="preserve"> moulded by the state in order to have access to</w:t>
      </w:r>
      <w:r>
        <w:t xml:space="preserve"> certain opportunities, but are educated so they are taught to will</w:t>
      </w:r>
      <w:r w:rsidR="003B492B">
        <w:t xml:space="preserve"> a</w:t>
      </w:r>
      <w:r>
        <w:t xml:space="preserve"> common good and share a general will. </w:t>
      </w:r>
      <w:r w:rsidR="003B492B">
        <w:t xml:space="preserve">This seems to push the boundaries of positive freedom, and I </w:t>
      </w:r>
      <w:r w:rsidR="005471D0">
        <w:t>would argue that it does this to an extent that it can no longer be co</w:t>
      </w:r>
      <w:r w:rsidR="006C0F51">
        <w:t xml:space="preserve">nsidered an example of </w:t>
      </w:r>
      <w:r w:rsidR="005471D0">
        <w:t>freedom</w:t>
      </w:r>
      <w:r w:rsidR="004E5E89">
        <w:t>.</w:t>
      </w:r>
      <w:r w:rsidR="00C97A37">
        <w:t xml:space="preserve"> </w:t>
      </w:r>
    </w:p>
    <w:p w:rsidR="00C97A37" w:rsidRDefault="00AA5AE7">
      <w:r>
        <w:t xml:space="preserve">Another aspect in Rousseau’s theory that explains why </w:t>
      </w:r>
      <w:r w:rsidR="00726465">
        <w:t>the need for will is necessary</w:t>
      </w:r>
      <w:r w:rsidR="005259EA">
        <w:t>,</w:t>
      </w:r>
      <w:r>
        <w:t xml:space="preserve"> is the </w:t>
      </w:r>
      <w:r w:rsidR="005259EA">
        <w:t>requirement of</w:t>
      </w:r>
      <w:r>
        <w:t xml:space="preserve"> free will to be a part of actions in order for these actions to have moral judgement</w:t>
      </w:r>
      <w:r w:rsidR="005259EA">
        <w:t>: “to deprive your will of all freedom is to deprive your acts of morality.”</w:t>
      </w:r>
      <w:r w:rsidR="005259EA">
        <w:rPr>
          <w:rStyle w:val="FootnoteReference"/>
        </w:rPr>
        <w:footnoteReference w:id="4"/>
      </w:r>
      <w:r w:rsidR="005259EA">
        <w:t xml:space="preserve"> </w:t>
      </w:r>
      <w:r>
        <w:t>So,</w:t>
      </w:r>
      <w:r w:rsidR="00AD3EB2">
        <w:t xml:space="preserve"> unless the people will this generality-this common good- then they are restricted by it so </w:t>
      </w:r>
      <w:r>
        <w:t xml:space="preserve">are </w:t>
      </w:r>
      <w:r w:rsidR="00AD3EB2">
        <w:t>not free</w:t>
      </w:r>
      <w:r>
        <w:t xml:space="preserve"> and their actions under </w:t>
      </w:r>
      <w:r w:rsidR="005259EA">
        <w:t>the state could not be judged by moral standards, impacting issues of responsibility, reward, and punishment</w:t>
      </w:r>
      <w:r w:rsidR="00AD3EB2">
        <w:t>.</w:t>
      </w:r>
      <w:r w:rsidR="005C043A">
        <w:t xml:space="preserve"> </w:t>
      </w:r>
      <w:r w:rsidR="00C97A37">
        <w:t>Here there are definite</w:t>
      </w:r>
      <w:r w:rsidR="008A1A44">
        <w:t xml:space="preserve"> parallels with Kantian thought with t</w:t>
      </w:r>
      <w:r w:rsidR="00A06E84">
        <w:t xml:space="preserve">he emphasis for agents to necessarily be free </w:t>
      </w:r>
      <w:proofErr w:type="gramStart"/>
      <w:r w:rsidR="00A06E84">
        <w:t>in order to</w:t>
      </w:r>
      <w:proofErr w:type="gramEnd"/>
      <w:r w:rsidR="00A06E84">
        <w:t xml:space="preserve"> </w:t>
      </w:r>
      <w:r w:rsidR="008A1A44">
        <w:t>have moral actions.</w:t>
      </w:r>
      <w:r w:rsidR="008A1A44">
        <w:rPr>
          <w:rStyle w:val="FootnoteReference"/>
        </w:rPr>
        <w:footnoteReference w:id="5"/>
      </w:r>
    </w:p>
    <w:p w:rsidR="00944339" w:rsidRDefault="008A1A44">
      <w:r>
        <w:t xml:space="preserve">To conclude, </w:t>
      </w:r>
      <w:r w:rsidR="009E5C35">
        <w:t xml:space="preserve">Rousseau’s account of general will is an attempt to reconcile the problem that </w:t>
      </w:r>
      <w:proofErr w:type="gramStart"/>
      <w:r w:rsidR="009E5C35">
        <w:t>in order to</w:t>
      </w:r>
      <w:proofErr w:type="gramEnd"/>
      <w:r w:rsidR="009E5C35">
        <w:t xml:space="preserve"> have a free society</w:t>
      </w:r>
      <w:r w:rsidR="007B189A">
        <w:t xml:space="preserve"> (which here is </w:t>
      </w:r>
      <w:r w:rsidR="00503F33">
        <w:t>taken as the ideal)</w:t>
      </w:r>
      <w:r w:rsidR="009E5C35">
        <w:t xml:space="preserve">, one must agree with the laws of said society, but that with individual will alone this is not possible. </w:t>
      </w:r>
      <w:r w:rsidR="00503F33">
        <w:t>Rousseau’s attempt to use the general will to solve this problem however, seems to lead to an incoherent, contradictory position</w:t>
      </w:r>
      <w:r w:rsidR="00A46B75">
        <w:t>, as it relies so moulding people to agree with the general will to such an extent that they had no other choice but to agree with the general will. Therefore, although Rousseau expresses his view in a way that is deliberately paradoxical</w:t>
      </w:r>
      <w:r w:rsidR="00A46B75">
        <w:rPr>
          <w:rStyle w:val="FootnoteReference"/>
        </w:rPr>
        <w:footnoteReference w:id="6"/>
      </w:r>
      <w:r w:rsidR="00A46B75">
        <w:t>: “forced to be free,”</w:t>
      </w:r>
      <w:r w:rsidR="00A46B75">
        <w:rPr>
          <w:rStyle w:val="FootnoteReference"/>
        </w:rPr>
        <w:footnoteReference w:id="7"/>
      </w:r>
      <w:r w:rsidR="00421676">
        <w:t xml:space="preserve"> and then goes on to defend how this apparently paradoxical view is valid, he is unsuccessful in this and the contradiction is ultimately damning. </w:t>
      </w:r>
      <w:r w:rsidR="001F084F">
        <w:t xml:space="preserve">Rousseau’s insistence that everyone should share the general will would be a convenient conclusion if attainable through the volition and genuine agreement of </w:t>
      </w:r>
      <w:r w:rsidR="009843B6">
        <w:t>all individuals in the society. Unfortunately,</w:t>
      </w:r>
      <w:r w:rsidR="001F084F">
        <w:t xml:space="preserve"> this complete group agreement is unrealistic and the method of education that Rousseau proposes we implement to reach this agreement of wills ultimately means </w:t>
      </w:r>
      <w:r w:rsidR="007D3F66">
        <w:t>that it can no longer be said that the agreement has been reached of the individuals</w:t>
      </w:r>
      <w:r w:rsidR="009843B6">
        <w:t>’</w:t>
      </w:r>
      <w:r w:rsidR="007D3F66">
        <w:t xml:space="preserve"> own volition.</w:t>
      </w:r>
    </w:p>
    <w:p w:rsidR="00F03754" w:rsidRDefault="00F03754"/>
    <w:sdt>
      <w:sdtPr>
        <w:id w:val="1156728390"/>
        <w:docPartObj>
          <w:docPartGallery w:val="Bibliographies"/>
          <w:docPartUnique/>
        </w:docPartObj>
      </w:sdtPr>
      <w:sdtEndPr/>
      <w:sdtContent>
        <w:p w:rsidR="00AD2DE8" w:rsidRPr="00602BE7" w:rsidRDefault="00602BE7" w:rsidP="00602BE7">
          <w:pPr>
            <w:rPr>
              <w:rFonts w:cstheme="minorHAnsi"/>
              <w:b/>
            </w:rPr>
          </w:pPr>
          <w:r>
            <w:rPr>
              <w:b/>
            </w:rPr>
            <w:t>Bibliography</w:t>
          </w:r>
        </w:p>
        <w:sdt>
          <w:sdtPr>
            <w:id w:val="111145805"/>
            <w:bibliography/>
          </w:sdtPr>
          <w:sdtEndPr/>
          <w:sdtContent>
            <w:p w:rsidR="003B086B" w:rsidRDefault="00602BE7" w:rsidP="003B086B">
              <w:pPr>
                <w:pStyle w:val="Bibliography"/>
                <w:ind w:left="720" w:hanging="720"/>
                <w:rPr>
                  <w:noProof/>
                  <w:sz w:val="24"/>
                  <w:szCs w:val="24"/>
                </w:rPr>
              </w:pPr>
              <w:r>
                <w:t xml:space="preserve">1) </w:t>
              </w:r>
              <w:r w:rsidR="00AD2DE8">
                <w:fldChar w:fldCharType="begin"/>
              </w:r>
              <w:r w:rsidR="00AD2DE8">
                <w:instrText xml:space="preserve"> BIBLIOGRAPHY </w:instrText>
              </w:r>
              <w:r w:rsidR="00AD2DE8">
                <w:fldChar w:fldCharType="separate"/>
              </w:r>
              <w:bookmarkStart w:id="2" w:name="_Hlk509170297"/>
              <w:r w:rsidR="003B086B">
                <w:rPr>
                  <w:noProof/>
                </w:rPr>
                <w:t xml:space="preserve">Bertram, Christopher. </w:t>
              </w:r>
              <w:r w:rsidR="003B086B">
                <w:rPr>
                  <w:i/>
                  <w:iCs/>
                  <w:noProof/>
                </w:rPr>
                <w:t>Jean Jacques Rousseau</w:t>
              </w:r>
              <w:r w:rsidR="003B086B">
                <w:rPr>
                  <w:noProof/>
                </w:rPr>
                <w:t xml:space="preserve">. 26 May 2017. Online. </w:t>
              </w:r>
              <w:r>
                <w:rPr>
                  <w:noProof/>
                </w:rPr>
                <w:t xml:space="preserve">Accessed </w:t>
              </w:r>
              <w:r w:rsidR="003B086B">
                <w:rPr>
                  <w:noProof/>
                </w:rPr>
                <w:t>18 March 2018. &lt;https://plato.stanford.edu/entries/rousseau/&gt;.</w:t>
              </w:r>
              <w:bookmarkEnd w:id="2"/>
            </w:p>
            <w:p w:rsidR="003B086B" w:rsidRDefault="00602BE7" w:rsidP="003B086B">
              <w:pPr>
                <w:pStyle w:val="Bibliography"/>
                <w:ind w:left="720" w:hanging="720"/>
                <w:rPr>
                  <w:noProof/>
                </w:rPr>
              </w:pPr>
              <w:r>
                <w:rPr>
                  <w:noProof/>
                </w:rPr>
                <w:t xml:space="preserve">2) </w:t>
              </w:r>
              <w:bookmarkStart w:id="3" w:name="_Hlk509170741"/>
              <w:r w:rsidR="003B086B">
                <w:rPr>
                  <w:noProof/>
                </w:rPr>
                <w:t xml:space="preserve">Carter, Ian. </w:t>
              </w:r>
              <w:r w:rsidR="003B086B">
                <w:rPr>
                  <w:i/>
                  <w:iCs/>
                  <w:noProof/>
                </w:rPr>
                <w:t>Positive and Negative Liberty</w:t>
              </w:r>
              <w:r w:rsidR="003B086B">
                <w:rPr>
                  <w:noProof/>
                </w:rPr>
                <w:t xml:space="preserve">. 2 August 2016. </w:t>
              </w:r>
              <w:r>
                <w:rPr>
                  <w:noProof/>
                </w:rPr>
                <w:t xml:space="preserve">Accessed </w:t>
              </w:r>
              <w:r w:rsidR="003B086B">
                <w:rPr>
                  <w:noProof/>
                </w:rPr>
                <w:t>13 March 2018. &lt;https://plato.stanford.edu/entries/liberty-positive-negative/&gt;.</w:t>
              </w:r>
            </w:p>
            <w:bookmarkEnd w:id="3"/>
            <w:p w:rsidR="003B086B" w:rsidRDefault="00602BE7" w:rsidP="003B086B">
              <w:pPr>
                <w:pStyle w:val="Bibliography"/>
                <w:ind w:left="720" w:hanging="720"/>
                <w:rPr>
                  <w:noProof/>
                  <w:lang w:val="en-US"/>
                </w:rPr>
              </w:pPr>
              <w:r>
                <w:rPr>
                  <w:noProof/>
                </w:rPr>
                <w:t xml:space="preserve">3) </w:t>
              </w:r>
              <w:r w:rsidR="003B086B">
                <w:rPr>
                  <w:noProof/>
                </w:rPr>
                <w:t xml:space="preserve">Cohen, Joshua. "Rousseau: A Free Comunity of Equals." </w:t>
              </w:r>
              <w:r w:rsidR="003B086B">
                <w:rPr>
                  <w:i/>
                  <w:iCs/>
                  <w:noProof/>
                </w:rPr>
                <w:t>Oxford Press Scholarship Online</w:t>
              </w:r>
              <w:r w:rsidR="003B086B">
                <w:rPr>
                  <w:noProof/>
                </w:rPr>
                <w:t xml:space="preserve"> (2010). Online. </w:t>
              </w:r>
              <w:r>
                <w:rPr>
                  <w:noProof/>
                </w:rPr>
                <w:t xml:space="preserve">Accessed </w:t>
              </w:r>
              <w:r w:rsidR="003B086B">
                <w:rPr>
                  <w:noProof/>
                </w:rPr>
                <w:t>12 March 2018. &lt;http://www.oxfordscholarship.com.ezproxy.uwtsd.ac.uk/view/10.1093/acprof:oso/9780199581498.001.0001/acprof-9780199581498-chapter-2?print=pdf&gt;.</w:t>
              </w:r>
            </w:p>
            <w:p w:rsidR="003B086B" w:rsidRDefault="00602BE7" w:rsidP="003B086B">
              <w:pPr>
                <w:pStyle w:val="Bibliography"/>
                <w:ind w:left="720" w:hanging="720"/>
                <w:rPr>
                  <w:noProof/>
                </w:rPr>
              </w:pPr>
              <w:r>
                <w:rPr>
                  <w:noProof/>
                </w:rPr>
                <w:t xml:space="preserve">4) </w:t>
              </w:r>
              <w:bookmarkStart w:id="4" w:name="_Hlk509170609"/>
              <w:r w:rsidR="003B086B">
                <w:rPr>
                  <w:noProof/>
                </w:rPr>
                <w:t xml:space="preserve">Mill, John Stuart. </w:t>
              </w:r>
              <w:r w:rsidR="003B086B">
                <w:rPr>
                  <w:i/>
                  <w:iCs/>
                  <w:noProof/>
                </w:rPr>
                <w:t>On Liberty</w:t>
              </w:r>
              <w:r w:rsidR="003B086B">
                <w:rPr>
                  <w:noProof/>
                </w:rPr>
                <w:t>. 4</w:t>
              </w:r>
              <w:r w:rsidR="003B086B" w:rsidRPr="004B74D1">
                <w:rPr>
                  <w:noProof/>
                  <w:vertAlign w:val="superscript"/>
                </w:rPr>
                <w:t>th</w:t>
              </w:r>
              <w:r w:rsidR="004B74D1">
                <w:rPr>
                  <w:noProof/>
                </w:rPr>
                <w:t xml:space="preserve"> edition</w:t>
              </w:r>
              <w:r w:rsidR="003B086B">
                <w:rPr>
                  <w:noProof/>
                </w:rPr>
                <w:t xml:space="preserve">. </w:t>
              </w:r>
              <w:r>
                <w:rPr>
                  <w:noProof/>
                </w:rPr>
                <w:t>(</w:t>
              </w:r>
              <w:r w:rsidR="003B086B">
                <w:rPr>
                  <w:noProof/>
                </w:rPr>
                <w:t>London: Longmans, Green, Reader, and Dyer, 1869</w:t>
              </w:r>
              <w:r>
                <w:rPr>
                  <w:noProof/>
                </w:rPr>
                <w:t>)</w:t>
              </w:r>
              <w:r w:rsidR="003B086B">
                <w:rPr>
                  <w:noProof/>
                </w:rPr>
                <w:t>.</w:t>
              </w:r>
              <w:bookmarkEnd w:id="4"/>
            </w:p>
            <w:p w:rsidR="003B086B" w:rsidRDefault="00602BE7" w:rsidP="003B086B">
              <w:pPr>
                <w:pStyle w:val="Bibliography"/>
                <w:ind w:left="720" w:hanging="720"/>
                <w:rPr>
                  <w:noProof/>
                </w:rPr>
              </w:pPr>
              <w:r>
                <w:rPr>
                  <w:noProof/>
                </w:rPr>
                <w:t xml:space="preserve">5) </w:t>
              </w:r>
              <w:bookmarkStart w:id="5" w:name="_Hlk509170392"/>
              <w:r w:rsidR="003B086B">
                <w:rPr>
                  <w:noProof/>
                </w:rPr>
                <w:t xml:space="preserve">Riley, Patrick. "Rousseau's General Will: Freedom of a Particular Kind." </w:t>
              </w:r>
              <w:r w:rsidR="003B086B">
                <w:rPr>
                  <w:i/>
                  <w:iCs/>
                  <w:noProof/>
                </w:rPr>
                <w:t>Political Studies</w:t>
              </w:r>
              <w:r w:rsidR="003B086B">
                <w:rPr>
                  <w:noProof/>
                </w:rPr>
                <w:t xml:space="preserve"> 39 (1991): 55-74. Online. </w:t>
              </w:r>
              <w:r>
                <w:rPr>
                  <w:noProof/>
                </w:rPr>
                <w:t xml:space="preserve">Accessed </w:t>
              </w:r>
              <w:r w:rsidR="003B086B">
                <w:rPr>
                  <w:noProof/>
                </w:rPr>
                <w:t>12 March 2018. &lt;http://web.a.ebscohost.com.ezproxy.uwtsd.ac.uk/ehost/pdfviewer/pdfviewer?vid=1&amp;sid=d61d5fdc-8f4a-4ddd-8e82-3b5347ef1143%40sessionmgr4006&gt;.</w:t>
              </w:r>
              <w:bookmarkEnd w:id="5"/>
            </w:p>
            <w:p w:rsidR="003B086B" w:rsidRDefault="00602BE7" w:rsidP="003B086B">
              <w:pPr>
                <w:pStyle w:val="Bibliography"/>
                <w:ind w:left="720" w:hanging="720"/>
                <w:rPr>
                  <w:noProof/>
                </w:rPr>
              </w:pPr>
              <w:r>
                <w:rPr>
                  <w:noProof/>
                </w:rPr>
                <w:t xml:space="preserve">6) </w:t>
              </w:r>
              <w:bookmarkStart w:id="6" w:name="_Hlk509169959"/>
              <w:r w:rsidR="003B086B">
                <w:rPr>
                  <w:noProof/>
                </w:rPr>
                <w:t xml:space="preserve">Rousseau, Jean-Jacques. </w:t>
              </w:r>
              <w:r w:rsidR="003B086B">
                <w:rPr>
                  <w:i/>
                  <w:iCs/>
                  <w:noProof/>
                </w:rPr>
                <w:t>The Social Contract</w:t>
              </w:r>
              <w:r w:rsidR="003B086B">
                <w:rPr>
                  <w:noProof/>
                </w:rPr>
                <w:t>. Ed. Jonathan Bennett. Early Modern Texts. 1762. Online.</w:t>
              </w:r>
              <w:r>
                <w:rPr>
                  <w:noProof/>
                </w:rPr>
                <w:t xml:space="preserve"> Accessed</w:t>
              </w:r>
              <w:r w:rsidR="003B086B">
                <w:rPr>
                  <w:noProof/>
                </w:rPr>
                <w:t xml:space="preserve"> 18 March 2018. &lt;http://www.earlymoderntexts.com/assets/pdfs/rousseau1762.pdf&gt;.</w:t>
              </w:r>
              <w:bookmarkEnd w:id="6"/>
            </w:p>
            <w:p w:rsidR="00AD2DE8" w:rsidRDefault="00AD2DE8" w:rsidP="003B086B">
              <w:r>
                <w:rPr>
                  <w:b/>
                  <w:bCs/>
                  <w:noProof/>
                </w:rPr>
                <w:fldChar w:fldCharType="end"/>
              </w:r>
            </w:p>
          </w:sdtContent>
        </w:sdt>
      </w:sdtContent>
    </w:sdt>
    <w:p w:rsidR="00944339" w:rsidRDefault="00944339"/>
    <w:p w:rsidR="00944339" w:rsidRDefault="00944339"/>
    <w:p w:rsidR="00944339" w:rsidRDefault="00944339"/>
    <w:p w:rsidR="00944339" w:rsidRDefault="00944339"/>
    <w:p w:rsidR="00944339" w:rsidRDefault="00944339"/>
    <w:p w:rsidR="00944339" w:rsidRDefault="00944339"/>
    <w:p w:rsidR="00944339" w:rsidRDefault="00944339" w:rsidP="005A1198">
      <w:pPr>
        <w:pStyle w:val="Bibliography"/>
      </w:pPr>
    </w:p>
    <w:sectPr w:rsidR="00944339"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7648" w:rsidRDefault="00D37648" w:rsidP="00DE512D">
      <w:pPr>
        <w:spacing w:after="0" w:line="240" w:lineRule="auto"/>
      </w:pPr>
      <w:r>
        <w:separator/>
      </w:r>
    </w:p>
  </w:endnote>
  <w:endnote w:type="continuationSeparator" w:id="0">
    <w:p w:rsidR="00D37648" w:rsidRDefault="00D37648" w:rsidP="00DE5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7648" w:rsidRDefault="00D37648" w:rsidP="00DE512D">
      <w:pPr>
        <w:spacing w:after="0" w:line="240" w:lineRule="auto"/>
      </w:pPr>
      <w:r>
        <w:separator/>
      </w:r>
    </w:p>
  </w:footnote>
  <w:footnote w:type="continuationSeparator" w:id="0">
    <w:p w:rsidR="00D37648" w:rsidRDefault="00D37648" w:rsidP="00DE512D">
      <w:pPr>
        <w:spacing w:after="0" w:line="240" w:lineRule="auto"/>
      </w:pPr>
      <w:r>
        <w:continuationSeparator/>
      </w:r>
    </w:p>
  </w:footnote>
  <w:footnote w:id="1">
    <w:p w:rsidR="00DE512D" w:rsidRPr="005C043A" w:rsidRDefault="00DE512D" w:rsidP="00756813">
      <w:pPr>
        <w:pStyle w:val="NoSpacing"/>
      </w:pPr>
      <w:r>
        <w:rPr>
          <w:rStyle w:val="FootnoteReference"/>
        </w:rPr>
        <w:footnoteRef/>
      </w:r>
      <w:r w:rsidR="00756813" w:rsidRPr="00756813">
        <w:rPr>
          <w:sz w:val="20"/>
          <w:szCs w:val="20"/>
        </w:rPr>
        <w:t xml:space="preserve">Carter, Ian. </w:t>
      </w:r>
      <w:r w:rsidR="00756813" w:rsidRPr="00756813">
        <w:rPr>
          <w:i/>
          <w:iCs/>
          <w:sz w:val="20"/>
          <w:szCs w:val="20"/>
        </w:rPr>
        <w:t>Positive and Negative Liberty</w:t>
      </w:r>
      <w:r w:rsidR="00756813" w:rsidRPr="00756813">
        <w:rPr>
          <w:sz w:val="20"/>
          <w:szCs w:val="20"/>
        </w:rPr>
        <w:t xml:space="preserve">. 2 August 2016. Accessed 13 March 2018. </w:t>
      </w:r>
      <w:r w:rsidR="00756813" w:rsidRPr="00756813">
        <w:rPr>
          <w:sz w:val="20"/>
          <w:szCs w:val="20"/>
        </w:rPr>
        <w:tab/>
        <w:t>&lt;https://plato.stanford.edu/entries/liberty-positive-negative/&gt;.</w:t>
      </w:r>
    </w:p>
  </w:footnote>
  <w:footnote w:id="2">
    <w:p w:rsidR="00756813" w:rsidRDefault="005C043A">
      <w:pPr>
        <w:pStyle w:val="FootnoteText"/>
      </w:pPr>
      <w:r>
        <w:rPr>
          <w:rStyle w:val="FootnoteReference"/>
        </w:rPr>
        <w:footnoteRef/>
      </w:r>
      <w:r>
        <w:t xml:space="preserve"> </w:t>
      </w:r>
      <w:r w:rsidR="00756813" w:rsidRPr="00756813">
        <w:t xml:space="preserve">Riley, Patrick. "Rousseau's General Will: Freedom of a Particular Kind." </w:t>
      </w:r>
      <w:r w:rsidR="00756813" w:rsidRPr="00756813">
        <w:rPr>
          <w:i/>
          <w:iCs/>
        </w:rPr>
        <w:t>Political Studies</w:t>
      </w:r>
      <w:r w:rsidR="00756813" w:rsidRPr="00756813">
        <w:t xml:space="preserve"> 39 (1991): 55-74.</w:t>
      </w:r>
      <w:r w:rsidR="00756813" w:rsidRPr="00756813">
        <w:tab/>
        <w:t xml:space="preserve"> </w:t>
      </w:r>
      <w:r w:rsidR="00756813" w:rsidRPr="00756813">
        <w:tab/>
        <w:t xml:space="preserve">Online. Accessed 12 March 2018. </w:t>
      </w:r>
      <w:r w:rsidR="00756813" w:rsidRPr="00756813">
        <w:tab/>
        <w:t>&lt;http://web.a.ebscohost.com.ezproxy.uwtsd.ac.uk/ehost/pdfviewer/pdfviewer?vid=1&amp;sid=d61d5fdc-</w:t>
      </w:r>
      <w:r w:rsidR="00756813" w:rsidRPr="00756813">
        <w:tab/>
        <w:t xml:space="preserve">8f4a-4ddd-8e82-3b5347ef1143%40sessionmgr4006&gt;. </w:t>
      </w:r>
      <w:r w:rsidR="00756813">
        <w:t>p.</w:t>
      </w:r>
      <w:r w:rsidRPr="005C043A">
        <w:t>58</w:t>
      </w:r>
      <w:r w:rsidR="00756813">
        <w:t>.</w:t>
      </w:r>
    </w:p>
  </w:footnote>
  <w:footnote w:id="3">
    <w:p w:rsidR="00282772" w:rsidRDefault="00282772">
      <w:pPr>
        <w:pStyle w:val="FootnoteText"/>
      </w:pPr>
      <w:r>
        <w:rPr>
          <w:rStyle w:val="FootnoteReference"/>
        </w:rPr>
        <w:footnoteRef/>
      </w:r>
      <w:r w:rsidR="00756813">
        <w:t xml:space="preserve"> </w:t>
      </w:r>
      <w:r w:rsidR="00756813" w:rsidRPr="00756813">
        <w:t xml:space="preserve">Mill, John Stuart. </w:t>
      </w:r>
      <w:r w:rsidR="00756813" w:rsidRPr="00756813">
        <w:rPr>
          <w:i/>
          <w:iCs/>
        </w:rPr>
        <w:t>On Liberty</w:t>
      </w:r>
      <w:r w:rsidR="00756813" w:rsidRPr="00756813">
        <w:t>. 4</w:t>
      </w:r>
      <w:r w:rsidR="00756813" w:rsidRPr="00756813">
        <w:rPr>
          <w:vertAlign w:val="superscript"/>
        </w:rPr>
        <w:t>th</w:t>
      </w:r>
      <w:r w:rsidR="00756813" w:rsidRPr="00756813">
        <w:t xml:space="preserve"> edition. (London: Longmans, Green, Reader, and Dyer, 1869).</w:t>
      </w:r>
      <w:r>
        <w:t xml:space="preserve"> </w:t>
      </w:r>
      <w:r w:rsidR="00756813">
        <w:t>pp.</w:t>
      </w:r>
      <w:r>
        <w:t>21-23</w:t>
      </w:r>
      <w:r w:rsidR="00756813">
        <w:t>.</w:t>
      </w:r>
    </w:p>
  </w:footnote>
  <w:footnote w:id="4">
    <w:p w:rsidR="00756813" w:rsidRDefault="005259EA" w:rsidP="000D6C5A">
      <w:pPr>
        <w:pStyle w:val="FootnoteText"/>
      </w:pPr>
      <w:r>
        <w:rPr>
          <w:rStyle w:val="FootnoteReference"/>
        </w:rPr>
        <w:footnoteRef/>
      </w:r>
      <w:r>
        <w:t xml:space="preserve"> </w:t>
      </w:r>
      <w:bookmarkStart w:id="1" w:name="_Hlk509170654"/>
      <w:r w:rsidR="00602BE7" w:rsidRPr="00602BE7">
        <w:t xml:space="preserve">Riley, Patrick. "Rousseau's General Will: Freedom of a Particular Kind." </w:t>
      </w:r>
      <w:r w:rsidR="00602BE7" w:rsidRPr="00602BE7">
        <w:rPr>
          <w:i/>
          <w:iCs/>
        </w:rPr>
        <w:t>Political Studies</w:t>
      </w:r>
      <w:r w:rsidR="00602BE7" w:rsidRPr="00602BE7">
        <w:t xml:space="preserve"> 39 (1991): 55-74.</w:t>
      </w:r>
      <w:r w:rsidR="000D6C5A">
        <w:tab/>
      </w:r>
      <w:r w:rsidR="00602BE7" w:rsidRPr="00602BE7">
        <w:t xml:space="preserve"> </w:t>
      </w:r>
      <w:r w:rsidR="000D6C5A">
        <w:tab/>
        <w:t>O</w:t>
      </w:r>
      <w:r w:rsidR="00602BE7" w:rsidRPr="00602BE7">
        <w:t xml:space="preserve">nline. Accessed 12 March 2018. </w:t>
      </w:r>
      <w:r w:rsidR="000D6C5A">
        <w:tab/>
        <w:t>&lt;</w:t>
      </w:r>
      <w:r w:rsidR="00602BE7" w:rsidRPr="00602BE7">
        <w:t>http://web.a.ebscohost.com.ezproxy.uwtsd.ac.uk/ehost/pdfviewer/pdfviewer?vid=1&amp;sid=d61d5fdc-</w:t>
      </w:r>
      <w:r w:rsidR="004B74D1">
        <w:tab/>
        <w:t>8</w:t>
      </w:r>
      <w:r w:rsidR="00602BE7" w:rsidRPr="00602BE7">
        <w:t>f4a-4ddd-8e82-3b5347ef1143%40sessionmgr4006&gt;.</w:t>
      </w:r>
      <w:r>
        <w:t xml:space="preserve"> </w:t>
      </w:r>
      <w:bookmarkEnd w:id="1"/>
      <w:r w:rsidR="000D6C5A">
        <w:t>p.</w:t>
      </w:r>
      <w:r>
        <w:t>58</w:t>
      </w:r>
      <w:r w:rsidR="004B74D1">
        <w:t>.</w:t>
      </w:r>
    </w:p>
  </w:footnote>
  <w:footnote w:id="5">
    <w:p w:rsidR="00756813" w:rsidRDefault="008A1A44">
      <w:pPr>
        <w:pStyle w:val="FootnoteText"/>
      </w:pPr>
      <w:r>
        <w:rPr>
          <w:rStyle w:val="FootnoteReference"/>
        </w:rPr>
        <w:footnoteRef/>
      </w:r>
      <w:r>
        <w:t xml:space="preserve"> </w:t>
      </w:r>
      <w:r w:rsidR="004B74D1">
        <w:t>i</w:t>
      </w:r>
      <w:r>
        <w:t>bid</w:t>
      </w:r>
      <w:r w:rsidR="004B74D1">
        <w:t>.,</w:t>
      </w:r>
      <w:r>
        <w:t xml:space="preserve"> </w:t>
      </w:r>
      <w:r w:rsidR="004B74D1">
        <w:t>p.</w:t>
      </w:r>
      <w:r>
        <w:t>59</w:t>
      </w:r>
      <w:r w:rsidR="004B74D1">
        <w:t>.</w:t>
      </w:r>
    </w:p>
  </w:footnote>
  <w:footnote w:id="6">
    <w:p w:rsidR="00756813" w:rsidRDefault="00A46B75" w:rsidP="00602BE7">
      <w:pPr>
        <w:pStyle w:val="FootnoteText"/>
      </w:pPr>
      <w:r>
        <w:rPr>
          <w:rStyle w:val="FootnoteReference"/>
        </w:rPr>
        <w:footnoteRef/>
      </w:r>
      <w:r>
        <w:t xml:space="preserve"> </w:t>
      </w:r>
      <w:r w:rsidR="00602BE7" w:rsidRPr="00602BE7">
        <w:t xml:space="preserve">Bertram, Christopher. </w:t>
      </w:r>
      <w:r w:rsidR="00602BE7" w:rsidRPr="00602BE7">
        <w:rPr>
          <w:i/>
          <w:iCs/>
        </w:rPr>
        <w:t>Jean Jacques Rousseau</w:t>
      </w:r>
      <w:r w:rsidR="00602BE7" w:rsidRPr="00602BE7">
        <w:t xml:space="preserve">. 26 May 2017. Online. Accessed </w:t>
      </w:r>
      <w:r w:rsidR="00602BE7">
        <w:t xml:space="preserve">18 March 2018. </w:t>
      </w:r>
      <w:r w:rsidR="00602BE7">
        <w:tab/>
        <w:t>&lt;</w:t>
      </w:r>
      <w:r w:rsidR="00602BE7" w:rsidRPr="00602BE7">
        <w:t>https://plato.stanford.edu/entries/rousseau/&gt;.</w:t>
      </w:r>
    </w:p>
  </w:footnote>
  <w:footnote w:id="7">
    <w:p w:rsidR="00A46B75" w:rsidRDefault="00A46B75" w:rsidP="00602BE7">
      <w:pPr>
        <w:pStyle w:val="FootnoteText"/>
      </w:pPr>
      <w:r>
        <w:rPr>
          <w:rStyle w:val="FootnoteReference"/>
        </w:rPr>
        <w:footnoteRef/>
      </w:r>
      <w:r>
        <w:t xml:space="preserve"> </w:t>
      </w:r>
      <w:r w:rsidR="00602BE7">
        <w:rPr>
          <w:noProof/>
        </w:rPr>
        <w:t xml:space="preserve">Rousseau, Jean-Jacques. </w:t>
      </w:r>
      <w:r w:rsidR="00602BE7">
        <w:rPr>
          <w:i/>
          <w:iCs/>
          <w:noProof/>
        </w:rPr>
        <w:t>The Social Contract</w:t>
      </w:r>
      <w:r w:rsidR="00602BE7">
        <w:rPr>
          <w:noProof/>
        </w:rPr>
        <w:t xml:space="preserve">. Ed. Jonathan Bennett. Early Modern Texts. 1762. </w:t>
      </w:r>
      <w:r w:rsidR="00602BE7">
        <w:rPr>
          <w:noProof/>
        </w:rPr>
        <w:tab/>
      </w:r>
      <w:r w:rsidR="00602BE7">
        <w:rPr>
          <w:noProof/>
        </w:rPr>
        <w:tab/>
        <w:t xml:space="preserve">Online. Accessed 18 March 2018. </w:t>
      </w:r>
      <w:r w:rsidR="00602BE7">
        <w:rPr>
          <w:noProof/>
        </w:rPr>
        <w:tab/>
      </w:r>
      <w:r w:rsidR="00602BE7">
        <w:rPr>
          <w:noProof/>
        </w:rPr>
        <w:tab/>
      </w:r>
      <w:r w:rsidR="00602BE7">
        <w:rPr>
          <w:noProof/>
        </w:rPr>
        <w:tab/>
        <w:t xml:space="preserve">&lt;http://www.earlymoderntexts.com/assets/pdfs/rousseau1762.pdf&gt;. </w:t>
      </w:r>
      <w:r w:rsidR="00421676">
        <w:t>p</w:t>
      </w:r>
      <w:r w:rsidR="00602BE7">
        <w:t>.</w:t>
      </w:r>
      <w:r w:rsidR="00421676">
        <w:t>9</w:t>
      </w:r>
      <w:r w:rsidR="004B74D1">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1BB"/>
    <w:rsid w:val="00011C02"/>
    <w:rsid w:val="000B40E9"/>
    <w:rsid w:val="000C58E5"/>
    <w:rsid w:val="000D6C5A"/>
    <w:rsid w:val="001265DA"/>
    <w:rsid w:val="00154380"/>
    <w:rsid w:val="00173CC3"/>
    <w:rsid w:val="001F084F"/>
    <w:rsid w:val="00204F07"/>
    <w:rsid w:val="002438BB"/>
    <w:rsid w:val="00246DD6"/>
    <w:rsid w:val="00282772"/>
    <w:rsid w:val="003222EE"/>
    <w:rsid w:val="00325EFB"/>
    <w:rsid w:val="00361255"/>
    <w:rsid w:val="00372099"/>
    <w:rsid w:val="00382A20"/>
    <w:rsid w:val="003B086B"/>
    <w:rsid w:val="003B492B"/>
    <w:rsid w:val="00404B6F"/>
    <w:rsid w:val="00421676"/>
    <w:rsid w:val="0044458C"/>
    <w:rsid w:val="004B74D1"/>
    <w:rsid w:val="004E27B8"/>
    <w:rsid w:val="004E5E89"/>
    <w:rsid w:val="004E63DB"/>
    <w:rsid w:val="00503F33"/>
    <w:rsid w:val="00512BC4"/>
    <w:rsid w:val="005131BB"/>
    <w:rsid w:val="005259EA"/>
    <w:rsid w:val="005471D0"/>
    <w:rsid w:val="005648A8"/>
    <w:rsid w:val="00595C29"/>
    <w:rsid w:val="005A1198"/>
    <w:rsid w:val="005C043A"/>
    <w:rsid w:val="00601FB9"/>
    <w:rsid w:val="00602BE7"/>
    <w:rsid w:val="006550B4"/>
    <w:rsid w:val="006A5BBE"/>
    <w:rsid w:val="006C0F51"/>
    <w:rsid w:val="00726465"/>
    <w:rsid w:val="00756813"/>
    <w:rsid w:val="007B189A"/>
    <w:rsid w:val="007D3F66"/>
    <w:rsid w:val="00804BE9"/>
    <w:rsid w:val="00832787"/>
    <w:rsid w:val="008A1A44"/>
    <w:rsid w:val="008B38CB"/>
    <w:rsid w:val="008D0F4A"/>
    <w:rsid w:val="008E29C5"/>
    <w:rsid w:val="00910148"/>
    <w:rsid w:val="00944339"/>
    <w:rsid w:val="00946E86"/>
    <w:rsid w:val="009843B6"/>
    <w:rsid w:val="009E5C35"/>
    <w:rsid w:val="00A06E84"/>
    <w:rsid w:val="00A101D7"/>
    <w:rsid w:val="00A46B75"/>
    <w:rsid w:val="00AA5AE7"/>
    <w:rsid w:val="00AD2DE8"/>
    <w:rsid w:val="00AD3EB2"/>
    <w:rsid w:val="00B53BEE"/>
    <w:rsid w:val="00B767F2"/>
    <w:rsid w:val="00B83288"/>
    <w:rsid w:val="00C22268"/>
    <w:rsid w:val="00C45F85"/>
    <w:rsid w:val="00C9195A"/>
    <w:rsid w:val="00C97A37"/>
    <w:rsid w:val="00CE7928"/>
    <w:rsid w:val="00D37648"/>
    <w:rsid w:val="00D518A5"/>
    <w:rsid w:val="00DE512D"/>
    <w:rsid w:val="00E9291F"/>
    <w:rsid w:val="00F03754"/>
    <w:rsid w:val="00F60CD9"/>
    <w:rsid w:val="00F831FE"/>
    <w:rsid w:val="00F86FD6"/>
    <w:rsid w:val="00FC345D"/>
    <w:rsid w:val="00FE2FEF"/>
    <w:rsid w:val="00FE7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F49A9"/>
  <w15:chartTrackingRefBased/>
  <w15:docId w15:val="{10D3727D-345B-4165-8860-5EF81E6AF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paragraph" w:styleId="Heading1">
    <w:name w:val="heading 1"/>
    <w:basedOn w:val="Normal"/>
    <w:next w:val="Normal"/>
    <w:link w:val="Heading1Char"/>
    <w:uiPriority w:val="9"/>
    <w:qFormat/>
    <w:rsid w:val="005C043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51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512D"/>
    <w:rPr>
      <w:sz w:val="20"/>
      <w:szCs w:val="20"/>
    </w:rPr>
  </w:style>
  <w:style w:type="character" w:styleId="FootnoteReference">
    <w:name w:val="footnote reference"/>
    <w:basedOn w:val="DefaultParagraphFont"/>
    <w:uiPriority w:val="99"/>
    <w:semiHidden/>
    <w:unhideWhenUsed/>
    <w:rsid w:val="00DE512D"/>
    <w:rPr>
      <w:vertAlign w:val="superscript"/>
    </w:rPr>
  </w:style>
  <w:style w:type="paragraph" w:styleId="Bibliography">
    <w:name w:val="Bibliography"/>
    <w:basedOn w:val="Normal"/>
    <w:next w:val="Normal"/>
    <w:uiPriority w:val="37"/>
    <w:unhideWhenUsed/>
    <w:rsid w:val="00944339"/>
  </w:style>
  <w:style w:type="character" w:customStyle="1" w:styleId="Heading1Char">
    <w:name w:val="Heading 1 Char"/>
    <w:basedOn w:val="DefaultParagraphFont"/>
    <w:link w:val="Heading1"/>
    <w:uiPriority w:val="9"/>
    <w:rsid w:val="005C043A"/>
    <w:rPr>
      <w:rFonts w:asciiTheme="majorHAnsi" w:eastAsiaTheme="majorEastAsia" w:hAnsiTheme="majorHAnsi" w:cstheme="majorBidi"/>
      <w:color w:val="365F91" w:themeColor="accent1" w:themeShade="BF"/>
      <w:sz w:val="32"/>
      <w:szCs w:val="32"/>
      <w:lang w:val="en-US"/>
    </w:rPr>
  </w:style>
  <w:style w:type="character" w:styleId="Hyperlink">
    <w:name w:val="Hyperlink"/>
    <w:basedOn w:val="DefaultParagraphFont"/>
    <w:uiPriority w:val="99"/>
    <w:unhideWhenUsed/>
    <w:rsid w:val="00602BE7"/>
    <w:rPr>
      <w:color w:val="0000FF" w:themeColor="hyperlink"/>
      <w:u w:val="single"/>
    </w:rPr>
  </w:style>
  <w:style w:type="character" w:styleId="UnresolvedMention">
    <w:name w:val="Unresolved Mention"/>
    <w:basedOn w:val="DefaultParagraphFont"/>
    <w:uiPriority w:val="99"/>
    <w:semiHidden/>
    <w:unhideWhenUsed/>
    <w:rsid w:val="00602BE7"/>
    <w:rPr>
      <w:color w:val="808080"/>
      <w:shd w:val="clear" w:color="auto" w:fill="E6E6E6"/>
    </w:rPr>
  </w:style>
  <w:style w:type="paragraph" w:styleId="NoSpacing">
    <w:name w:val="No Spacing"/>
    <w:uiPriority w:val="1"/>
    <w:qFormat/>
    <w:rsid w:val="0075681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46343">
      <w:bodyDiv w:val="1"/>
      <w:marLeft w:val="0"/>
      <w:marRight w:val="0"/>
      <w:marTop w:val="0"/>
      <w:marBottom w:val="0"/>
      <w:divBdr>
        <w:top w:val="none" w:sz="0" w:space="0" w:color="auto"/>
        <w:left w:val="none" w:sz="0" w:space="0" w:color="auto"/>
        <w:bottom w:val="none" w:sz="0" w:space="0" w:color="auto"/>
        <w:right w:val="none" w:sz="0" w:space="0" w:color="auto"/>
      </w:divBdr>
    </w:div>
    <w:div w:id="92214317">
      <w:bodyDiv w:val="1"/>
      <w:marLeft w:val="0"/>
      <w:marRight w:val="0"/>
      <w:marTop w:val="0"/>
      <w:marBottom w:val="0"/>
      <w:divBdr>
        <w:top w:val="none" w:sz="0" w:space="0" w:color="auto"/>
        <w:left w:val="none" w:sz="0" w:space="0" w:color="auto"/>
        <w:bottom w:val="none" w:sz="0" w:space="0" w:color="auto"/>
        <w:right w:val="none" w:sz="0" w:space="0" w:color="auto"/>
      </w:divBdr>
    </w:div>
    <w:div w:id="115564974">
      <w:bodyDiv w:val="1"/>
      <w:marLeft w:val="0"/>
      <w:marRight w:val="0"/>
      <w:marTop w:val="0"/>
      <w:marBottom w:val="0"/>
      <w:divBdr>
        <w:top w:val="none" w:sz="0" w:space="0" w:color="auto"/>
        <w:left w:val="none" w:sz="0" w:space="0" w:color="auto"/>
        <w:bottom w:val="none" w:sz="0" w:space="0" w:color="auto"/>
        <w:right w:val="none" w:sz="0" w:space="0" w:color="auto"/>
      </w:divBdr>
    </w:div>
    <w:div w:id="171802605">
      <w:bodyDiv w:val="1"/>
      <w:marLeft w:val="0"/>
      <w:marRight w:val="0"/>
      <w:marTop w:val="0"/>
      <w:marBottom w:val="0"/>
      <w:divBdr>
        <w:top w:val="none" w:sz="0" w:space="0" w:color="auto"/>
        <w:left w:val="none" w:sz="0" w:space="0" w:color="auto"/>
        <w:bottom w:val="none" w:sz="0" w:space="0" w:color="auto"/>
        <w:right w:val="none" w:sz="0" w:space="0" w:color="auto"/>
      </w:divBdr>
    </w:div>
    <w:div w:id="243494967">
      <w:bodyDiv w:val="1"/>
      <w:marLeft w:val="0"/>
      <w:marRight w:val="0"/>
      <w:marTop w:val="0"/>
      <w:marBottom w:val="0"/>
      <w:divBdr>
        <w:top w:val="none" w:sz="0" w:space="0" w:color="auto"/>
        <w:left w:val="none" w:sz="0" w:space="0" w:color="auto"/>
        <w:bottom w:val="none" w:sz="0" w:space="0" w:color="auto"/>
        <w:right w:val="none" w:sz="0" w:space="0" w:color="auto"/>
      </w:divBdr>
    </w:div>
    <w:div w:id="386614118">
      <w:bodyDiv w:val="1"/>
      <w:marLeft w:val="0"/>
      <w:marRight w:val="0"/>
      <w:marTop w:val="0"/>
      <w:marBottom w:val="0"/>
      <w:divBdr>
        <w:top w:val="none" w:sz="0" w:space="0" w:color="auto"/>
        <w:left w:val="none" w:sz="0" w:space="0" w:color="auto"/>
        <w:bottom w:val="none" w:sz="0" w:space="0" w:color="auto"/>
        <w:right w:val="none" w:sz="0" w:space="0" w:color="auto"/>
      </w:divBdr>
    </w:div>
    <w:div w:id="422268364">
      <w:bodyDiv w:val="1"/>
      <w:marLeft w:val="0"/>
      <w:marRight w:val="0"/>
      <w:marTop w:val="0"/>
      <w:marBottom w:val="0"/>
      <w:divBdr>
        <w:top w:val="none" w:sz="0" w:space="0" w:color="auto"/>
        <w:left w:val="none" w:sz="0" w:space="0" w:color="auto"/>
        <w:bottom w:val="none" w:sz="0" w:space="0" w:color="auto"/>
        <w:right w:val="none" w:sz="0" w:space="0" w:color="auto"/>
      </w:divBdr>
    </w:div>
    <w:div w:id="435828653">
      <w:bodyDiv w:val="1"/>
      <w:marLeft w:val="0"/>
      <w:marRight w:val="0"/>
      <w:marTop w:val="0"/>
      <w:marBottom w:val="0"/>
      <w:divBdr>
        <w:top w:val="none" w:sz="0" w:space="0" w:color="auto"/>
        <w:left w:val="none" w:sz="0" w:space="0" w:color="auto"/>
        <w:bottom w:val="none" w:sz="0" w:space="0" w:color="auto"/>
        <w:right w:val="none" w:sz="0" w:space="0" w:color="auto"/>
      </w:divBdr>
    </w:div>
    <w:div w:id="461773479">
      <w:bodyDiv w:val="1"/>
      <w:marLeft w:val="0"/>
      <w:marRight w:val="0"/>
      <w:marTop w:val="0"/>
      <w:marBottom w:val="0"/>
      <w:divBdr>
        <w:top w:val="none" w:sz="0" w:space="0" w:color="auto"/>
        <w:left w:val="none" w:sz="0" w:space="0" w:color="auto"/>
        <w:bottom w:val="none" w:sz="0" w:space="0" w:color="auto"/>
        <w:right w:val="none" w:sz="0" w:space="0" w:color="auto"/>
      </w:divBdr>
    </w:div>
    <w:div w:id="503201523">
      <w:bodyDiv w:val="1"/>
      <w:marLeft w:val="0"/>
      <w:marRight w:val="0"/>
      <w:marTop w:val="0"/>
      <w:marBottom w:val="0"/>
      <w:divBdr>
        <w:top w:val="none" w:sz="0" w:space="0" w:color="auto"/>
        <w:left w:val="none" w:sz="0" w:space="0" w:color="auto"/>
        <w:bottom w:val="none" w:sz="0" w:space="0" w:color="auto"/>
        <w:right w:val="none" w:sz="0" w:space="0" w:color="auto"/>
      </w:divBdr>
    </w:div>
    <w:div w:id="607808845">
      <w:bodyDiv w:val="1"/>
      <w:marLeft w:val="0"/>
      <w:marRight w:val="0"/>
      <w:marTop w:val="0"/>
      <w:marBottom w:val="0"/>
      <w:divBdr>
        <w:top w:val="none" w:sz="0" w:space="0" w:color="auto"/>
        <w:left w:val="none" w:sz="0" w:space="0" w:color="auto"/>
        <w:bottom w:val="none" w:sz="0" w:space="0" w:color="auto"/>
        <w:right w:val="none" w:sz="0" w:space="0" w:color="auto"/>
      </w:divBdr>
    </w:div>
    <w:div w:id="629360218">
      <w:bodyDiv w:val="1"/>
      <w:marLeft w:val="0"/>
      <w:marRight w:val="0"/>
      <w:marTop w:val="0"/>
      <w:marBottom w:val="0"/>
      <w:divBdr>
        <w:top w:val="none" w:sz="0" w:space="0" w:color="auto"/>
        <w:left w:val="none" w:sz="0" w:space="0" w:color="auto"/>
        <w:bottom w:val="none" w:sz="0" w:space="0" w:color="auto"/>
        <w:right w:val="none" w:sz="0" w:space="0" w:color="auto"/>
      </w:divBdr>
    </w:div>
    <w:div w:id="679426028">
      <w:bodyDiv w:val="1"/>
      <w:marLeft w:val="0"/>
      <w:marRight w:val="0"/>
      <w:marTop w:val="0"/>
      <w:marBottom w:val="0"/>
      <w:divBdr>
        <w:top w:val="none" w:sz="0" w:space="0" w:color="auto"/>
        <w:left w:val="none" w:sz="0" w:space="0" w:color="auto"/>
        <w:bottom w:val="none" w:sz="0" w:space="0" w:color="auto"/>
        <w:right w:val="none" w:sz="0" w:space="0" w:color="auto"/>
      </w:divBdr>
    </w:div>
    <w:div w:id="689334998">
      <w:bodyDiv w:val="1"/>
      <w:marLeft w:val="0"/>
      <w:marRight w:val="0"/>
      <w:marTop w:val="0"/>
      <w:marBottom w:val="0"/>
      <w:divBdr>
        <w:top w:val="none" w:sz="0" w:space="0" w:color="auto"/>
        <w:left w:val="none" w:sz="0" w:space="0" w:color="auto"/>
        <w:bottom w:val="none" w:sz="0" w:space="0" w:color="auto"/>
        <w:right w:val="none" w:sz="0" w:space="0" w:color="auto"/>
      </w:divBdr>
    </w:div>
    <w:div w:id="887954134">
      <w:bodyDiv w:val="1"/>
      <w:marLeft w:val="0"/>
      <w:marRight w:val="0"/>
      <w:marTop w:val="0"/>
      <w:marBottom w:val="0"/>
      <w:divBdr>
        <w:top w:val="none" w:sz="0" w:space="0" w:color="auto"/>
        <w:left w:val="none" w:sz="0" w:space="0" w:color="auto"/>
        <w:bottom w:val="none" w:sz="0" w:space="0" w:color="auto"/>
        <w:right w:val="none" w:sz="0" w:space="0" w:color="auto"/>
      </w:divBdr>
    </w:div>
    <w:div w:id="1075973057">
      <w:bodyDiv w:val="1"/>
      <w:marLeft w:val="0"/>
      <w:marRight w:val="0"/>
      <w:marTop w:val="0"/>
      <w:marBottom w:val="0"/>
      <w:divBdr>
        <w:top w:val="none" w:sz="0" w:space="0" w:color="auto"/>
        <w:left w:val="none" w:sz="0" w:space="0" w:color="auto"/>
        <w:bottom w:val="none" w:sz="0" w:space="0" w:color="auto"/>
        <w:right w:val="none" w:sz="0" w:space="0" w:color="auto"/>
      </w:divBdr>
    </w:div>
    <w:div w:id="1102653235">
      <w:bodyDiv w:val="1"/>
      <w:marLeft w:val="0"/>
      <w:marRight w:val="0"/>
      <w:marTop w:val="0"/>
      <w:marBottom w:val="0"/>
      <w:divBdr>
        <w:top w:val="none" w:sz="0" w:space="0" w:color="auto"/>
        <w:left w:val="none" w:sz="0" w:space="0" w:color="auto"/>
        <w:bottom w:val="none" w:sz="0" w:space="0" w:color="auto"/>
        <w:right w:val="none" w:sz="0" w:space="0" w:color="auto"/>
      </w:divBdr>
    </w:div>
    <w:div w:id="1106002582">
      <w:bodyDiv w:val="1"/>
      <w:marLeft w:val="0"/>
      <w:marRight w:val="0"/>
      <w:marTop w:val="0"/>
      <w:marBottom w:val="0"/>
      <w:divBdr>
        <w:top w:val="none" w:sz="0" w:space="0" w:color="auto"/>
        <w:left w:val="none" w:sz="0" w:space="0" w:color="auto"/>
        <w:bottom w:val="none" w:sz="0" w:space="0" w:color="auto"/>
        <w:right w:val="none" w:sz="0" w:space="0" w:color="auto"/>
      </w:divBdr>
    </w:div>
    <w:div w:id="1211763449">
      <w:bodyDiv w:val="1"/>
      <w:marLeft w:val="0"/>
      <w:marRight w:val="0"/>
      <w:marTop w:val="0"/>
      <w:marBottom w:val="0"/>
      <w:divBdr>
        <w:top w:val="none" w:sz="0" w:space="0" w:color="auto"/>
        <w:left w:val="none" w:sz="0" w:space="0" w:color="auto"/>
        <w:bottom w:val="none" w:sz="0" w:space="0" w:color="auto"/>
        <w:right w:val="none" w:sz="0" w:space="0" w:color="auto"/>
      </w:divBdr>
    </w:div>
    <w:div w:id="1350451572">
      <w:bodyDiv w:val="1"/>
      <w:marLeft w:val="0"/>
      <w:marRight w:val="0"/>
      <w:marTop w:val="0"/>
      <w:marBottom w:val="0"/>
      <w:divBdr>
        <w:top w:val="none" w:sz="0" w:space="0" w:color="auto"/>
        <w:left w:val="none" w:sz="0" w:space="0" w:color="auto"/>
        <w:bottom w:val="none" w:sz="0" w:space="0" w:color="auto"/>
        <w:right w:val="none" w:sz="0" w:space="0" w:color="auto"/>
      </w:divBdr>
    </w:div>
    <w:div w:id="1401824885">
      <w:bodyDiv w:val="1"/>
      <w:marLeft w:val="0"/>
      <w:marRight w:val="0"/>
      <w:marTop w:val="0"/>
      <w:marBottom w:val="0"/>
      <w:divBdr>
        <w:top w:val="none" w:sz="0" w:space="0" w:color="auto"/>
        <w:left w:val="none" w:sz="0" w:space="0" w:color="auto"/>
        <w:bottom w:val="none" w:sz="0" w:space="0" w:color="auto"/>
        <w:right w:val="none" w:sz="0" w:space="0" w:color="auto"/>
      </w:divBdr>
    </w:div>
    <w:div w:id="1406294442">
      <w:bodyDiv w:val="1"/>
      <w:marLeft w:val="0"/>
      <w:marRight w:val="0"/>
      <w:marTop w:val="0"/>
      <w:marBottom w:val="0"/>
      <w:divBdr>
        <w:top w:val="none" w:sz="0" w:space="0" w:color="auto"/>
        <w:left w:val="none" w:sz="0" w:space="0" w:color="auto"/>
        <w:bottom w:val="none" w:sz="0" w:space="0" w:color="auto"/>
        <w:right w:val="none" w:sz="0" w:space="0" w:color="auto"/>
      </w:divBdr>
    </w:div>
    <w:div w:id="1435133892">
      <w:bodyDiv w:val="1"/>
      <w:marLeft w:val="0"/>
      <w:marRight w:val="0"/>
      <w:marTop w:val="0"/>
      <w:marBottom w:val="0"/>
      <w:divBdr>
        <w:top w:val="none" w:sz="0" w:space="0" w:color="auto"/>
        <w:left w:val="none" w:sz="0" w:space="0" w:color="auto"/>
        <w:bottom w:val="none" w:sz="0" w:space="0" w:color="auto"/>
        <w:right w:val="none" w:sz="0" w:space="0" w:color="auto"/>
      </w:divBdr>
    </w:div>
    <w:div w:id="1504542075">
      <w:bodyDiv w:val="1"/>
      <w:marLeft w:val="0"/>
      <w:marRight w:val="0"/>
      <w:marTop w:val="0"/>
      <w:marBottom w:val="0"/>
      <w:divBdr>
        <w:top w:val="none" w:sz="0" w:space="0" w:color="auto"/>
        <w:left w:val="none" w:sz="0" w:space="0" w:color="auto"/>
        <w:bottom w:val="none" w:sz="0" w:space="0" w:color="auto"/>
        <w:right w:val="none" w:sz="0" w:space="0" w:color="auto"/>
      </w:divBdr>
    </w:div>
    <w:div w:id="1517118017">
      <w:bodyDiv w:val="1"/>
      <w:marLeft w:val="0"/>
      <w:marRight w:val="0"/>
      <w:marTop w:val="0"/>
      <w:marBottom w:val="0"/>
      <w:divBdr>
        <w:top w:val="none" w:sz="0" w:space="0" w:color="auto"/>
        <w:left w:val="none" w:sz="0" w:space="0" w:color="auto"/>
        <w:bottom w:val="none" w:sz="0" w:space="0" w:color="auto"/>
        <w:right w:val="none" w:sz="0" w:space="0" w:color="auto"/>
      </w:divBdr>
    </w:div>
    <w:div w:id="1562981405">
      <w:bodyDiv w:val="1"/>
      <w:marLeft w:val="0"/>
      <w:marRight w:val="0"/>
      <w:marTop w:val="0"/>
      <w:marBottom w:val="0"/>
      <w:divBdr>
        <w:top w:val="none" w:sz="0" w:space="0" w:color="auto"/>
        <w:left w:val="none" w:sz="0" w:space="0" w:color="auto"/>
        <w:bottom w:val="none" w:sz="0" w:space="0" w:color="auto"/>
        <w:right w:val="none" w:sz="0" w:space="0" w:color="auto"/>
      </w:divBdr>
    </w:div>
    <w:div w:id="1603683370">
      <w:bodyDiv w:val="1"/>
      <w:marLeft w:val="0"/>
      <w:marRight w:val="0"/>
      <w:marTop w:val="0"/>
      <w:marBottom w:val="0"/>
      <w:divBdr>
        <w:top w:val="none" w:sz="0" w:space="0" w:color="auto"/>
        <w:left w:val="none" w:sz="0" w:space="0" w:color="auto"/>
        <w:bottom w:val="none" w:sz="0" w:space="0" w:color="auto"/>
        <w:right w:val="none" w:sz="0" w:space="0" w:color="auto"/>
      </w:divBdr>
    </w:div>
    <w:div w:id="1727753207">
      <w:bodyDiv w:val="1"/>
      <w:marLeft w:val="0"/>
      <w:marRight w:val="0"/>
      <w:marTop w:val="0"/>
      <w:marBottom w:val="0"/>
      <w:divBdr>
        <w:top w:val="none" w:sz="0" w:space="0" w:color="auto"/>
        <w:left w:val="none" w:sz="0" w:space="0" w:color="auto"/>
        <w:bottom w:val="none" w:sz="0" w:space="0" w:color="auto"/>
        <w:right w:val="none" w:sz="0" w:space="0" w:color="auto"/>
      </w:divBdr>
    </w:div>
    <w:div w:id="1755395794">
      <w:bodyDiv w:val="1"/>
      <w:marLeft w:val="0"/>
      <w:marRight w:val="0"/>
      <w:marTop w:val="0"/>
      <w:marBottom w:val="0"/>
      <w:divBdr>
        <w:top w:val="none" w:sz="0" w:space="0" w:color="auto"/>
        <w:left w:val="none" w:sz="0" w:space="0" w:color="auto"/>
        <w:bottom w:val="none" w:sz="0" w:space="0" w:color="auto"/>
        <w:right w:val="none" w:sz="0" w:space="0" w:color="auto"/>
      </w:divBdr>
    </w:div>
    <w:div w:id="1779065348">
      <w:bodyDiv w:val="1"/>
      <w:marLeft w:val="0"/>
      <w:marRight w:val="0"/>
      <w:marTop w:val="0"/>
      <w:marBottom w:val="0"/>
      <w:divBdr>
        <w:top w:val="none" w:sz="0" w:space="0" w:color="auto"/>
        <w:left w:val="none" w:sz="0" w:space="0" w:color="auto"/>
        <w:bottom w:val="none" w:sz="0" w:space="0" w:color="auto"/>
        <w:right w:val="none" w:sz="0" w:space="0" w:color="auto"/>
      </w:divBdr>
    </w:div>
    <w:div w:id="1783574500">
      <w:bodyDiv w:val="1"/>
      <w:marLeft w:val="0"/>
      <w:marRight w:val="0"/>
      <w:marTop w:val="0"/>
      <w:marBottom w:val="0"/>
      <w:divBdr>
        <w:top w:val="none" w:sz="0" w:space="0" w:color="auto"/>
        <w:left w:val="none" w:sz="0" w:space="0" w:color="auto"/>
        <w:bottom w:val="none" w:sz="0" w:space="0" w:color="auto"/>
        <w:right w:val="none" w:sz="0" w:space="0" w:color="auto"/>
      </w:divBdr>
    </w:div>
    <w:div w:id="1817602029">
      <w:bodyDiv w:val="1"/>
      <w:marLeft w:val="0"/>
      <w:marRight w:val="0"/>
      <w:marTop w:val="0"/>
      <w:marBottom w:val="0"/>
      <w:divBdr>
        <w:top w:val="none" w:sz="0" w:space="0" w:color="auto"/>
        <w:left w:val="none" w:sz="0" w:space="0" w:color="auto"/>
        <w:bottom w:val="none" w:sz="0" w:space="0" w:color="auto"/>
        <w:right w:val="none" w:sz="0" w:space="0" w:color="auto"/>
      </w:divBdr>
    </w:div>
    <w:div w:id="185946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Car16</b:Tag>
    <b:SourceType>InternetSite</b:SourceType>
    <b:Guid>{DC6D7CB6-3AE8-4BFF-9816-218CD42EAAF2}</b:Guid>
    <b:Title>Positive and Negative Liberty</b:Title>
    <b:Year>2016</b:Year>
    <b:LCID>en-GB</b:LCID>
    <b:Author>
      <b:Author>
        <b:NameList>
          <b:Person>
            <b:Last>Carter</b:Last>
            <b:First>Ian</b:First>
          </b:Person>
        </b:NameList>
      </b:Author>
    </b:Author>
    <b:InternetSiteTitle>Stanford Encyclopedia of Philosophy</b:InternetSiteTitle>
    <b:Month>August</b:Month>
    <b:Day>2</b:Day>
    <b:URL>https://plato.stanford.edu/entries/liberty-positive-negative/</b:URL>
    <b:YearAccessed>2018</b:YearAccessed>
    <b:MonthAccessed>March</b:MonthAccessed>
    <b:DayAccessed>13</b:DayAccessed>
    <b:RefOrder>4</b:RefOrder>
  </b:Source>
  <b:Source>
    <b:Tag>Coh10</b:Tag>
    <b:SourceType>JournalArticle</b:SourceType>
    <b:Guid>{D11AA473-1134-4B9B-B28D-AF3F9EEB6C42}</b:Guid>
    <b:Author>
      <b:Author>
        <b:NameList>
          <b:Person>
            <b:Last>Cohen</b:Last>
            <b:First>Joshua</b:First>
          </b:Person>
        </b:NameList>
      </b:Author>
    </b:Author>
    <b:Title>Rousseau: A Free Comunity of Equals</b:Title>
    <b:Year>2010</b:Year>
    <b:Month>May</b:Month>
    <b:YearAccessed>2018</b:YearAccessed>
    <b:MonthAccessed>March</b:MonthAccessed>
    <b:DayAccessed>12</b:DayAccessed>
    <b:Medium>Online</b:Medium>
    <b:JournalName>Oxford Press Scholarship Online</b:JournalName>
    <b:URL>http://www.oxfordscholarship.com.ezproxy.uwtsd.ac.uk/view/10.1093/acprof:oso/9780199581498.001.0001/acprof-9780199581498-chapter-2?print=pdf</b:URL>
    <b:RefOrder>5</b:RefOrder>
  </b:Source>
  <b:Source>
    <b:Tag>Ril91</b:Tag>
    <b:SourceType>JournalArticle</b:SourceType>
    <b:Guid>{15E51725-DC49-42F2-B803-4A0CBBBB771E}</b:Guid>
    <b:Title>Rousseau's General Will: Freedom of a Particular Kind</b:Title>
    <b:JournalName>Political Studies</b:JournalName>
    <b:Year>1991</b:Year>
    <b:Pages>55-74</b:Pages>
    <b:Medium>Online</b:Medium>
    <b:Author>
      <b:Author>
        <b:NameList>
          <b:Person>
            <b:Last>Riley</b:Last>
            <b:First>Patrick</b:First>
          </b:Person>
        </b:NameList>
      </b:Author>
    </b:Author>
    <b:City>University of Wisconsin</b:City>
    <b:Volume>39</b:Volume>
    <b:YearAccessed>2018</b:YearAccessed>
    <b:MonthAccessed>March</b:MonthAccessed>
    <b:DayAccessed>12</b:DayAccessed>
    <b:URL>http://web.a.ebscohost.com.ezproxy.uwtsd.ac.uk/ehost/pdfviewer/pdfviewer?vid=1&amp;sid=d61d5fdc-8f4a-4ddd-8e82-3b5347ef1143%40sessionmgr4006</b:URL>
    <b:RefOrder>6</b:RefOrder>
  </b:Source>
  <b:Source>
    <b:Tag>Mil69</b:Tag>
    <b:SourceType>Book</b:SourceType>
    <b:Guid>{1C1F8B64-1391-40EA-ADFA-51894A4D1BA2}</b:Guid>
    <b:Title>On Liberty</b:Title>
    <b:Year>1869</b:Year>
    <b:Author>
      <b:Author>
        <b:NameList>
          <b:Person>
            <b:Last>Mill</b:Last>
            <b:First>John</b:First>
            <b:Middle>Stuart</b:Middle>
          </b:Person>
        </b:NameList>
      </b:Author>
    </b:Author>
    <b:City>London</b:City>
    <b:Publisher>Longmans, Green, Reader, and Dyer</b:Publisher>
    <b:Edition>4th</b:Edition>
    <b:RefOrder>1</b:RefOrder>
  </b:Source>
  <b:Source>
    <b:Tag>Ber17</b:Tag>
    <b:SourceType>InternetSite</b:SourceType>
    <b:Guid>{C3D5662C-841F-41B0-A645-258F1C647C0F}</b:Guid>
    <b:Title>Jean Jacques Rousseau</b:Title>
    <b:Year>2017</b:Year>
    <b:Medium>Online</b:Medium>
    <b:InternetSiteTitle>Stanford Encyclopedia of Philosophy</b:InternetSiteTitle>
    <b:Month>May</b:Month>
    <b:Day>26</b:Day>
    <b:YearAccessed>2018</b:YearAccessed>
    <b:MonthAccessed>March</b:MonthAccessed>
    <b:DayAccessed>18</b:DayAccessed>
    <b:URL>https://plato.stanford.edu/entries/rousseau/</b:URL>
    <b:Author>
      <b:Author>
        <b:NameList>
          <b:Person>
            <b:Last>Bertram</b:Last>
            <b:First>Christopher</b:First>
          </b:Person>
        </b:NameList>
      </b:Author>
    </b:Author>
    <b:RefOrder>2</b:RefOrder>
  </b:Source>
  <b:Source>
    <b:Tag>Rou62</b:Tag>
    <b:SourceType>ElectronicSource</b:SourceType>
    <b:Guid>{02BA154D-52B7-4C43-A58D-236A7D8422F3}</b:Guid>
    <b:Title>The Social Contract</b:Title>
    <b:Year>1762</b:Year>
    <b:YearAccessed>2018</b:YearAccessed>
    <b:MonthAccessed>March</b:MonthAccessed>
    <b:DayAccessed>18</b:DayAccessed>
    <b:Medium>Online</b:Medium>
    <b:Author>
      <b:Author>
        <b:NameList>
          <b:Person>
            <b:Last>Rousseau</b:Last>
            <b:First>Jean-Jacques</b:First>
          </b:Person>
        </b:NameList>
      </b:Author>
      <b:Editor>
        <b:NameList>
          <b:Person>
            <b:Last>Bennett</b:Last>
            <b:First>Jonathan</b:First>
          </b:Person>
        </b:NameList>
      </b:Editor>
    </b:Author>
    <b:ProductionCompany>Early Modern Texts</b:ProductionCompany>
    <b:URL>http://www.earlymoderntexts.com/assets/pdfs/rousseau1762.pdf</b:URL>
    <b:RefOrder>3</b:RefOrder>
  </b:Source>
</b:Sources>
</file>

<file path=customXml/itemProps1.xml><?xml version="1.0" encoding="utf-8"?>
<ds:datastoreItem xmlns:ds="http://schemas.openxmlformats.org/officeDocument/2006/customXml" ds:itemID="{FDB8A750-4196-453C-9EE5-3090B2301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1268</TotalTime>
  <Pages>3</Pages>
  <Words>1151</Words>
  <Characters>6562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52</cp:revision>
  <dcterms:created xsi:type="dcterms:W3CDTF">2018-03-11T17:57:00Z</dcterms:created>
  <dcterms:modified xsi:type="dcterms:W3CDTF">2018-03-19T18:45:00Z</dcterms:modified>
</cp:coreProperties>
</file>