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1D8645" w14:textId="1D85D8D8" w:rsidR="00F2509A" w:rsidRDefault="00F2509A" w:rsidP="00F2509A">
      <w:pPr>
        <w:pStyle w:val="Body"/>
        <w:spacing w:line="240" w:lineRule="auto"/>
        <w:jc w:val="center"/>
        <w:rPr>
          <w:rFonts w:ascii="Calibri" w:hAnsi="Calibri" w:cs="Calibri"/>
          <w:b/>
          <w:bCs/>
          <w:color w:val="auto"/>
          <w:sz w:val="24"/>
          <w:szCs w:val="24"/>
          <w:u w:color="004147"/>
        </w:rPr>
      </w:pPr>
      <w:r w:rsidRPr="00F2509A">
        <w:rPr>
          <w:rFonts w:ascii="Calibri" w:hAnsi="Calibri" w:cs="Calibri"/>
          <w:b/>
          <w:bCs/>
          <w:color w:val="auto"/>
          <w:sz w:val="24"/>
          <w:szCs w:val="24"/>
          <w:u w:color="004147"/>
        </w:rPr>
        <w:t>CIPD_5OS01_24_01</w:t>
      </w:r>
    </w:p>
    <w:p w14:paraId="0276E7B7" w14:textId="4A77B318" w:rsidR="00F2509A" w:rsidRDefault="00F2509A" w:rsidP="00F2509A">
      <w:pPr>
        <w:pStyle w:val="Body"/>
        <w:spacing w:line="240" w:lineRule="auto"/>
        <w:jc w:val="center"/>
        <w:rPr>
          <w:rFonts w:ascii="Calibri" w:hAnsi="Calibri" w:cs="Calibri"/>
          <w:b/>
          <w:bCs/>
          <w:color w:val="auto"/>
          <w:sz w:val="24"/>
          <w:szCs w:val="24"/>
          <w:u w:color="004147"/>
          <w:lang w:val="en-US"/>
        </w:rPr>
      </w:pPr>
      <w:r>
        <w:rPr>
          <w:rFonts w:ascii="Calibri" w:hAnsi="Calibri" w:cs="Calibri"/>
          <w:b/>
          <w:bCs/>
          <w:color w:val="auto"/>
          <w:sz w:val="24"/>
          <w:szCs w:val="24"/>
          <w:u w:color="004147"/>
        </w:rPr>
        <w:t>Chloe Gardner 2325620</w:t>
      </w:r>
    </w:p>
    <w:p w14:paraId="23767797" w14:textId="1EDCFE89" w:rsidR="00F2509A" w:rsidRDefault="00F2509A" w:rsidP="00F2509A">
      <w:pPr>
        <w:pStyle w:val="Body"/>
        <w:spacing w:line="240" w:lineRule="auto"/>
        <w:jc w:val="center"/>
        <w:rPr>
          <w:rFonts w:ascii="Calibri" w:hAnsi="Calibri" w:cs="Calibri"/>
          <w:b/>
          <w:bCs/>
          <w:color w:val="auto"/>
          <w:sz w:val="24"/>
          <w:szCs w:val="24"/>
          <w:u w:color="004147"/>
          <w:lang w:val="en-US"/>
        </w:rPr>
      </w:pPr>
      <w:r>
        <w:rPr>
          <w:rFonts w:ascii="Calibri" w:hAnsi="Calibri" w:cs="Calibri"/>
          <w:b/>
          <w:bCs/>
          <w:color w:val="auto"/>
          <w:sz w:val="24"/>
          <w:szCs w:val="24"/>
          <w:u w:color="004147"/>
          <w:lang w:val="en-US"/>
        </w:rPr>
        <w:t>3929 words</w:t>
      </w:r>
    </w:p>
    <w:p w14:paraId="505EB259" w14:textId="77777777" w:rsidR="00F2509A" w:rsidRDefault="00F2509A" w:rsidP="00C258D8">
      <w:pPr>
        <w:pStyle w:val="Body"/>
        <w:spacing w:line="240" w:lineRule="auto"/>
        <w:rPr>
          <w:rFonts w:ascii="Calibri" w:hAnsi="Calibri" w:cs="Calibri"/>
          <w:b/>
          <w:bCs/>
          <w:color w:val="auto"/>
          <w:sz w:val="24"/>
          <w:szCs w:val="24"/>
          <w:u w:color="004147"/>
          <w:lang w:val="en-US"/>
        </w:rPr>
      </w:pPr>
    </w:p>
    <w:p w14:paraId="48902C59" w14:textId="12D6AAAF" w:rsidR="00C501C2" w:rsidRPr="00694197" w:rsidRDefault="00C501C2" w:rsidP="00C258D8">
      <w:pPr>
        <w:pStyle w:val="Body"/>
        <w:spacing w:line="240" w:lineRule="auto"/>
        <w:rPr>
          <w:rFonts w:ascii="Calibri" w:eastAsia="Trebuchet MS" w:hAnsi="Calibri" w:cs="Calibri"/>
          <w:b/>
          <w:bCs/>
          <w:color w:val="auto"/>
          <w:sz w:val="24"/>
          <w:szCs w:val="24"/>
          <w:u w:color="004147"/>
        </w:rPr>
      </w:pPr>
      <w:r w:rsidRPr="00694197">
        <w:rPr>
          <w:rFonts w:ascii="Calibri" w:hAnsi="Calibri" w:cs="Calibri"/>
          <w:b/>
          <w:bCs/>
          <w:color w:val="auto"/>
          <w:sz w:val="24"/>
          <w:szCs w:val="24"/>
          <w:u w:color="004147"/>
          <w:lang w:val="en-US"/>
        </w:rPr>
        <w:t>Email 1 (AC 1.1)</w:t>
      </w:r>
    </w:p>
    <w:p w14:paraId="4683D112" w14:textId="77777777" w:rsidR="00C501C2" w:rsidRDefault="00C501C2" w:rsidP="00C258D8">
      <w:pPr>
        <w:pStyle w:val="Body"/>
        <w:spacing w:line="240" w:lineRule="auto"/>
        <w:rPr>
          <w:rFonts w:ascii="Calibri" w:eastAsia="Trebuchet MS" w:hAnsi="Calibri" w:cs="Calibri"/>
          <w:b/>
          <w:bCs/>
        </w:rPr>
      </w:pPr>
    </w:p>
    <w:p w14:paraId="3F8FB672" w14:textId="2636377A" w:rsidR="00A753D6" w:rsidRDefault="00CE4B18" w:rsidP="00C258D8">
      <w:pPr>
        <w:pStyle w:val="Body"/>
        <w:spacing w:line="240" w:lineRule="auto"/>
        <w:rPr>
          <w:rFonts w:ascii="Calibri" w:eastAsia="Trebuchet MS" w:hAnsi="Calibri" w:cs="Calibri"/>
        </w:rPr>
      </w:pPr>
      <w:r w:rsidRPr="00CE4B18">
        <w:rPr>
          <w:rFonts w:ascii="Calibri" w:eastAsia="Trebuchet MS" w:hAnsi="Calibri" w:cs="Calibri"/>
        </w:rPr>
        <w:t>Employment law</w:t>
      </w:r>
      <w:r>
        <w:rPr>
          <w:rFonts w:ascii="Calibri" w:eastAsia="Trebuchet MS" w:hAnsi="Calibri" w:cs="Calibri"/>
        </w:rPr>
        <w:t xml:space="preserve"> and regulations are a set of civil law rules, which are designed to monitor how employees are treated by their employers (Daniels &amp; CIPD, 2024). Employment law can be impacted by many factors, including which political party is in power (evident when exploring recent parties and coinciding new </w:t>
      </w:r>
      <w:r w:rsidR="00970881">
        <w:rPr>
          <w:rFonts w:ascii="Calibri" w:eastAsia="Trebuchet MS" w:hAnsi="Calibri" w:cs="Calibri"/>
        </w:rPr>
        <w:t>regulations</w:t>
      </w:r>
      <w:r>
        <w:rPr>
          <w:rFonts w:ascii="Calibri" w:eastAsia="Trebuchet MS" w:hAnsi="Calibri" w:cs="Calibri"/>
        </w:rPr>
        <w:t>) (Daniels &amp; CIPD, 2024). Occasionally, unplanned regulations are implemented as a result of unexpected external factors, for example the Covid-19 outbreak.</w:t>
      </w:r>
    </w:p>
    <w:p w14:paraId="16C05718" w14:textId="5023020A" w:rsidR="00D90B0E" w:rsidRDefault="00D90B0E" w:rsidP="00C258D8">
      <w:pPr>
        <w:pStyle w:val="Body"/>
        <w:spacing w:line="240" w:lineRule="auto"/>
        <w:rPr>
          <w:rFonts w:ascii="Calibri" w:eastAsia="Trebuchet MS" w:hAnsi="Calibri" w:cs="Calibri"/>
        </w:rPr>
      </w:pPr>
    </w:p>
    <w:p w14:paraId="556A5922" w14:textId="1A6C6309" w:rsidR="00D90B0E" w:rsidRDefault="00D90B0E" w:rsidP="00C258D8">
      <w:pPr>
        <w:pStyle w:val="Body"/>
        <w:spacing w:line="240" w:lineRule="auto"/>
        <w:rPr>
          <w:rFonts w:ascii="Calibri" w:eastAsia="Trebuchet MS" w:hAnsi="Calibri" w:cs="Calibri"/>
        </w:rPr>
      </w:pPr>
      <w:r>
        <w:rPr>
          <w:rFonts w:ascii="Calibri" w:eastAsia="Trebuchet MS" w:hAnsi="Calibri" w:cs="Calibri"/>
        </w:rPr>
        <w:t>Although a lack of regulations within employment does not necessarily mean poor practice and treatment of employees is inevitable, Daniels and the CIPD (2024</w:t>
      </w:r>
      <w:r w:rsidR="00E9659B">
        <w:rPr>
          <w:rFonts w:ascii="Calibri" w:eastAsia="Trebuchet MS" w:hAnsi="Calibri" w:cs="Calibri"/>
        </w:rPr>
        <w:t>a</w:t>
      </w:r>
      <w:r>
        <w:rPr>
          <w:rFonts w:ascii="Calibri" w:eastAsia="Trebuchet MS" w:hAnsi="Calibri" w:cs="Calibri"/>
        </w:rPr>
        <w:t>) suggest comparing it to a society without law. Although crime is not caused by a lack of law, the consequences implemented by law are likely to discourage crime and protect those who could be harmed by it.</w:t>
      </w:r>
      <w:r w:rsidR="00306032">
        <w:rPr>
          <w:rFonts w:ascii="Calibri" w:eastAsia="Trebuchet MS" w:hAnsi="Calibri" w:cs="Calibri"/>
        </w:rPr>
        <w:t xml:space="preserve"> However, where this may not apply is in sectors where workers are predominantly younger people (such as hospitality and retail), as employees in these roles are often less aware of employment regulations. The employer/management are often aware of this and may use it to their advantage when making decisions (Ioannou &amp; Dukes, 2021).</w:t>
      </w:r>
    </w:p>
    <w:p w14:paraId="2F91E1CA" w14:textId="77777777" w:rsidR="00D90B0E" w:rsidRDefault="00D90B0E" w:rsidP="00C258D8">
      <w:pPr>
        <w:pStyle w:val="Body"/>
        <w:spacing w:line="240" w:lineRule="auto"/>
        <w:rPr>
          <w:rFonts w:ascii="Calibri" w:eastAsia="Trebuchet MS" w:hAnsi="Calibri" w:cs="Calibri"/>
        </w:rPr>
      </w:pPr>
    </w:p>
    <w:p w14:paraId="49EC804E" w14:textId="30EE5C04" w:rsidR="00D90B0E" w:rsidRDefault="00D90B0E" w:rsidP="00C258D8">
      <w:pPr>
        <w:pStyle w:val="Body"/>
        <w:spacing w:line="240" w:lineRule="auto"/>
        <w:rPr>
          <w:rFonts w:ascii="Calibri" w:eastAsia="Trebuchet MS" w:hAnsi="Calibri" w:cs="Calibri"/>
        </w:rPr>
      </w:pPr>
      <w:r>
        <w:rPr>
          <w:rFonts w:ascii="Calibri" w:eastAsia="Trebuchet MS" w:hAnsi="Calibri" w:cs="Calibri"/>
        </w:rPr>
        <w:t xml:space="preserve">There are several objectives of employment law and several things that the regulations aim to protect, including: the rights of workers; how workers are treated; how safe workers are (both physically and mentally); and equality, diversity and inclusion in the workplace (The HR Consultants, 2024). </w:t>
      </w:r>
    </w:p>
    <w:p w14:paraId="77D9E982" w14:textId="77777777" w:rsidR="00D90B0E" w:rsidRDefault="00D90B0E" w:rsidP="00C258D8">
      <w:pPr>
        <w:pStyle w:val="Body"/>
        <w:spacing w:line="240" w:lineRule="auto"/>
        <w:rPr>
          <w:rFonts w:ascii="Calibri" w:eastAsia="Trebuchet MS" w:hAnsi="Calibri" w:cs="Calibri"/>
        </w:rPr>
      </w:pPr>
    </w:p>
    <w:p w14:paraId="49F87050" w14:textId="0A4D32C6" w:rsidR="00C501C2" w:rsidRDefault="00D90B0E" w:rsidP="0024680A">
      <w:pPr>
        <w:pStyle w:val="Body"/>
        <w:spacing w:line="240" w:lineRule="auto"/>
        <w:rPr>
          <w:rFonts w:ascii="Calibri" w:eastAsia="Trebuchet MS" w:hAnsi="Calibri" w:cs="Calibri"/>
        </w:rPr>
      </w:pPr>
      <w:r>
        <w:rPr>
          <w:rFonts w:ascii="Calibri" w:eastAsia="Trebuchet MS" w:hAnsi="Calibri" w:cs="Calibri"/>
        </w:rPr>
        <w:t xml:space="preserve">Depending on the factors mentioned earlier, a number of new and old regulations are used to meet the above aims. For </w:t>
      </w:r>
      <w:r w:rsidR="00970881">
        <w:rPr>
          <w:rFonts w:ascii="Calibri" w:eastAsia="Trebuchet MS" w:hAnsi="Calibri" w:cs="Calibri"/>
        </w:rPr>
        <w:t>example, a</w:t>
      </w:r>
      <w:r w:rsidR="00514D40">
        <w:rPr>
          <w:rFonts w:ascii="Calibri" w:eastAsia="Trebuchet MS" w:hAnsi="Calibri" w:cs="Calibri"/>
        </w:rPr>
        <w:t xml:space="preserve"> recent change to employment law saw the introduction of certain rights for employees from the first day of employment, rather than them having to have a length of continuous service. For example, new starters are now able to submit flexible working requests from day one, as well </w:t>
      </w:r>
      <w:r w:rsidR="00541FE7">
        <w:rPr>
          <w:rFonts w:ascii="Calibri" w:eastAsia="Trebuchet MS" w:hAnsi="Calibri" w:cs="Calibri"/>
        </w:rPr>
        <w:t>file unfair dismissal claims</w:t>
      </w:r>
      <w:r w:rsidR="00514D40">
        <w:rPr>
          <w:rFonts w:ascii="Calibri" w:eastAsia="Trebuchet MS" w:hAnsi="Calibri" w:cs="Calibri"/>
        </w:rPr>
        <w:t xml:space="preserve"> (PM </w:t>
      </w:r>
      <w:r w:rsidR="00D845F0">
        <w:rPr>
          <w:rFonts w:ascii="Calibri" w:eastAsia="Trebuchet MS" w:hAnsi="Calibri" w:cs="Calibri"/>
        </w:rPr>
        <w:t>Editorial</w:t>
      </w:r>
      <w:r w:rsidR="00514D40">
        <w:rPr>
          <w:rFonts w:ascii="Calibri" w:eastAsia="Trebuchet MS" w:hAnsi="Calibri" w:cs="Calibri"/>
        </w:rPr>
        <w:t>, 2025).</w:t>
      </w:r>
      <w:r w:rsidR="00492734">
        <w:rPr>
          <w:rFonts w:ascii="Calibri" w:eastAsia="Trebuchet MS" w:hAnsi="Calibri" w:cs="Calibri"/>
        </w:rPr>
        <w:t xml:space="preserve"> </w:t>
      </w:r>
      <w:r w:rsidR="00541FE7">
        <w:rPr>
          <w:rFonts w:ascii="Calibri" w:eastAsia="Trebuchet MS" w:hAnsi="Calibri" w:cs="Calibri"/>
        </w:rPr>
        <w:t xml:space="preserve">This implementation has meant that the rights of all employees are promoted and protected, regardless of how long they have worked for an employer. </w:t>
      </w:r>
      <w:r w:rsidR="00BE74F5">
        <w:rPr>
          <w:rFonts w:ascii="Calibri" w:eastAsia="Trebuchet MS" w:hAnsi="Calibri" w:cs="Calibri"/>
        </w:rPr>
        <w:t>One possible risk</w:t>
      </w:r>
      <w:r w:rsidR="00541FE7">
        <w:rPr>
          <w:rFonts w:ascii="Calibri" w:eastAsia="Trebuchet MS" w:hAnsi="Calibri" w:cs="Calibri"/>
        </w:rPr>
        <w:t xml:space="preserve"> with this change is of individuals taking </w:t>
      </w:r>
      <w:r w:rsidR="00BE74F5">
        <w:rPr>
          <w:rFonts w:ascii="Calibri" w:eastAsia="Trebuchet MS" w:hAnsi="Calibri" w:cs="Calibri"/>
        </w:rPr>
        <w:t>advantage of organisations to claim compensation through claims, however this is rare. On the other hand, the day one rights are likely to encourage employers to embed higher quality processes throughout recruitment and induction. It’s no longer as simple as dismissing new employees who aren’t doing the best job, therefore employers should take more care in who they are hiring and how they are training them (Menzies Law, 2024).</w:t>
      </w:r>
    </w:p>
    <w:p w14:paraId="3073B2B9" w14:textId="77777777" w:rsidR="00B227B7" w:rsidRDefault="00B227B7" w:rsidP="00C258D8">
      <w:pPr>
        <w:pStyle w:val="Body"/>
        <w:spacing w:line="240" w:lineRule="auto"/>
        <w:rPr>
          <w:rFonts w:ascii="Calibri" w:eastAsia="Trebuchet MS" w:hAnsi="Calibri" w:cs="Calibri"/>
        </w:rPr>
      </w:pPr>
    </w:p>
    <w:p w14:paraId="568EC7EE" w14:textId="4D399D96" w:rsidR="00B227B7" w:rsidRPr="002C036E" w:rsidRDefault="002C036E" w:rsidP="00C258D8">
      <w:pPr>
        <w:pStyle w:val="Body"/>
        <w:spacing w:line="240" w:lineRule="auto"/>
        <w:rPr>
          <w:rFonts w:ascii="Calibri" w:eastAsia="Trebuchet MS" w:hAnsi="Calibri" w:cs="Calibri"/>
        </w:rPr>
      </w:pPr>
      <w:r w:rsidRPr="002C036E">
        <w:rPr>
          <w:rFonts w:ascii="Calibri" w:eastAsia="Trebuchet MS" w:hAnsi="Calibri" w:cs="Calibri"/>
        </w:rPr>
        <w:t>Employment regulations</w:t>
      </w:r>
      <w:r>
        <w:rPr>
          <w:rFonts w:ascii="Calibri" w:eastAsia="Trebuchet MS" w:hAnsi="Calibri" w:cs="Calibri"/>
        </w:rPr>
        <w:t xml:space="preserve"> </w:t>
      </w:r>
      <w:r w:rsidR="002E3F81">
        <w:rPr>
          <w:rFonts w:ascii="Calibri" w:eastAsia="Trebuchet MS" w:hAnsi="Calibri" w:cs="Calibri"/>
        </w:rPr>
        <w:t xml:space="preserve">also ensure employees are treated fairly, for example through the </w:t>
      </w:r>
      <w:r w:rsidR="00226633">
        <w:rPr>
          <w:rFonts w:ascii="Calibri" w:eastAsia="Trebuchet MS" w:hAnsi="Calibri" w:cs="Calibri"/>
        </w:rPr>
        <w:t xml:space="preserve">monitoring of wages, including the </w:t>
      </w:r>
      <w:r w:rsidR="00B07BED">
        <w:rPr>
          <w:rFonts w:ascii="Calibri" w:eastAsia="Trebuchet MS" w:hAnsi="Calibri" w:cs="Calibri"/>
        </w:rPr>
        <w:t>real</w:t>
      </w:r>
      <w:r w:rsidR="00226633">
        <w:rPr>
          <w:rFonts w:ascii="Calibri" w:eastAsia="Trebuchet MS" w:hAnsi="Calibri" w:cs="Calibri"/>
        </w:rPr>
        <w:t xml:space="preserve"> living wage (which has recently been increased). The </w:t>
      </w:r>
      <w:r w:rsidR="00B07BED">
        <w:rPr>
          <w:rFonts w:ascii="Calibri" w:eastAsia="Trebuchet MS" w:hAnsi="Calibri" w:cs="Calibri"/>
        </w:rPr>
        <w:t>real</w:t>
      </w:r>
      <w:r w:rsidR="00226633">
        <w:rPr>
          <w:rFonts w:ascii="Calibri" w:eastAsia="Trebuchet MS" w:hAnsi="Calibri" w:cs="Calibri"/>
        </w:rPr>
        <w:t xml:space="preserve"> living wage is a minimum hourly rate based on cost of living, which therefore ensures that working people in the UK are able to afford everyday essentials with their wages</w:t>
      </w:r>
      <w:r w:rsidR="00B07BED">
        <w:rPr>
          <w:rFonts w:ascii="Calibri" w:eastAsia="Trebuchet MS" w:hAnsi="Calibri" w:cs="Calibri"/>
        </w:rPr>
        <w:t xml:space="preserve"> (Living Wage Foundation, n.d.)</w:t>
      </w:r>
      <w:r w:rsidR="00226633">
        <w:rPr>
          <w:rFonts w:ascii="Calibri" w:eastAsia="Trebuchet MS" w:hAnsi="Calibri" w:cs="Calibri"/>
        </w:rPr>
        <w:t>.</w:t>
      </w:r>
    </w:p>
    <w:p w14:paraId="708B1037" w14:textId="77777777" w:rsidR="00553981" w:rsidRPr="00221EEE" w:rsidRDefault="00553981" w:rsidP="00C258D8">
      <w:pPr>
        <w:pStyle w:val="Body"/>
        <w:spacing w:line="240" w:lineRule="auto"/>
        <w:rPr>
          <w:rFonts w:ascii="Calibri" w:eastAsia="Trebuchet MS" w:hAnsi="Calibri" w:cs="Calibri"/>
          <w:b/>
          <w:bCs/>
        </w:rPr>
      </w:pPr>
    </w:p>
    <w:p w14:paraId="5AF97F8F" w14:textId="77777777" w:rsidR="00C501C2" w:rsidRPr="00694197" w:rsidRDefault="00C501C2" w:rsidP="00C258D8">
      <w:pPr>
        <w:pStyle w:val="Body"/>
        <w:spacing w:line="240" w:lineRule="auto"/>
        <w:rPr>
          <w:rFonts w:ascii="Calibri" w:eastAsia="Trebuchet MS" w:hAnsi="Calibri" w:cs="Calibri"/>
          <w:b/>
          <w:bCs/>
          <w:color w:val="auto"/>
          <w:sz w:val="24"/>
          <w:szCs w:val="24"/>
          <w:u w:color="004147"/>
        </w:rPr>
      </w:pPr>
      <w:r w:rsidRPr="00694197">
        <w:rPr>
          <w:rFonts w:ascii="Calibri" w:hAnsi="Calibri" w:cs="Calibri"/>
          <w:b/>
          <w:bCs/>
          <w:color w:val="auto"/>
          <w:sz w:val="24"/>
          <w:szCs w:val="24"/>
          <w:u w:color="004147"/>
          <w:lang w:val="en-US"/>
        </w:rPr>
        <w:t>Email 2 (AC 1.2)</w:t>
      </w:r>
    </w:p>
    <w:p w14:paraId="4F9FA23D" w14:textId="77777777" w:rsidR="00C501C2" w:rsidRDefault="00C501C2" w:rsidP="00C258D8">
      <w:pPr>
        <w:pStyle w:val="Body"/>
        <w:spacing w:line="240" w:lineRule="auto"/>
        <w:rPr>
          <w:rFonts w:ascii="Calibri" w:eastAsia="Trebuchet MS" w:hAnsi="Calibri" w:cs="Calibri"/>
          <w:b/>
          <w:bCs/>
        </w:rPr>
      </w:pPr>
    </w:p>
    <w:p w14:paraId="5429090F" w14:textId="6E126124" w:rsidR="0024680A" w:rsidRPr="0024680A" w:rsidRDefault="0024680A" w:rsidP="00C258D8">
      <w:pPr>
        <w:pStyle w:val="Body"/>
        <w:spacing w:line="240" w:lineRule="auto"/>
        <w:rPr>
          <w:rFonts w:ascii="Calibri" w:eastAsia="Trebuchet MS" w:hAnsi="Calibri" w:cs="Calibri"/>
        </w:rPr>
      </w:pPr>
      <w:r>
        <w:rPr>
          <w:rFonts w:ascii="Calibri" w:eastAsia="Trebuchet MS" w:hAnsi="Calibri" w:cs="Calibri"/>
        </w:rPr>
        <w:t xml:space="preserve">Prior to Brexit in 2020, </w:t>
      </w:r>
      <w:r w:rsidR="00ED4919">
        <w:rPr>
          <w:rFonts w:ascii="Calibri" w:eastAsia="Trebuchet MS" w:hAnsi="Calibri" w:cs="Calibri"/>
        </w:rPr>
        <w:t>courts in the UK were required to adhere to the rulings of the European Court of Justice (ECJ), as it had ‘supreme status’ over the UK’s Supreme Court (UKSC) (CIPD, no date</w:t>
      </w:r>
      <w:r w:rsidR="00DD0AF4">
        <w:rPr>
          <w:rFonts w:ascii="Calibri" w:eastAsia="Trebuchet MS" w:hAnsi="Calibri" w:cs="Calibri"/>
        </w:rPr>
        <w:t xml:space="preserve"> a</w:t>
      </w:r>
      <w:r w:rsidR="00ED4919">
        <w:rPr>
          <w:rFonts w:ascii="Calibri" w:eastAsia="Trebuchet MS" w:hAnsi="Calibri" w:cs="Calibri"/>
        </w:rPr>
        <w:t>).</w:t>
      </w:r>
      <w:r w:rsidR="003B0578">
        <w:rPr>
          <w:rFonts w:ascii="Calibri" w:eastAsia="Trebuchet MS" w:hAnsi="Calibri" w:cs="Calibri"/>
        </w:rPr>
        <w:t xml:space="preserve"> </w:t>
      </w:r>
      <w:r w:rsidR="002473F6">
        <w:rPr>
          <w:rFonts w:ascii="Calibri" w:eastAsia="Trebuchet MS" w:hAnsi="Calibri" w:cs="Calibri"/>
        </w:rPr>
        <w:t xml:space="preserve">This meant that the ECJ had the final say on matters relating to EU law. The purpose of ECJ rulings was to </w:t>
      </w:r>
      <w:r w:rsidR="002473F6">
        <w:rPr>
          <w:rFonts w:ascii="Calibri" w:eastAsia="Trebuchet MS" w:hAnsi="Calibri" w:cs="Calibri"/>
        </w:rPr>
        <w:lastRenderedPageBreak/>
        <w:t xml:space="preserve">ensure consistent </w:t>
      </w:r>
      <w:r w:rsidR="00AD472A">
        <w:rPr>
          <w:rFonts w:ascii="Calibri" w:eastAsia="Trebuchet MS" w:hAnsi="Calibri" w:cs="Calibri"/>
        </w:rPr>
        <w:t>implementation of law across the EU.</w:t>
      </w:r>
      <w:r w:rsidR="002473F6">
        <w:rPr>
          <w:rFonts w:ascii="Calibri" w:eastAsia="Trebuchet MS" w:hAnsi="Calibri" w:cs="Calibri"/>
        </w:rPr>
        <w:t xml:space="preserve"> </w:t>
      </w:r>
      <w:r w:rsidR="003B0578">
        <w:rPr>
          <w:rFonts w:ascii="Calibri" w:eastAsia="Trebuchet MS" w:hAnsi="Calibri" w:cs="Calibri"/>
        </w:rPr>
        <w:t>Brexit saw the UK leaving the EU in January 2020, which was finalised at the end of the transition period in December 2020.</w:t>
      </w:r>
    </w:p>
    <w:p w14:paraId="446EEB52" w14:textId="77777777" w:rsidR="0024680A" w:rsidRDefault="0024680A" w:rsidP="00C258D8">
      <w:pPr>
        <w:pStyle w:val="Body"/>
        <w:spacing w:line="240" w:lineRule="auto"/>
        <w:rPr>
          <w:rFonts w:ascii="Calibri" w:eastAsia="Trebuchet MS" w:hAnsi="Calibri" w:cs="Calibri"/>
          <w:b/>
          <w:bCs/>
        </w:rPr>
      </w:pPr>
    </w:p>
    <w:p w14:paraId="44F7833A" w14:textId="0811BE71" w:rsidR="00B415E0" w:rsidRDefault="00B415E0" w:rsidP="00C258D8">
      <w:pPr>
        <w:pStyle w:val="Body"/>
        <w:spacing w:line="240" w:lineRule="auto"/>
        <w:rPr>
          <w:rFonts w:ascii="Calibri" w:eastAsia="Trebuchet MS" w:hAnsi="Calibri" w:cs="Calibri"/>
        </w:rPr>
      </w:pPr>
      <w:r>
        <w:rPr>
          <w:rFonts w:ascii="Calibri" w:eastAsia="Trebuchet MS" w:hAnsi="Calibri" w:cs="Calibri"/>
        </w:rPr>
        <w:t xml:space="preserve">Since leaving the EU, the UK still retain any </w:t>
      </w:r>
      <w:r w:rsidR="007D438F">
        <w:rPr>
          <w:rFonts w:ascii="Calibri" w:eastAsia="Trebuchet MS" w:hAnsi="Calibri" w:cs="Calibri"/>
        </w:rPr>
        <w:t>pre</w:t>
      </w:r>
      <w:r>
        <w:rPr>
          <w:rFonts w:ascii="Calibri" w:eastAsia="Trebuchet MS" w:hAnsi="Calibri" w:cs="Calibri"/>
        </w:rPr>
        <w:t>-Brexit rulings of the ECJ. UK courts must therefore still adhere to these rulings, unless they are overruled by the UKSC</w:t>
      </w:r>
      <w:r w:rsidR="00B53F42">
        <w:rPr>
          <w:rFonts w:ascii="Calibri" w:eastAsia="Trebuchet MS" w:hAnsi="Calibri" w:cs="Calibri"/>
        </w:rPr>
        <w:t xml:space="preserve"> (CIPD, no date</w:t>
      </w:r>
      <w:r w:rsidR="00DD0AF4">
        <w:rPr>
          <w:rFonts w:ascii="Calibri" w:eastAsia="Trebuchet MS" w:hAnsi="Calibri" w:cs="Calibri"/>
        </w:rPr>
        <w:t xml:space="preserve"> a</w:t>
      </w:r>
      <w:r w:rsidR="00B53F42">
        <w:rPr>
          <w:rFonts w:ascii="Calibri" w:eastAsia="Trebuchet MS" w:hAnsi="Calibri" w:cs="Calibri"/>
        </w:rPr>
        <w:t>)</w:t>
      </w:r>
      <w:r>
        <w:rPr>
          <w:rFonts w:ascii="Calibri" w:eastAsia="Trebuchet MS" w:hAnsi="Calibri" w:cs="Calibri"/>
        </w:rPr>
        <w:t xml:space="preserve">. This ensures that the UK is still applying best practice legal principles in </w:t>
      </w:r>
      <w:r w:rsidR="00977197">
        <w:rPr>
          <w:rFonts w:ascii="Calibri" w:eastAsia="Trebuchet MS" w:hAnsi="Calibri" w:cs="Calibri"/>
        </w:rPr>
        <w:t xml:space="preserve">key </w:t>
      </w:r>
      <w:r>
        <w:rPr>
          <w:rFonts w:ascii="Calibri" w:eastAsia="Trebuchet MS" w:hAnsi="Calibri" w:cs="Calibri"/>
        </w:rPr>
        <w:t>areas such employment rights</w:t>
      </w:r>
      <w:r w:rsidR="00AD472A">
        <w:rPr>
          <w:rFonts w:ascii="Calibri" w:eastAsia="Trebuchet MS" w:hAnsi="Calibri" w:cs="Calibri"/>
        </w:rPr>
        <w:t>, which were heavily influenced by EU law.</w:t>
      </w:r>
    </w:p>
    <w:p w14:paraId="716C37B7" w14:textId="77777777" w:rsidR="00B415E0" w:rsidRDefault="00B415E0" w:rsidP="00C258D8">
      <w:pPr>
        <w:pStyle w:val="Body"/>
        <w:spacing w:line="240" w:lineRule="auto"/>
        <w:rPr>
          <w:rFonts w:ascii="Calibri" w:eastAsia="Trebuchet MS" w:hAnsi="Calibri" w:cs="Calibri"/>
        </w:rPr>
      </w:pPr>
    </w:p>
    <w:p w14:paraId="706B649E" w14:textId="0DA36385" w:rsidR="00B415E0" w:rsidRPr="00B415E0" w:rsidRDefault="00B415E0" w:rsidP="00C258D8">
      <w:pPr>
        <w:pStyle w:val="Body"/>
        <w:spacing w:line="240" w:lineRule="auto"/>
        <w:rPr>
          <w:rFonts w:ascii="Calibri" w:eastAsia="Trebuchet MS" w:hAnsi="Calibri" w:cs="Calibri"/>
        </w:rPr>
      </w:pPr>
      <w:r>
        <w:rPr>
          <w:rFonts w:ascii="Calibri" w:eastAsia="Trebuchet MS" w:hAnsi="Calibri" w:cs="Calibri"/>
        </w:rPr>
        <w:t>Any post-Brexit ECJ rulings, on the other hand, no longer need to be legally adhered to by the UK. UK courts are now therefore able to flexibly consider and amend these rulings, to suit</w:t>
      </w:r>
      <w:r w:rsidR="00B53F42">
        <w:rPr>
          <w:rFonts w:ascii="Calibri" w:eastAsia="Trebuchet MS" w:hAnsi="Calibri" w:cs="Calibri"/>
        </w:rPr>
        <w:t xml:space="preserve"> (CIPD, no date</w:t>
      </w:r>
      <w:r w:rsidR="00DD0AF4">
        <w:rPr>
          <w:rFonts w:ascii="Calibri" w:eastAsia="Trebuchet MS" w:hAnsi="Calibri" w:cs="Calibri"/>
        </w:rPr>
        <w:t xml:space="preserve"> a</w:t>
      </w:r>
      <w:r w:rsidR="00B53F42">
        <w:rPr>
          <w:rFonts w:ascii="Calibri" w:eastAsia="Trebuchet MS" w:hAnsi="Calibri" w:cs="Calibri"/>
        </w:rPr>
        <w:t>; Morgan LaRoche Solicitors, 2025)</w:t>
      </w:r>
      <w:r>
        <w:rPr>
          <w:rFonts w:ascii="Calibri" w:eastAsia="Trebuchet MS" w:hAnsi="Calibri" w:cs="Calibri"/>
        </w:rPr>
        <w:t xml:space="preserve">. </w:t>
      </w:r>
      <w:r w:rsidR="00AD472A">
        <w:rPr>
          <w:rFonts w:ascii="Calibri" w:eastAsia="Trebuchet MS" w:hAnsi="Calibri" w:cs="Calibri"/>
        </w:rPr>
        <w:t>This allows UK courts the flexibility to diverge from EU law, in order to gradually make changes to align practice with values.</w:t>
      </w:r>
    </w:p>
    <w:p w14:paraId="45BF1FF8" w14:textId="77777777" w:rsidR="00B415E0" w:rsidRDefault="00B415E0" w:rsidP="00C258D8">
      <w:pPr>
        <w:pStyle w:val="Body"/>
        <w:spacing w:line="240" w:lineRule="auto"/>
        <w:rPr>
          <w:rFonts w:ascii="Calibri" w:eastAsia="Trebuchet MS" w:hAnsi="Calibri" w:cs="Calibri"/>
          <w:b/>
          <w:bCs/>
        </w:rPr>
      </w:pPr>
    </w:p>
    <w:p w14:paraId="6BC11566" w14:textId="0F029B2D" w:rsidR="00B53F42" w:rsidRDefault="007D438F" w:rsidP="00C258D8">
      <w:pPr>
        <w:pStyle w:val="Body"/>
        <w:spacing w:line="240" w:lineRule="auto"/>
        <w:rPr>
          <w:rFonts w:ascii="Calibri" w:eastAsia="Trebuchet MS" w:hAnsi="Calibri" w:cs="Calibri"/>
        </w:rPr>
      </w:pPr>
      <w:r>
        <w:rPr>
          <w:rFonts w:ascii="Calibri" w:eastAsia="Trebuchet MS" w:hAnsi="Calibri" w:cs="Calibri"/>
        </w:rPr>
        <w:t>An example of a pre-Brexit retained law is the ECJ ruling of Working Time Regulations</w:t>
      </w:r>
      <w:r w:rsidR="00977197">
        <w:rPr>
          <w:rFonts w:ascii="Calibri" w:eastAsia="Trebuchet MS" w:hAnsi="Calibri" w:cs="Calibri"/>
        </w:rPr>
        <w:t xml:space="preserve"> (1998)</w:t>
      </w:r>
      <w:r>
        <w:rPr>
          <w:rFonts w:ascii="Calibri" w:eastAsia="Trebuchet MS" w:hAnsi="Calibri" w:cs="Calibri"/>
        </w:rPr>
        <w:t xml:space="preserve">, where employers are required to monitor and record employees’ daily working hours, in order to ensure compliance with rules on maximum working hours and mandatory rest breaks and periods. </w:t>
      </w:r>
      <w:r w:rsidR="00AD472A">
        <w:rPr>
          <w:rFonts w:ascii="Calibri" w:eastAsia="Trebuchet MS" w:hAnsi="Calibri" w:cs="Calibri"/>
        </w:rPr>
        <w:t xml:space="preserve">These regulations were implemented to support workers’ rights and ensure health and safety in the workplace. </w:t>
      </w:r>
      <w:r>
        <w:rPr>
          <w:rFonts w:ascii="Calibri" w:eastAsia="Trebuchet MS" w:hAnsi="Calibri" w:cs="Calibri"/>
        </w:rPr>
        <w:t xml:space="preserve">Although this law is </w:t>
      </w:r>
      <w:r w:rsidR="00977197">
        <w:rPr>
          <w:rFonts w:ascii="Calibri" w:eastAsia="Trebuchet MS" w:hAnsi="Calibri" w:cs="Calibri"/>
        </w:rPr>
        <w:t>currently retained, it could in the future be overruled by the UKSC, meaning that it could be amended or removed.</w:t>
      </w:r>
    </w:p>
    <w:p w14:paraId="51EDE44A" w14:textId="77777777" w:rsidR="00EC027E" w:rsidRDefault="00EC027E" w:rsidP="00C258D8">
      <w:pPr>
        <w:pStyle w:val="Body"/>
        <w:spacing w:line="240" w:lineRule="auto"/>
        <w:rPr>
          <w:rFonts w:ascii="Calibri" w:eastAsia="Trebuchet MS" w:hAnsi="Calibri" w:cs="Calibri"/>
        </w:rPr>
      </w:pPr>
    </w:p>
    <w:p w14:paraId="13BBC62E" w14:textId="5218CAA5" w:rsidR="00EC027E" w:rsidRPr="007D438F" w:rsidRDefault="00EC027E" w:rsidP="00C258D8">
      <w:pPr>
        <w:pStyle w:val="Body"/>
        <w:spacing w:line="240" w:lineRule="auto"/>
        <w:rPr>
          <w:rFonts w:ascii="Calibri" w:eastAsia="Trebuchet MS" w:hAnsi="Calibri" w:cs="Calibri"/>
        </w:rPr>
      </w:pPr>
      <w:r>
        <w:rPr>
          <w:rFonts w:ascii="Calibri" w:eastAsia="Trebuchet MS" w:hAnsi="Calibri" w:cs="Calibri"/>
        </w:rPr>
        <w:t>For example, the government may want to reduce regulations in order to lessen the burden on employers, therefore encouraging more new hires. The UKSC could therefore review and possibly change the input the ECJ have over working time regulations.</w:t>
      </w:r>
    </w:p>
    <w:p w14:paraId="3A1FF047" w14:textId="77777777" w:rsidR="00C501C2" w:rsidRPr="00221EEE" w:rsidRDefault="00C501C2" w:rsidP="00C258D8">
      <w:pPr>
        <w:pStyle w:val="Body"/>
        <w:spacing w:line="240" w:lineRule="auto"/>
        <w:rPr>
          <w:rFonts w:ascii="Calibri" w:eastAsia="Trebuchet MS" w:hAnsi="Calibri" w:cs="Calibri"/>
          <w:b/>
          <w:bCs/>
        </w:rPr>
      </w:pPr>
    </w:p>
    <w:p w14:paraId="76519FC4" w14:textId="77777777" w:rsidR="00C501C2" w:rsidRPr="00694197" w:rsidRDefault="00C501C2" w:rsidP="00C258D8">
      <w:pPr>
        <w:pStyle w:val="Body"/>
        <w:spacing w:line="240" w:lineRule="auto"/>
        <w:rPr>
          <w:rFonts w:ascii="Calibri" w:eastAsia="Trebuchet MS" w:hAnsi="Calibri" w:cs="Calibri"/>
          <w:b/>
          <w:bCs/>
          <w:color w:val="auto"/>
          <w:sz w:val="24"/>
          <w:szCs w:val="24"/>
          <w:u w:color="004147"/>
        </w:rPr>
      </w:pPr>
      <w:r w:rsidRPr="00694197">
        <w:rPr>
          <w:rFonts w:ascii="Calibri" w:hAnsi="Calibri" w:cs="Calibri"/>
          <w:b/>
          <w:bCs/>
          <w:color w:val="auto"/>
          <w:sz w:val="24"/>
          <w:szCs w:val="24"/>
          <w:u w:color="004147"/>
          <w:lang w:val="en-US"/>
        </w:rPr>
        <w:t xml:space="preserve">Email 3 (AC 2.1) </w:t>
      </w:r>
    </w:p>
    <w:p w14:paraId="47CF1A1F" w14:textId="77777777" w:rsidR="00C501C2" w:rsidRPr="00221EEE" w:rsidRDefault="00C501C2" w:rsidP="00C258D8">
      <w:pPr>
        <w:pStyle w:val="Body"/>
        <w:spacing w:line="240" w:lineRule="auto"/>
        <w:rPr>
          <w:rFonts w:ascii="Calibri" w:eastAsia="Trebuchet MS" w:hAnsi="Calibri" w:cs="Calibri"/>
          <w:b/>
          <w:bCs/>
        </w:rPr>
      </w:pPr>
    </w:p>
    <w:p w14:paraId="0D1DCB64" w14:textId="7A4BC3CD" w:rsidR="00221EEE" w:rsidRDefault="00221EEE" w:rsidP="00C258D8">
      <w:pPr>
        <w:pStyle w:val="Body"/>
        <w:spacing w:line="240" w:lineRule="auto"/>
        <w:rPr>
          <w:rFonts w:ascii="Calibri" w:eastAsia="Trebuchet MS" w:hAnsi="Calibri" w:cs="Calibri"/>
        </w:rPr>
      </w:pPr>
      <w:r w:rsidRPr="00221EEE">
        <w:rPr>
          <w:rFonts w:ascii="Calibri" w:eastAsia="Trebuchet MS" w:hAnsi="Calibri" w:cs="Calibri"/>
        </w:rPr>
        <w:t>Although direct discrimination (where an individual is regarded more positively or negatively due to a protected characteristic) should always be avoided within recruitment and selection, there are occasions when it is acceptable to request a certain type of candidate</w:t>
      </w:r>
      <w:r>
        <w:rPr>
          <w:rFonts w:ascii="Calibri" w:eastAsia="Trebuchet MS" w:hAnsi="Calibri" w:cs="Calibri"/>
        </w:rPr>
        <w:t xml:space="preserve"> (Daniels, 2022)</w:t>
      </w:r>
      <w:r w:rsidRPr="00221EEE">
        <w:rPr>
          <w:rFonts w:ascii="Calibri" w:eastAsia="Trebuchet MS" w:hAnsi="Calibri" w:cs="Calibri"/>
        </w:rPr>
        <w:t>. This would be due to an occupational requirement, meaning that a job role involves task that can only be carried out by certain people</w:t>
      </w:r>
      <w:r w:rsidR="005D68ED">
        <w:rPr>
          <w:rFonts w:ascii="Calibri" w:eastAsia="Trebuchet MS" w:hAnsi="Calibri" w:cs="Calibri"/>
        </w:rPr>
        <w:t xml:space="preserve"> (Daniels, 2022)</w:t>
      </w:r>
      <w:r w:rsidRPr="00221EEE">
        <w:rPr>
          <w:rFonts w:ascii="Calibri" w:eastAsia="Trebuchet MS" w:hAnsi="Calibri" w:cs="Calibri"/>
        </w:rPr>
        <w:t xml:space="preserve">. </w:t>
      </w:r>
      <w:r>
        <w:rPr>
          <w:rFonts w:ascii="Calibri" w:eastAsia="Trebuchet MS" w:hAnsi="Calibri" w:cs="Calibri"/>
        </w:rPr>
        <w:t xml:space="preserve">This quite often refers to roles that require physical contact, for example intimate care. </w:t>
      </w:r>
      <w:r w:rsidR="00A337C5">
        <w:rPr>
          <w:rFonts w:ascii="Calibri" w:eastAsia="Trebuchet MS" w:hAnsi="Calibri" w:cs="Calibri"/>
        </w:rPr>
        <w:t>In this example, it would be reasonable for an employer to ensure that the individual employed to provide the care was of the same gender of the individual receiving the care.</w:t>
      </w:r>
      <w:r w:rsidR="005D68ED">
        <w:rPr>
          <w:rFonts w:ascii="Calibri" w:eastAsia="Trebuchet MS" w:hAnsi="Calibri" w:cs="Calibri"/>
        </w:rPr>
        <w:t xml:space="preserve"> Furthermore, this should apply to both genders, unlike in the </w:t>
      </w:r>
      <w:proofErr w:type="spellStart"/>
      <w:r w:rsidR="005D68ED">
        <w:rPr>
          <w:rFonts w:ascii="Calibri" w:eastAsia="Trebuchet MS" w:hAnsi="Calibri" w:cs="Calibri"/>
        </w:rPr>
        <w:t>Moyhing</w:t>
      </w:r>
      <w:proofErr w:type="spellEnd"/>
      <w:r w:rsidR="005D68ED">
        <w:rPr>
          <w:rFonts w:ascii="Calibri" w:eastAsia="Trebuchet MS" w:hAnsi="Calibri" w:cs="Calibri"/>
        </w:rPr>
        <w:t xml:space="preserve"> vs Barts and London NHS Trust (2006) case. In this case, a male student nurse was told he would require a chaperone to be able to perform an ECG on a female patient. However, the same process was not implemented for female nurses delivering the same procedure on male patients.</w:t>
      </w:r>
    </w:p>
    <w:p w14:paraId="6FADD57D" w14:textId="77777777" w:rsidR="00A337C5" w:rsidRDefault="00A337C5" w:rsidP="00C258D8">
      <w:pPr>
        <w:pStyle w:val="Body"/>
        <w:spacing w:line="240" w:lineRule="auto"/>
        <w:rPr>
          <w:rFonts w:ascii="Calibri" w:eastAsia="Trebuchet MS" w:hAnsi="Calibri" w:cs="Calibri"/>
        </w:rPr>
      </w:pPr>
    </w:p>
    <w:p w14:paraId="1C7B012A" w14:textId="468CD64F" w:rsidR="00A337C5" w:rsidRPr="00221EEE" w:rsidRDefault="00A337C5" w:rsidP="00C258D8">
      <w:pPr>
        <w:pStyle w:val="Body"/>
        <w:spacing w:line="240" w:lineRule="auto"/>
        <w:rPr>
          <w:rFonts w:ascii="Calibri" w:eastAsia="Trebuchet MS" w:hAnsi="Calibri" w:cs="Calibri"/>
        </w:rPr>
      </w:pPr>
      <w:r>
        <w:rPr>
          <w:rFonts w:ascii="Calibri" w:eastAsia="Trebuchet MS" w:hAnsi="Calibri" w:cs="Calibri"/>
        </w:rPr>
        <w:t xml:space="preserve">According to </w:t>
      </w:r>
      <w:r w:rsidR="00970881">
        <w:rPr>
          <w:rFonts w:ascii="Calibri" w:eastAsia="Trebuchet MS" w:hAnsi="Calibri" w:cs="Calibri"/>
        </w:rPr>
        <w:t>ACAS</w:t>
      </w:r>
      <w:r>
        <w:rPr>
          <w:rFonts w:ascii="Calibri" w:eastAsia="Trebuchet MS" w:hAnsi="Calibri" w:cs="Calibri"/>
        </w:rPr>
        <w:t xml:space="preserve"> (2025), it is only acceptable to justify a recruitment decision with an occupational requirement for a particular job/task in a workplace. Using the previous example of intimate care, this would mean that both genders could be employed to deliver all other aspects of care to any patients.</w:t>
      </w:r>
      <w:r w:rsidR="005D68ED">
        <w:rPr>
          <w:rFonts w:ascii="Calibri" w:eastAsia="Trebuchet MS" w:hAnsi="Calibri" w:cs="Calibri"/>
        </w:rPr>
        <w:t xml:space="preserve"> </w:t>
      </w:r>
      <w:r w:rsidR="00970881">
        <w:rPr>
          <w:rFonts w:ascii="Calibri" w:eastAsia="Trebuchet MS" w:hAnsi="Calibri" w:cs="Calibri"/>
        </w:rPr>
        <w:t>ACAS</w:t>
      </w:r>
      <w:r w:rsidR="005D68ED">
        <w:rPr>
          <w:rFonts w:ascii="Calibri" w:eastAsia="Trebuchet MS" w:hAnsi="Calibri" w:cs="Calibri"/>
        </w:rPr>
        <w:t xml:space="preserve"> (2025) further advise that ‘objective justification’ should be met for an occupational requirement to be non-discriminatory. </w:t>
      </w:r>
      <w:r w:rsidR="009A623E">
        <w:rPr>
          <w:rFonts w:ascii="Calibri" w:eastAsia="Trebuchet MS" w:hAnsi="Calibri" w:cs="Calibri"/>
        </w:rPr>
        <w:t>This means that there is a genuine reason for the employer to source a specific characteristic when hiring, rather than making this decision based on personal beliefs/attitudes (</w:t>
      </w:r>
      <w:r w:rsidR="00970881">
        <w:rPr>
          <w:rFonts w:ascii="Calibri" w:eastAsia="Trebuchet MS" w:hAnsi="Calibri" w:cs="Calibri"/>
        </w:rPr>
        <w:t>ACAS</w:t>
      </w:r>
      <w:r w:rsidR="009A623E">
        <w:rPr>
          <w:rFonts w:ascii="Calibri" w:eastAsia="Trebuchet MS" w:hAnsi="Calibri" w:cs="Calibri"/>
        </w:rPr>
        <w:t>, 2025).</w:t>
      </w:r>
    </w:p>
    <w:p w14:paraId="6F2A0494" w14:textId="77777777" w:rsidR="00C501C2" w:rsidRDefault="00C501C2" w:rsidP="00C258D8">
      <w:pPr>
        <w:pStyle w:val="Body"/>
        <w:spacing w:line="240" w:lineRule="auto"/>
        <w:rPr>
          <w:rFonts w:ascii="Calibri" w:eastAsia="Trebuchet MS" w:hAnsi="Calibri" w:cs="Calibri"/>
          <w:b/>
          <w:bCs/>
        </w:rPr>
      </w:pPr>
    </w:p>
    <w:p w14:paraId="28AFB5A3" w14:textId="6B27FBB8" w:rsidR="00C258D8" w:rsidRPr="007E76EB" w:rsidRDefault="00C92D65" w:rsidP="00C258D8">
      <w:pPr>
        <w:pStyle w:val="Body"/>
        <w:spacing w:line="240" w:lineRule="auto"/>
        <w:rPr>
          <w:rFonts w:ascii="Calibri" w:eastAsia="Trebuchet MS" w:hAnsi="Calibri" w:cs="Calibri"/>
        </w:rPr>
      </w:pPr>
      <w:r>
        <w:rPr>
          <w:rFonts w:ascii="Calibri" w:eastAsia="Trebuchet MS" w:hAnsi="Calibri" w:cs="Calibri"/>
        </w:rPr>
        <w:t xml:space="preserve">With regards to the colleagues question, they would therefore only be in a position to dictate the gender required for a specific role if there was a genuine occupational requirement, as highlighted above. If there was not objective justification for the occupational requirement, the colleague would be at risk of </w:t>
      </w:r>
      <w:r w:rsidR="00FB73E7">
        <w:rPr>
          <w:rFonts w:ascii="Calibri" w:eastAsia="Trebuchet MS" w:hAnsi="Calibri" w:cs="Calibri"/>
        </w:rPr>
        <w:t xml:space="preserve">unlawful discrimination due to </w:t>
      </w:r>
      <w:r w:rsidR="00560C22">
        <w:rPr>
          <w:rFonts w:ascii="Calibri" w:eastAsia="Trebuchet MS" w:hAnsi="Calibri" w:cs="Calibri"/>
        </w:rPr>
        <w:t>limiting a role to a certain gender with no reason other than personal preference.</w:t>
      </w:r>
      <w:r>
        <w:rPr>
          <w:rFonts w:ascii="Calibri" w:eastAsia="Trebuchet MS" w:hAnsi="Calibri" w:cs="Calibri"/>
        </w:rPr>
        <w:t xml:space="preserve"> </w:t>
      </w:r>
    </w:p>
    <w:p w14:paraId="34CE1D5D" w14:textId="77777777" w:rsidR="00C258D8" w:rsidRDefault="00C258D8" w:rsidP="00C258D8">
      <w:pPr>
        <w:pStyle w:val="Body"/>
        <w:spacing w:line="240" w:lineRule="auto"/>
        <w:rPr>
          <w:rFonts w:ascii="Calibri" w:hAnsi="Calibri" w:cs="Calibri"/>
          <w:b/>
          <w:bCs/>
          <w:color w:val="004147"/>
          <w:sz w:val="24"/>
          <w:szCs w:val="24"/>
          <w:u w:color="004147"/>
          <w:lang w:val="en-US"/>
        </w:rPr>
      </w:pPr>
    </w:p>
    <w:p w14:paraId="39FEA27E" w14:textId="77D801E8" w:rsidR="00C501C2" w:rsidRPr="00694197" w:rsidRDefault="00C501C2" w:rsidP="00C258D8">
      <w:pPr>
        <w:pStyle w:val="Body"/>
        <w:spacing w:line="240" w:lineRule="auto"/>
        <w:rPr>
          <w:rFonts w:ascii="Calibri" w:eastAsia="Trebuchet MS" w:hAnsi="Calibri" w:cs="Calibri"/>
          <w:b/>
          <w:bCs/>
          <w:color w:val="auto"/>
          <w:sz w:val="24"/>
          <w:szCs w:val="24"/>
          <w:u w:color="004147"/>
        </w:rPr>
      </w:pPr>
      <w:r w:rsidRPr="00694197">
        <w:rPr>
          <w:rFonts w:ascii="Calibri" w:hAnsi="Calibri" w:cs="Calibri"/>
          <w:b/>
          <w:bCs/>
          <w:color w:val="auto"/>
          <w:sz w:val="24"/>
          <w:szCs w:val="24"/>
          <w:u w:color="004147"/>
          <w:lang w:val="en-US"/>
        </w:rPr>
        <w:t>Email 4 (AC 2.2)</w:t>
      </w:r>
    </w:p>
    <w:p w14:paraId="30C8A33F" w14:textId="77777777" w:rsidR="00C258D8" w:rsidRDefault="00C258D8" w:rsidP="00C258D8">
      <w:pPr>
        <w:pStyle w:val="Body"/>
        <w:spacing w:line="240" w:lineRule="auto"/>
        <w:rPr>
          <w:rFonts w:ascii="Calibri" w:eastAsia="Trebuchet MS" w:hAnsi="Calibri" w:cs="Calibri"/>
          <w:color w:val="FF0000"/>
        </w:rPr>
      </w:pPr>
    </w:p>
    <w:p w14:paraId="4FBF40EA" w14:textId="76C70E68" w:rsidR="00644C6E" w:rsidRPr="00644C6E" w:rsidRDefault="00644C6E" w:rsidP="00C258D8">
      <w:pPr>
        <w:pStyle w:val="Body"/>
        <w:spacing w:line="240" w:lineRule="auto"/>
        <w:rPr>
          <w:rFonts w:ascii="Calibri" w:eastAsia="Trebuchet MS" w:hAnsi="Calibri" w:cs="Calibri"/>
          <w:color w:val="auto"/>
        </w:rPr>
      </w:pPr>
      <w:r>
        <w:rPr>
          <w:rFonts w:ascii="Calibri" w:eastAsia="Trebuchet MS" w:hAnsi="Calibri" w:cs="Calibri"/>
          <w:color w:val="auto"/>
        </w:rPr>
        <w:t>The upgrade would not be able to be approved</w:t>
      </w:r>
      <w:r w:rsidR="00891FB6">
        <w:rPr>
          <w:rFonts w:ascii="Calibri" w:eastAsia="Trebuchet MS" w:hAnsi="Calibri" w:cs="Calibri"/>
          <w:color w:val="auto"/>
        </w:rPr>
        <w:t>, if the roles undertaken by the two male health care assistants did not differ from those undertaken my their female colleagues. The Equality Act (2020) defines this as anyone conducting</w:t>
      </w:r>
      <w:r w:rsidR="0085657E">
        <w:rPr>
          <w:rFonts w:ascii="Calibri" w:eastAsia="Trebuchet MS" w:hAnsi="Calibri" w:cs="Calibri"/>
          <w:color w:val="auto"/>
        </w:rPr>
        <w:t xml:space="preserve"> similar work, described in three possible ways (below).</w:t>
      </w:r>
    </w:p>
    <w:p w14:paraId="27E2D6B2" w14:textId="77777777" w:rsidR="00644C6E" w:rsidRDefault="00644C6E" w:rsidP="00C258D8">
      <w:pPr>
        <w:pStyle w:val="Body"/>
        <w:spacing w:line="240" w:lineRule="auto"/>
        <w:rPr>
          <w:rFonts w:ascii="Calibri" w:eastAsia="Trebuchet MS" w:hAnsi="Calibri" w:cs="Calibri"/>
          <w:color w:val="FF0000"/>
        </w:rPr>
      </w:pPr>
    </w:p>
    <w:p w14:paraId="710FD997" w14:textId="732CFC69" w:rsidR="00861BF2" w:rsidRDefault="00861BF2" w:rsidP="00C258D8">
      <w:pPr>
        <w:pStyle w:val="Body"/>
        <w:spacing w:line="240" w:lineRule="auto"/>
        <w:rPr>
          <w:rFonts w:ascii="Calibri" w:eastAsia="Trebuchet MS" w:hAnsi="Calibri" w:cs="Calibri"/>
          <w:color w:val="auto"/>
        </w:rPr>
      </w:pPr>
      <w:r>
        <w:rPr>
          <w:rFonts w:ascii="Calibri" w:eastAsia="Trebuchet MS" w:hAnsi="Calibri" w:cs="Calibri"/>
          <w:color w:val="auto"/>
        </w:rPr>
        <w:t>‘Like work’ refers to roles that are the same or almost entirely the same, with no impacting or significant differences (EHRC, 2020). An example of this could be a female cleaning toilets for an organisation, whilst a man cleans the staff kitchens.</w:t>
      </w:r>
    </w:p>
    <w:p w14:paraId="5DCB12F1" w14:textId="77777777" w:rsidR="00861BF2" w:rsidRDefault="00861BF2" w:rsidP="00C258D8">
      <w:pPr>
        <w:pStyle w:val="Body"/>
        <w:spacing w:line="240" w:lineRule="auto"/>
        <w:rPr>
          <w:rFonts w:ascii="Calibri" w:eastAsia="Trebuchet MS" w:hAnsi="Calibri" w:cs="Calibri"/>
          <w:color w:val="auto"/>
        </w:rPr>
      </w:pPr>
    </w:p>
    <w:p w14:paraId="40B7BA93" w14:textId="159A7942" w:rsidR="00861BF2" w:rsidRDefault="00861BF2" w:rsidP="00C258D8">
      <w:pPr>
        <w:pStyle w:val="Body"/>
        <w:spacing w:line="240" w:lineRule="auto"/>
        <w:rPr>
          <w:rFonts w:ascii="Calibri" w:eastAsia="Trebuchet MS" w:hAnsi="Calibri" w:cs="Calibri"/>
          <w:color w:val="auto"/>
        </w:rPr>
      </w:pPr>
      <w:r>
        <w:rPr>
          <w:rFonts w:ascii="Calibri" w:eastAsia="Trebuchet MS" w:hAnsi="Calibri" w:cs="Calibri"/>
          <w:color w:val="auto"/>
        </w:rPr>
        <w:t xml:space="preserve">Moving on, ‘work rated as equivalent’ is an official evaluation of job roles, based on </w:t>
      </w:r>
      <w:proofErr w:type="spellStart"/>
      <w:r>
        <w:rPr>
          <w:rFonts w:ascii="Calibri" w:eastAsia="Trebuchet MS" w:hAnsi="Calibri" w:cs="Calibri"/>
          <w:color w:val="auto"/>
        </w:rPr>
        <w:t>it’s</w:t>
      </w:r>
      <w:proofErr w:type="spellEnd"/>
      <w:r>
        <w:rPr>
          <w:rFonts w:ascii="Calibri" w:eastAsia="Trebuchet MS" w:hAnsi="Calibri" w:cs="Calibri"/>
          <w:color w:val="auto"/>
        </w:rPr>
        <w:t xml:space="preserve"> physical/mental demands, along with effort needed and skill required to do the role.</w:t>
      </w:r>
      <w:r w:rsidR="002E4BF5">
        <w:rPr>
          <w:rFonts w:ascii="Calibri" w:eastAsia="Trebuchet MS" w:hAnsi="Calibri" w:cs="Calibri"/>
          <w:color w:val="auto"/>
        </w:rPr>
        <w:t xml:space="preserve"> These can, however, be largely different roles in terms of team and purpose.</w:t>
      </w:r>
    </w:p>
    <w:p w14:paraId="191B249F" w14:textId="77777777" w:rsidR="002E4BF5" w:rsidRDefault="002E4BF5" w:rsidP="00C258D8">
      <w:pPr>
        <w:pStyle w:val="Body"/>
        <w:spacing w:line="240" w:lineRule="auto"/>
        <w:rPr>
          <w:rFonts w:ascii="Calibri" w:eastAsia="Trebuchet MS" w:hAnsi="Calibri" w:cs="Calibri"/>
          <w:color w:val="auto"/>
        </w:rPr>
      </w:pPr>
    </w:p>
    <w:p w14:paraId="7FE93D96" w14:textId="551CDF3E" w:rsidR="002E4BF5" w:rsidRDefault="002E4BF5" w:rsidP="00C258D8">
      <w:pPr>
        <w:pStyle w:val="Body"/>
        <w:spacing w:line="240" w:lineRule="auto"/>
        <w:rPr>
          <w:rFonts w:ascii="Calibri" w:eastAsia="Trebuchet MS" w:hAnsi="Calibri" w:cs="Calibri"/>
          <w:color w:val="auto"/>
        </w:rPr>
      </w:pPr>
      <w:r>
        <w:rPr>
          <w:rFonts w:ascii="Calibri" w:eastAsia="Trebuchet MS" w:hAnsi="Calibri" w:cs="Calibri"/>
          <w:color w:val="auto"/>
        </w:rPr>
        <w:t>Finally, ‘work of equal value’</w:t>
      </w:r>
      <w:r w:rsidR="0085657E">
        <w:rPr>
          <w:rFonts w:ascii="Calibri" w:eastAsia="Trebuchet MS" w:hAnsi="Calibri" w:cs="Calibri"/>
          <w:color w:val="auto"/>
        </w:rPr>
        <w:t xml:space="preserve"> refers to roles which haven’t been evaluated, but hold the same value in terms of the characteristics mentioned earlier. For example, many organisations use banding to allocate salaries – where a service manager and finance manager would be banded equally despite being in different roles.</w:t>
      </w:r>
    </w:p>
    <w:p w14:paraId="533911EA" w14:textId="77777777" w:rsidR="004746C7" w:rsidRDefault="004746C7" w:rsidP="00C258D8">
      <w:pPr>
        <w:pStyle w:val="Body"/>
        <w:spacing w:line="240" w:lineRule="auto"/>
        <w:rPr>
          <w:rFonts w:ascii="Calibri" w:eastAsia="Trebuchet MS" w:hAnsi="Calibri" w:cs="Calibri"/>
          <w:color w:val="auto"/>
        </w:rPr>
      </w:pPr>
    </w:p>
    <w:p w14:paraId="723BF8A7" w14:textId="4B201E0B" w:rsidR="00221B9B" w:rsidRDefault="004746C7" w:rsidP="00C258D8">
      <w:pPr>
        <w:pStyle w:val="Body"/>
        <w:spacing w:line="240" w:lineRule="auto"/>
        <w:rPr>
          <w:rFonts w:ascii="Calibri" w:eastAsia="Trebuchet MS" w:hAnsi="Calibri" w:cs="Calibri"/>
          <w:color w:val="auto"/>
        </w:rPr>
      </w:pPr>
      <w:r>
        <w:rPr>
          <w:rFonts w:ascii="Calibri" w:eastAsia="Trebuchet MS" w:hAnsi="Calibri" w:cs="Calibri"/>
          <w:color w:val="auto"/>
        </w:rPr>
        <w:t xml:space="preserve">Equal pay refers to </w:t>
      </w:r>
      <w:r w:rsidR="00AF28FE">
        <w:rPr>
          <w:rFonts w:ascii="Calibri" w:eastAsia="Trebuchet MS" w:hAnsi="Calibri" w:cs="Calibri"/>
          <w:color w:val="auto"/>
        </w:rPr>
        <w:t xml:space="preserve">avoiding </w:t>
      </w:r>
      <w:r>
        <w:rPr>
          <w:rFonts w:ascii="Calibri" w:eastAsia="Trebuchet MS" w:hAnsi="Calibri" w:cs="Calibri"/>
          <w:color w:val="auto"/>
        </w:rPr>
        <w:t xml:space="preserve">pay discrimination </w:t>
      </w:r>
      <w:r w:rsidR="00AF28FE">
        <w:rPr>
          <w:rFonts w:ascii="Calibri" w:eastAsia="Trebuchet MS" w:hAnsi="Calibri" w:cs="Calibri"/>
          <w:color w:val="auto"/>
        </w:rPr>
        <w:t>specifically</w:t>
      </w:r>
      <w:r>
        <w:rPr>
          <w:rFonts w:ascii="Calibri" w:eastAsia="Trebuchet MS" w:hAnsi="Calibri" w:cs="Calibri"/>
          <w:color w:val="auto"/>
        </w:rPr>
        <w:t xml:space="preserve"> between genders, where none of the above similarities apply. All employees, including those who are self-employed and apprenticeships</w:t>
      </w:r>
      <w:r w:rsidR="00AF28FE">
        <w:rPr>
          <w:rFonts w:ascii="Calibri" w:eastAsia="Trebuchet MS" w:hAnsi="Calibri" w:cs="Calibri"/>
          <w:color w:val="auto"/>
        </w:rPr>
        <w:t>, are entitled to equal pay and, therefore, able to submit an equal pay claim if they feel they’re not being paid fairly</w:t>
      </w:r>
      <w:r w:rsidR="00221B9B">
        <w:rPr>
          <w:rFonts w:ascii="Calibri" w:eastAsia="Trebuchet MS" w:hAnsi="Calibri" w:cs="Calibri"/>
          <w:color w:val="auto"/>
        </w:rPr>
        <w:t xml:space="preserve"> (CIPD, 2024</w:t>
      </w:r>
      <w:r w:rsidR="00E9659B">
        <w:rPr>
          <w:rFonts w:ascii="Calibri" w:eastAsia="Trebuchet MS" w:hAnsi="Calibri" w:cs="Calibri"/>
          <w:color w:val="auto"/>
        </w:rPr>
        <w:t>a</w:t>
      </w:r>
      <w:r w:rsidR="00221B9B">
        <w:rPr>
          <w:rFonts w:ascii="Calibri" w:eastAsia="Trebuchet MS" w:hAnsi="Calibri" w:cs="Calibri"/>
          <w:color w:val="auto"/>
        </w:rPr>
        <w:t>)</w:t>
      </w:r>
      <w:r w:rsidR="00AF28FE">
        <w:rPr>
          <w:rFonts w:ascii="Calibri" w:eastAsia="Trebuchet MS" w:hAnsi="Calibri" w:cs="Calibri"/>
          <w:color w:val="auto"/>
        </w:rPr>
        <w:t>. Where there is a difference in pay between genders, the job role must differ in some way in order for the difference to be justifiable by managers</w:t>
      </w:r>
      <w:r w:rsidR="00221B9B">
        <w:rPr>
          <w:rFonts w:ascii="Calibri" w:eastAsia="Trebuchet MS" w:hAnsi="Calibri" w:cs="Calibri"/>
          <w:color w:val="auto"/>
        </w:rPr>
        <w:t xml:space="preserve"> (EHRC, 2020)</w:t>
      </w:r>
      <w:r w:rsidR="00AF28FE">
        <w:rPr>
          <w:rFonts w:ascii="Calibri" w:eastAsia="Trebuchet MS" w:hAnsi="Calibri" w:cs="Calibri"/>
          <w:color w:val="auto"/>
        </w:rPr>
        <w:t xml:space="preserve">. </w:t>
      </w:r>
    </w:p>
    <w:p w14:paraId="1D1896DD" w14:textId="77777777" w:rsidR="00221B9B" w:rsidRDefault="00221B9B" w:rsidP="00C258D8">
      <w:pPr>
        <w:pStyle w:val="Body"/>
        <w:spacing w:line="240" w:lineRule="auto"/>
        <w:rPr>
          <w:rFonts w:ascii="Calibri" w:eastAsia="Trebuchet MS" w:hAnsi="Calibri" w:cs="Calibri"/>
          <w:color w:val="auto"/>
        </w:rPr>
      </w:pPr>
    </w:p>
    <w:p w14:paraId="2C88F821" w14:textId="1F8B956C" w:rsidR="00AF28FE" w:rsidRDefault="00AF28FE" w:rsidP="00C258D8">
      <w:pPr>
        <w:pStyle w:val="Body"/>
        <w:spacing w:line="240" w:lineRule="auto"/>
        <w:rPr>
          <w:rFonts w:ascii="Calibri" w:eastAsia="Trebuchet MS" w:hAnsi="Calibri" w:cs="Calibri"/>
          <w:color w:val="auto"/>
        </w:rPr>
      </w:pPr>
      <w:r>
        <w:rPr>
          <w:rFonts w:ascii="Calibri" w:eastAsia="Trebuchet MS" w:hAnsi="Calibri" w:cs="Calibri"/>
          <w:color w:val="auto"/>
        </w:rPr>
        <w:t xml:space="preserve">If the role </w:t>
      </w:r>
      <w:r w:rsidR="00446E8E">
        <w:rPr>
          <w:rFonts w:ascii="Calibri" w:eastAsia="Trebuchet MS" w:hAnsi="Calibri" w:cs="Calibri"/>
          <w:color w:val="auto"/>
        </w:rPr>
        <w:t>does</w:t>
      </w:r>
      <w:r>
        <w:rPr>
          <w:rFonts w:ascii="Calibri" w:eastAsia="Trebuchet MS" w:hAnsi="Calibri" w:cs="Calibri"/>
          <w:color w:val="auto"/>
        </w:rPr>
        <w:t xml:space="preserve"> not differ in any way, </w:t>
      </w:r>
      <w:r w:rsidR="00221B9B">
        <w:rPr>
          <w:rFonts w:ascii="Calibri" w:eastAsia="Trebuchet MS" w:hAnsi="Calibri" w:cs="Calibri"/>
          <w:color w:val="auto"/>
        </w:rPr>
        <w:t>the nurse manager in question would be at risk of unlawful discrimination and the employees discriminated against may file an equal pay claim. To do this, the employee must identify a colleague</w:t>
      </w:r>
      <w:r w:rsidR="0083503F">
        <w:rPr>
          <w:rFonts w:ascii="Calibri" w:eastAsia="Trebuchet MS" w:hAnsi="Calibri" w:cs="Calibri"/>
          <w:color w:val="auto"/>
        </w:rPr>
        <w:t xml:space="preserve"> of the opposite sex, who is </w:t>
      </w:r>
      <w:r w:rsidR="00221B9B">
        <w:rPr>
          <w:rFonts w:ascii="Calibri" w:eastAsia="Trebuchet MS" w:hAnsi="Calibri" w:cs="Calibri"/>
          <w:color w:val="auto"/>
        </w:rPr>
        <w:t>doing work that is deemed similar in one of the abov</w:t>
      </w:r>
      <w:r w:rsidR="0083503F">
        <w:rPr>
          <w:rFonts w:ascii="Calibri" w:eastAsia="Trebuchet MS" w:hAnsi="Calibri" w:cs="Calibri"/>
          <w:color w:val="auto"/>
        </w:rPr>
        <w:t>e categories, to use as a ‘comparator’ for their case (EHRC, 2020). The comparator should be being paid more of receiving better employment benefits as the claimant.</w:t>
      </w:r>
    </w:p>
    <w:p w14:paraId="0A2455F1" w14:textId="77777777" w:rsidR="002E4BF5" w:rsidRDefault="002E4BF5" w:rsidP="00C258D8">
      <w:pPr>
        <w:pStyle w:val="Body"/>
        <w:spacing w:line="240" w:lineRule="auto"/>
        <w:rPr>
          <w:rFonts w:ascii="Calibri" w:eastAsia="Trebuchet MS" w:hAnsi="Calibri" w:cs="Calibri"/>
          <w:color w:val="auto"/>
        </w:rPr>
      </w:pPr>
    </w:p>
    <w:p w14:paraId="3DD62BBE" w14:textId="05FB31F5" w:rsidR="0083503F" w:rsidRPr="00861BF2" w:rsidRDefault="0083503F" w:rsidP="00C258D8">
      <w:pPr>
        <w:pStyle w:val="Body"/>
        <w:spacing w:line="240" w:lineRule="auto"/>
        <w:rPr>
          <w:rFonts w:ascii="Calibri" w:eastAsia="Trebuchet MS" w:hAnsi="Calibri" w:cs="Calibri"/>
          <w:color w:val="auto"/>
        </w:rPr>
      </w:pPr>
      <w:r>
        <w:rPr>
          <w:rFonts w:ascii="Calibri" w:eastAsia="Trebuchet MS" w:hAnsi="Calibri" w:cs="Calibri"/>
          <w:color w:val="auto"/>
        </w:rPr>
        <w:t>The nurse manager in question should therefore ensure that the two members of staff potentially receiving the upgrade are doing different work before increasing their pay.</w:t>
      </w:r>
    </w:p>
    <w:p w14:paraId="6C1550AF" w14:textId="77777777" w:rsidR="00C258D8" w:rsidRPr="00221EEE" w:rsidRDefault="00C258D8" w:rsidP="0083503F">
      <w:pPr>
        <w:pStyle w:val="Body"/>
        <w:spacing w:line="240" w:lineRule="auto"/>
        <w:rPr>
          <w:rFonts w:ascii="Calibri" w:eastAsia="Trebuchet MS" w:hAnsi="Calibri" w:cs="Calibri"/>
          <w:b/>
          <w:bCs/>
          <w:color w:val="004147"/>
          <w:u w:color="004147"/>
        </w:rPr>
      </w:pPr>
    </w:p>
    <w:p w14:paraId="6F1EB880" w14:textId="77777777" w:rsidR="00C501C2" w:rsidRPr="00694197" w:rsidRDefault="00C501C2" w:rsidP="0083503F">
      <w:pPr>
        <w:pStyle w:val="Body"/>
        <w:spacing w:line="240" w:lineRule="auto"/>
        <w:rPr>
          <w:rFonts w:ascii="Calibri" w:eastAsia="Trebuchet MS" w:hAnsi="Calibri" w:cs="Calibri"/>
          <w:b/>
          <w:bCs/>
          <w:color w:val="auto"/>
          <w:sz w:val="24"/>
          <w:szCs w:val="24"/>
          <w:u w:color="004147"/>
        </w:rPr>
      </w:pPr>
      <w:r w:rsidRPr="00694197">
        <w:rPr>
          <w:rFonts w:ascii="Calibri" w:hAnsi="Calibri" w:cs="Calibri"/>
          <w:b/>
          <w:bCs/>
          <w:color w:val="auto"/>
          <w:sz w:val="24"/>
          <w:szCs w:val="24"/>
          <w:u w:color="004147"/>
          <w:lang w:val="de-DE"/>
        </w:rPr>
        <w:t xml:space="preserve">Email 5 (AC 3.1)    </w:t>
      </w:r>
    </w:p>
    <w:p w14:paraId="477F9277" w14:textId="77777777" w:rsidR="00C501C2" w:rsidRPr="00221EEE" w:rsidRDefault="00C501C2" w:rsidP="0083503F">
      <w:pPr>
        <w:pStyle w:val="Body"/>
        <w:spacing w:line="240" w:lineRule="auto"/>
        <w:rPr>
          <w:rFonts w:ascii="Calibri" w:eastAsia="Trebuchet MS" w:hAnsi="Calibri" w:cs="Calibri"/>
          <w:b/>
          <w:bCs/>
        </w:rPr>
      </w:pPr>
    </w:p>
    <w:p w14:paraId="53521F5E" w14:textId="25A8F75C" w:rsidR="00DD1FE6" w:rsidRDefault="00DD1FE6" w:rsidP="0083503F">
      <w:pPr>
        <w:pStyle w:val="Body"/>
        <w:spacing w:line="240" w:lineRule="auto"/>
        <w:rPr>
          <w:rFonts w:ascii="Calibri" w:eastAsia="Trebuchet MS" w:hAnsi="Calibri" w:cs="Calibri"/>
        </w:rPr>
      </w:pPr>
      <w:r>
        <w:rPr>
          <w:rFonts w:ascii="Calibri" w:eastAsia="Trebuchet MS" w:hAnsi="Calibri" w:cs="Calibri"/>
        </w:rPr>
        <w:t>A constructive dismissal refers to an employer acting in a way that gives an employee no option but to end their employment, for example through discrimination</w:t>
      </w:r>
      <w:r w:rsidR="000B03ED">
        <w:rPr>
          <w:rFonts w:ascii="Calibri" w:eastAsia="Trebuchet MS" w:hAnsi="Calibri" w:cs="Calibri"/>
        </w:rPr>
        <w:t xml:space="preserve"> or repudiatory breach of contract (where an unreasonable change is made without consultation or agreement)</w:t>
      </w:r>
      <w:r w:rsidR="00E6581B">
        <w:rPr>
          <w:rFonts w:ascii="Calibri" w:eastAsia="Trebuchet MS" w:hAnsi="Calibri" w:cs="Calibri"/>
        </w:rPr>
        <w:t xml:space="preserve"> (</w:t>
      </w:r>
      <w:r w:rsidR="00970881">
        <w:rPr>
          <w:rFonts w:ascii="Calibri" w:eastAsia="Trebuchet MS" w:hAnsi="Calibri" w:cs="Calibri"/>
        </w:rPr>
        <w:t>ACAS</w:t>
      </w:r>
      <w:r w:rsidR="00E6581B">
        <w:rPr>
          <w:rFonts w:ascii="Calibri" w:eastAsia="Trebuchet MS" w:hAnsi="Calibri" w:cs="Calibri"/>
        </w:rPr>
        <w:t>, no date</w:t>
      </w:r>
      <w:r w:rsidR="00D816BC">
        <w:rPr>
          <w:rFonts w:ascii="Calibri" w:eastAsia="Trebuchet MS" w:hAnsi="Calibri" w:cs="Calibri"/>
        </w:rPr>
        <w:t xml:space="preserve"> a</w:t>
      </w:r>
      <w:r w:rsidR="00E6581B">
        <w:rPr>
          <w:rFonts w:ascii="Calibri" w:eastAsia="Trebuchet MS" w:hAnsi="Calibri" w:cs="Calibri"/>
        </w:rPr>
        <w:t>)</w:t>
      </w:r>
      <w:r>
        <w:rPr>
          <w:rFonts w:ascii="Calibri" w:eastAsia="Trebuchet MS" w:hAnsi="Calibri" w:cs="Calibri"/>
        </w:rPr>
        <w:t xml:space="preserve">. </w:t>
      </w:r>
      <w:r w:rsidR="00755A68">
        <w:rPr>
          <w:rFonts w:ascii="Calibri" w:eastAsia="Trebuchet MS" w:hAnsi="Calibri" w:cs="Calibri"/>
        </w:rPr>
        <w:t xml:space="preserve">This may occur if the employer was to change terms and conditions of employment, such as working hours as mentioned in the email, without consulting with the employee and receiving their consent. If the change in terms mean that the employee’s work and life is impacted negatively, they may be able to argue that they were left with no choice but to resign. </w:t>
      </w:r>
      <w:r w:rsidR="000B03ED">
        <w:rPr>
          <w:rFonts w:ascii="Calibri" w:eastAsia="Trebuchet MS" w:hAnsi="Calibri" w:cs="Calibri"/>
        </w:rPr>
        <w:t>In these situations</w:t>
      </w:r>
      <w:r w:rsidR="0060729A">
        <w:rPr>
          <w:rFonts w:ascii="Calibri" w:eastAsia="Trebuchet MS" w:hAnsi="Calibri" w:cs="Calibri"/>
        </w:rPr>
        <w:t>, and when they can prove that the breach was serious enough to justify resignation</w:t>
      </w:r>
      <w:r w:rsidR="000B03ED">
        <w:rPr>
          <w:rFonts w:ascii="Calibri" w:eastAsia="Trebuchet MS" w:hAnsi="Calibri" w:cs="Calibri"/>
        </w:rPr>
        <w:t xml:space="preserve">, employees may </w:t>
      </w:r>
      <w:r w:rsidR="00E6581B">
        <w:rPr>
          <w:rFonts w:ascii="Calibri" w:eastAsia="Trebuchet MS" w:hAnsi="Calibri" w:cs="Calibri"/>
        </w:rPr>
        <w:t xml:space="preserve">submit a constructive dismissal claim. </w:t>
      </w:r>
    </w:p>
    <w:p w14:paraId="4DDF385C" w14:textId="77777777" w:rsidR="00E6581B" w:rsidRDefault="00E6581B" w:rsidP="0083503F">
      <w:pPr>
        <w:pStyle w:val="Body"/>
        <w:spacing w:line="240" w:lineRule="auto"/>
        <w:rPr>
          <w:rFonts w:ascii="Calibri" w:eastAsia="Trebuchet MS" w:hAnsi="Calibri" w:cs="Calibri"/>
        </w:rPr>
      </w:pPr>
    </w:p>
    <w:p w14:paraId="53983B0A" w14:textId="77777777" w:rsidR="00755A68" w:rsidRDefault="0060729A" w:rsidP="0083503F">
      <w:pPr>
        <w:pStyle w:val="Body"/>
        <w:spacing w:line="240" w:lineRule="auto"/>
        <w:rPr>
          <w:rFonts w:ascii="Calibri" w:eastAsia="Trebuchet MS" w:hAnsi="Calibri" w:cs="Calibri"/>
        </w:rPr>
      </w:pPr>
      <w:r>
        <w:rPr>
          <w:rFonts w:ascii="Calibri" w:eastAsia="Trebuchet MS" w:hAnsi="Calibri" w:cs="Calibri"/>
        </w:rPr>
        <w:t xml:space="preserve">When submitting a constructive dismissal, the employee must also have resigned relatively soon after the breach in contract. </w:t>
      </w:r>
      <w:r w:rsidR="00755A68">
        <w:rPr>
          <w:rFonts w:ascii="Calibri" w:eastAsia="Trebuchet MS" w:hAnsi="Calibri" w:cs="Calibri"/>
        </w:rPr>
        <w:t xml:space="preserve">If this does not happen, it could be argued that the employee, although temporarily, accepted the change in working hours and showed that it was possible to continue working with these changes. </w:t>
      </w:r>
    </w:p>
    <w:p w14:paraId="1B58BEDD" w14:textId="77777777" w:rsidR="00755A68" w:rsidRDefault="00755A68" w:rsidP="0083503F">
      <w:pPr>
        <w:pStyle w:val="Body"/>
        <w:spacing w:line="240" w:lineRule="auto"/>
        <w:rPr>
          <w:rFonts w:ascii="Calibri" w:eastAsia="Trebuchet MS" w:hAnsi="Calibri" w:cs="Calibri"/>
        </w:rPr>
      </w:pPr>
    </w:p>
    <w:p w14:paraId="21DE7C03" w14:textId="7CD371DC" w:rsidR="00E6581B" w:rsidRDefault="0060729A" w:rsidP="0083503F">
      <w:pPr>
        <w:pStyle w:val="Body"/>
        <w:spacing w:line="240" w:lineRule="auto"/>
        <w:rPr>
          <w:rFonts w:ascii="Calibri" w:eastAsia="Trebuchet MS" w:hAnsi="Calibri" w:cs="Calibri"/>
        </w:rPr>
      </w:pPr>
      <w:r>
        <w:rPr>
          <w:rFonts w:ascii="Calibri" w:eastAsia="Trebuchet MS" w:hAnsi="Calibri" w:cs="Calibri"/>
        </w:rPr>
        <w:t xml:space="preserve">Additionally, </w:t>
      </w:r>
      <w:r w:rsidR="00755A68">
        <w:rPr>
          <w:rFonts w:ascii="Calibri" w:eastAsia="Trebuchet MS" w:hAnsi="Calibri" w:cs="Calibri"/>
        </w:rPr>
        <w:t>the employee in question would have had</w:t>
      </w:r>
      <w:r>
        <w:rPr>
          <w:rFonts w:ascii="Calibri" w:eastAsia="Trebuchet MS" w:hAnsi="Calibri" w:cs="Calibri"/>
        </w:rPr>
        <w:t xml:space="preserve"> three months minus one day to bring the claim, following the end of their employment.</w:t>
      </w:r>
      <w:r w:rsidR="00755A68">
        <w:rPr>
          <w:rFonts w:ascii="Calibri" w:eastAsia="Trebuchet MS" w:hAnsi="Calibri" w:cs="Calibri"/>
        </w:rPr>
        <w:t xml:space="preserve"> If the employee fails to meet this deadline when submitting a constructive dismissal claim, they are likely to be considered ‘out of time’ (</w:t>
      </w:r>
      <w:r w:rsidR="00970881">
        <w:rPr>
          <w:rFonts w:ascii="Calibri" w:eastAsia="Trebuchet MS" w:hAnsi="Calibri" w:cs="Calibri"/>
        </w:rPr>
        <w:t>ACAS</w:t>
      </w:r>
      <w:r w:rsidR="00755A68">
        <w:rPr>
          <w:rFonts w:ascii="Calibri" w:eastAsia="Trebuchet MS" w:hAnsi="Calibri" w:cs="Calibri"/>
        </w:rPr>
        <w:t>, no date a).</w:t>
      </w:r>
    </w:p>
    <w:p w14:paraId="51B87C96" w14:textId="77777777" w:rsidR="000B03ED" w:rsidRDefault="000B03ED" w:rsidP="0083503F">
      <w:pPr>
        <w:pStyle w:val="Body"/>
        <w:spacing w:line="240" w:lineRule="auto"/>
        <w:rPr>
          <w:rFonts w:ascii="Calibri" w:eastAsia="Trebuchet MS" w:hAnsi="Calibri" w:cs="Calibri"/>
        </w:rPr>
      </w:pPr>
    </w:p>
    <w:p w14:paraId="30E0CCC6" w14:textId="2B07731C" w:rsidR="00E6581B" w:rsidRDefault="0060729A" w:rsidP="0083503F">
      <w:pPr>
        <w:pStyle w:val="Body"/>
        <w:spacing w:line="240" w:lineRule="auto"/>
        <w:rPr>
          <w:rFonts w:ascii="Calibri" w:eastAsia="Trebuchet MS" w:hAnsi="Calibri" w:cs="Calibri"/>
        </w:rPr>
      </w:pPr>
      <w:r>
        <w:rPr>
          <w:rFonts w:ascii="Calibri" w:eastAsia="Trebuchet MS" w:hAnsi="Calibri" w:cs="Calibri"/>
        </w:rPr>
        <w:t xml:space="preserve">The </w:t>
      </w:r>
      <w:r w:rsidR="000517C8">
        <w:rPr>
          <w:rFonts w:ascii="Calibri" w:eastAsia="Trebuchet MS" w:hAnsi="Calibri" w:cs="Calibri"/>
        </w:rPr>
        <w:t>radiographer</w:t>
      </w:r>
      <w:r>
        <w:rPr>
          <w:rFonts w:ascii="Calibri" w:eastAsia="Trebuchet MS" w:hAnsi="Calibri" w:cs="Calibri"/>
        </w:rPr>
        <w:t xml:space="preserve"> in question could therefore make a constructive dismissal claim, if the change to his working hours had a </w:t>
      </w:r>
      <w:r w:rsidR="000517C8">
        <w:rPr>
          <w:rFonts w:ascii="Calibri" w:eastAsia="Trebuchet MS" w:hAnsi="Calibri" w:cs="Calibri"/>
        </w:rPr>
        <w:t>substantial, detrimental</w:t>
      </w:r>
      <w:r>
        <w:rPr>
          <w:rFonts w:ascii="Calibri" w:eastAsia="Trebuchet MS" w:hAnsi="Calibri" w:cs="Calibri"/>
        </w:rPr>
        <w:t xml:space="preserve"> impact on the employee and was done without consultation with him.</w:t>
      </w:r>
      <w:r w:rsidR="000517C8">
        <w:rPr>
          <w:rFonts w:ascii="Calibri" w:eastAsia="Trebuchet MS" w:hAnsi="Calibri" w:cs="Calibri"/>
        </w:rPr>
        <w:t xml:space="preserve"> </w:t>
      </w:r>
      <w:r w:rsidR="00755A68">
        <w:rPr>
          <w:rFonts w:ascii="Calibri" w:eastAsia="Trebuchet MS" w:hAnsi="Calibri" w:cs="Calibri"/>
        </w:rPr>
        <w:t xml:space="preserve">They would then need to prove that the changes made a significant disruption to their working life and personal life. </w:t>
      </w:r>
      <w:r w:rsidR="000517C8">
        <w:rPr>
          <w:rFonts w:ascii="Calibri" w:eastAsia="Trebuchet MS" w:hAnsi="Calibri" w:cs="Calibri"/>
        </w:rPr>
        <w:t>In the future, the colleague in question should ensure that any changes to working patterns should be discussed with an employee, before implementation.</w:t>
      </w:r>
    </w:p>
    <w:p w14:paraId="62DEECEE" w14:textId="77777777" w:rsidR="00822475" w:rsidRPr="00221EEE" w:rsidRDefault="00822475" w:rsidP="0083503F">
      <w:pPr>
        <w:pStyle w:val="Body"/>
        <w:spacing w:line="240" w:lineRule="auto"/>
        <w:rPr>
          <w:rFonts w:ascii="Calibri" w:eastAsia="Trebuchet MS" w:hAnsi="Calibri" w:cs="Calibri"/>
          <w:b/>
          <w:bCs/>
        </w:rPr>
      </w:pPr>
    </w:p>
    <w:p w14:paraId="44FA2400" w14:textId="77777777" w:rsidR="00C501C2" w:rsidRPr="00694197" w:rsidRDefault="00C501C2" w:rsidP="0083503F">
      <w:pPr>
        <w:pStyle w:val="Body"/>
        <w:spacing w:line="240" w:lineRule="auto"/>
        <w:rPr>
          <w:rFonts w:ascii="Calibri" w:eastAsia="Trebuchet MS" w:hAnsi="Calibri" w:cs="Calibri"/>
          <w:b/>
          <w:bCs/>
          <w:color w:val="auto"/>
          <w:sz w:val="24"/>
          <w:szCs w:val="24"/>
          <w:u w:color="004147"/>
        </w:rPr>
      </w:pPr>
      <w:r w:rsidRPr="00694197">
        <w:rPr>
          <w:rFonts w:ascii="Calibri" w:hAnsi="Calibri" w:cs="Calibri"/>
          <w:b/>
          <w:bCs/>
          <w:color w:val="auto"/>
          <w:sz w:val="24"/>
          <w:szCs w:val="24"/>
          <w:u w:color="004147"/>
          <w:lang w:val="en-US"/>
        </w:rPr>
        <w:t>Email 6 (AC 3.2)</w:t>
      </w:r>
    </w:p>
    <w:p w14:paraId="136D9CE9" w14:textId="77777777" w:rsidR="00C501C2" w:rsidRDefault="00C501C2" w:rsidP="0083503F">
      <w:pPr>
        <w:pStyle w:val="Body"/>
        <w:spacing w:line="240" w:lineRule="auto"/>
        <w:rPr>
          <w:rFonts w:ascii="Calibri" w:eastAsia="Trebuchet MS" w:hAnsi="Calibri" w:cs="Calibri"/>
          <w:b/>
          <w:bCs/>
        </w:rPr>
      </w:pPr>
    </w:p>
    <w:p w14:paraId="0D780BAA" w14:textId="24EBF9D7" w:rsidR="004A0F82" w:rsidRDefault="004A0F82" w:rsidP="0083503F">
      <w:pPr>
        <w:pStyle w:val="Body"/>
        <w:spacing w:line="240" w:lineRule="auto"/>
        <w:rPr>
          <w:rFonts w:ascii="Calibri" w:eastAsia="Trebuchet MS" w:hAnsi="Calibri" w:cs="Calibri"/>
        </w:rPr>
      </w:pPr>
      <w:r>
        <w:rPr>
          <w:rFonts w:ascii="Calibri" w:eastAsia="Trebuchet MS" w:hAnsi="Calibri" w:cs="Calibri"/>
        </w:rPr>
        <w:t>Redundancy, as defined by the 1996 Employment Rights Act, is the process of dismissing an employee/employees, either due to changes or closure of a business, change in business location or changes of staffing requirements (UK Parliament, 1996)</w:t>
      </w:r>
      <w:r w:rsidR="00C420EE">
        <w:rPr>
          <w:rFonts w:ascii="Calibri" w:eastAsia="Trebuchet MS" w:hAnsi="Calibri" w:cs="Calibri"/>
        </w:rPr>
        <w:t>. For a fair redundancy, the fifty posts in question must have a genuine reason for being lost, such as technology replacing the need for staff, cutting costs meaning less employees are affordable or a business ceasing to operate at all (CIPD, 2024</w:t>
      </w:r>
      <w:r w:rsidR="00ED4919">
        <w:rPr>
          <w:rFonts w:ascii="Calibri" w:eastAsia="Trebuchet MS" w:hAnsi="Calibri" w:cs="Calibri"/>
        </w:rPr>
        <w:t>c</w:t>
      </w:r>
      <w:r w:rsidR="00C420EE">
        <w:rPr>
          <w:rFonts w:ascii="Calibri" w:eastAsia="Trebuchet MS" w:hAnsi="Calibri" w:cs="Calibri"/>
        </w:rPr>
        <w:t>). Although a speedy process is usually required</w:t>
      </w:r>
      <w:r w:rsidR="00CC1B79">
        <w:rPr>
          <w:rFonts w:ascii="Calibri" w:eastAsia="Trebuchet MS" w:hAnsi="Calibri" w:cs="Calibri"/>
        </w:rPr>
        <w:t>, such as in the case in question, consultation is vital and the manager could be at risk of unfair dismissal claims if the correct procedures aren’t followed.</w:t>
      </w:r>
    </w:p>
    <w:p w14:paraId="48BC0871" w14:textId="77777777" w:rsidR="00CC1B79" w:rsidRDefault="00CC1B79" w:rsidP="0083503F">
      <w:pPr>
        <w:pStyle w:val="Body"/>
        <w:spacing w:line="240" w:lineRule="auto"/>
        <w:rPr>
          <w:rFonts w:ascii="Calibri" w:eastAsia="Trebuchet MS" w:hAnsi="Calibri" w:cs="Calibri"/>
        </w:rPr>
      </w:pPr>
    </w:p>
    <w:p w14:paraId="44A2BEDD" w14:textId="131E238B" w:rsidR="00CC1B79" w:rsidRDefault="00CC1B79" w:rsidP="0083503F">
      <w:pPr>
        <w:pStyle w:val="Body"/>
        <w:spacing w:line="240" w:lineRule="auto"/>
        <w:rPr>
          <w:rFonts w:ascii="Calibri" w:eastAsia="Trebuchet MS" w:hAnsi="Calibri" w:cs="Calibri"/>
        </w:rPr>
      </w:pPr>
      <w:r>
        <w:rPr>
          <w:rFonts w:ascii="Calibri" w:eastAsia="Trebuchet MS" w:hAnsi="Calibri" w:cs="Calibri"/>
        </w:rPr>
        <w:t xml:space="preserve">The manager </w:t>
      </w:r>
      <w:r w:rsidR="00DB0997">
        <w:rPr>
          <w:rFonts w:ascii="Calibri" w:eastAsia="Trebuchet MS" w:hAnsi="Calibri" w:cs="Calibri"/>
        </w:rPr>
        <w:t>would also need to implement a fair selection process, as opposed to just dismissing the poorest performers. To do this, a selection criteria should be agreed, based on measurable factors</w:t>
      </w:r>
      <w:r w:rsidR="00360F66">
        <w:rPr>
          <w:rFonts w:ascii="Calibri" w:eastAsia="Trebuchet MS" w:hAnsi="Calibri" w:cs="Calibri"/>
        </w:rPr>
        <w:t xml:space="preserve"> such as performance, quality of work, skills/qualifications, absence records and history of any disciplinaries (</w:t>
      </w:r>
      <w:r w:rsidR="00970881">
        <w:rPr>
          <w:rFonts w:ascii="Calibri" w:eastAsia="Trebuchet MS" w:hAnsi="Calibri" w:cs="Calibri"/>
        </w:rPr>
        <w:t>ACAS</w:t>
      </w:r>
      <w:r w:rsidR="00360F66">
        <w:rPr>
          <w:rFonts w:ascii="Calibri" w:eastAsia="Trebuchet MS" w:hAnsi="Calibri" w:cs="Calibri"/>
        </w:rPr>
        <w:t>, no date</w:t>
      </w:r>
      <w:r w:rsidR="00ED4919">
        <w:rPr>
          <w:rFonts w:ascii="Calibri" w:eastAsia="Trebuchet MS" w:hAnsi="Calibri" w:cs="Calibri"/>
        </w:rPr>
        <w:t xml:space="preserve"> c</w:t>
      </w:r>
      <w:r w:rsidR="00360F66">
        <w:rPr>
          <w:rFonts w:ascii="Calibri" w:eastAsia="Trebuchet MS" w:hAnsi="Calibri" w:cs="Calibri"/>
        </w:rPr>
        <w:t>). However, it’s important to ensure that an employee isn’t ‘marked down’ during the selection process due to anything related to a protected characteristic, for example absences that are due to disability (</w:t>
      </w:r>
      <w:r w:rsidR="00970881">
        <w:rPr>
          <w:rFonts w:ascii="Calibri" w:eastAsia="Trebuchet MS" w:hAnsi="Calibri" w:cs="Calibri"/>
        </w:rPr>
        <w:t>ACAS</w:t>
      </w:r>
      <w:r w:rsidR="00360F66">
        <w:rPr>
          <w:rFonts w:ascii="Calibri" w:eastAsia="Trebuchet MS" w:hAnsi="Calibri" w:cs="Calibri"/>
        </w:rPr>
        <w:t>, no date</w:t>
      </w:r>
      <w:r w:rsidR="00ED4919">
        <w:rPr>
          <w:rFonts w:ascii="Calibri" w:eastAsia="Trebuchet MS" w:hAnsi="Calibri" w:cs="Calibri"/>
        </w:rPr>
        <w:t xml:space="preserve"> c</w:t>
      </w:r>
      <w:r w:rsidR="00360F66">
        <w:rPr>
          <w:rFonts w:ascii="Calibri" w:eastAsia="Trebuchet MS" w:hAnsi="Calibri" w:cs="Calibri"/>
        </w:rPr>
        <w:t>).</w:t>
      </w:r>
    </w:p>
    <w:p w14:paraId="36E4DE8D" w14:textId="77777777" w:rsidR="00360F66" w:rsidRDefault="00360F66" w:rsidP="0083503F">
      <w:pPr>
        <w:pStyle w:val="Body"/>
        <w:spacing w:line="240" w:lineRule="auto"/>
        <w:rPr>
          <w:rFonts w:ascii="Calibri" w:eastAsia="Trebuchet MS" w:hAnsi="Calibri" w:cs="Calibri"/>
        </w:rPr>
      </w:pPr>
    </w:p>
    <w:p w14:paraId="25DD5AAD" w14:textId="405A5BA5" w:rsidR="000164F6" w:rsidRDefault="00360F66" w:rsidP="0083503F">
      <w:pPr>
        <w:pStyle w:val="Body"/>
        <w:spacing w:line="240" w:lineRule="auto"/>
        <w:rPr>
          <w:rFonts w:ascii="Calibri" w:eastAsia="Trebuchet MS" w:hAnsi="Calibri" w:cs="Calibri"/>
        </w:rPr>
      </w:pPr>
      <w:r>
        <w:rPr>
          <w:rFonts w:ascii="Calibri" w:eastAsia="Trebuchet MS" w:hAnsi="Calibri" w:cs="Calibri"/>
        </w:rPr>
        <w:t>The manager should also communicate plans with staff at the start of the consultation process, ensuring that all employees (including those working remotely or absent from work) are able to access the communications</w:t>
      </w:r>
      <w:r w:rsidR="004058BF">
        <w:rPr>
          <w:rFonts w:ascii="Calibri" w:eastAsia="Trebuchet MS" w:hAnsi="Calibri" w:cs="Calibri"/>
        </w:rPr>
        <w:t xml:space="preserve"> (</w:t>
      </w:r>
      <w:r w:rsidR="00970881">
        <w:rPr>
          <w:rFonts w:ascii="Calibri" w:eastAsia="Trebuchet MS" w:hAnsi="Calibri" w:cs="Calibri"/>
        </w:rPr>
        <w:t>ACAS</w:t>
      </w:r>
      <w:r w:rsidR="004058BF">
        <w:rPr>
          <w:rFonts w:ascii="Calibri" w:eastAsia="Trebuchet MS" w:hAnsi="Calibri" w:cs="Calibri"/>
        </w:rPr>
        <w:t xml:space="preserve">, no date </w:t>
      </w:r>
      <w:r w:rsidR="00ED4919">
        <w:rPr>
          <w:rFonts w:ascii="Calibri" w:eastAsia="Trebuchet MS" w:hAnsi="Calibri" w:cs="Calibri"/>
        </w:rPr>
        <w:t>d</w:t>
      </w:r>
      <w:r w:rsidR="004058BF">
        <w:rPr>
          <w:rFonts w:ascii="Calibri" w:eastAsia="Trebuchet MS" w:hAnsi="Calibri" w:cs="Calibri"/>
        </w:rPr>
        <w:t xml:space="preserve">). Staff should be informed that there is risk of redundancy, as well as the number of redundancies possible and how the consultation process will work, including whether staff have the </w:t>
      </w:r>
      <w:r w:rsidR="004058BF" w:rsidRPr="00ED4919">
        <w:rPr>
          <w:rFonts w:ascii="Calibri" w:eastAsia="Trebuchet MS" w:hAnsi="Calibri" w:cs="Calibri"/>
        </w:rPr>
        <w:t>option of voluntary redundancy (</w:t>
      </w:r>
      <w:r w:rsidR="00970881">
        <w:rPr>
          <w:rFonts w:ascii="Calibri" w:eastAsia="Trebuchet MS" w:hAnsi="Calibri" w:cs="Calibri"/>
        </w:rPr>
        <w:t>ACAS</w:t>
      </w:r>
      <w:r w:rsidR="004058BF" w:rsidRPr="00ED4919">
        <w:rPr>
          <w:rFonts w:ascii="Calibri" w:eastAsia="Trebuchet MS" w:hAnsi="Calibri" w:cs="Calibri"/>
        </w:rPr>
        <w:t>, no</w:t>
      </w:r>
      <w:r w:rsidR="004058BF">
        <w:rPr>
          <w:rFonts w:ascii="Calibri" w:eastAsia="Trebuchet MS" w:hAnsi="Calibri" w:cs="Calibri"/>
        </w:rPr>
        <w:t xml:space="preserve"> date </w:t>
      </w:r>
      <w:r w:rsidR="00ED4919">
        <w:rPr>
          <w:rFonts w:ascii="Calibri" w:eastAsia="Trebuchet MS" w:hAnsi="Calibri" w:cs="Calibri"/>
        </w:rPr>
        <w:t>d</w:t>
      </w:r>
      <w:r w:rsidR="004058BF">
        <w:rPr>
          <w:rFonts w:ascii="Calibri" w:eastAsia="Trebuchet MS" w:hAnsi="Calibri" w:cs="Calibri"/>
        </w:rPr>
        <w:t>).</w:t>
      </w:r>
      <w:r w:rsidR="000164F6">
        <w:rPr>
          <w:rFonts w:ascii="Calibri" w:eastAsia="Trebuchet MS" w:hAnsi="Calibri" w:cs="Calibri"/>
        </w:rPr>
        <w:t xml:space="preserve"> </w:t>
      </w:r>
    </w:p>
    <w:p w14:paraId="21FB286D" w14:textId="77777777" w:rsidR="006E4F94" w:rsidRDefault="006E4F94" w:rsidP="0083503F">
      <w:pPr>
        <w:pStyle w:val="Body"/>
        <w:spacing w:line="240" w:lineRule="auto"/>
        <w:rPr>
          <w:rFonts w:ascii="Calibri" w:eastAsia="Trebuchet MS" w:hAnsi="Calibri" w:cs="Calibri"/>
        </w:rPr>
      </w:pPr>
    </w:p>
    <w:p w14:paraId="36D495C4" w14:textId="557F6E1E" w:rsidR="006E4F94" w:rsidRDefault="006E4F94" w:rsidP="0083503F">
      <w:pPr>
        <w:pStyle w:val="Body"/>
        <w:spacing w:line="240" w:lineRule="auto"/>
        <w:rPr>
          <w:rFonts w:ascii="Calibri" w:eastAsia="Trebuchet MS" w:hAnsi="Calibri" w:cs="Calibri"/>
        </w:rPr>
      </w:pPr>
      <w:r>
        <w:rPr>
          <w:rFonts w:ascii="Calibri" w:eastAsia="Trebuchet MS" w:hAnsi="Calibri" w:cs="Calibri"/>
        </w:rPr>
        <w:t>If staff are offered voluntary redundancy, the manager should also create a criteria for assessing applications, for example designating a maximum number of redundancies per department</w:t>
      </w:r>
      <w:r w:rsidR="008E71D9">
        <w:rPr>
          <w:rFonts w:ascii="Calibri" w:eastAsia="Trebuchet MS" w:hAnsi="Calibri" w:cs="Calibri"/>
        </w:rPr>
        <w:t xml:space="preserve"> (Hall 2025)</w:t>
      </w:r>
      <w:r>
        <w:rPr>
          <w:rFonts w:ascii="Calibri" w:eastAsia="Trebuchet MS" w:hAnsi="Calibri" w:cs="Calibri"/>
        </w:rPr>
        <w:t xml:space="preserve">. This will help to avoid the loss of </w:t>
      </w:r>
      <w:r w:rsidR="008E71D9">
        <w:rPr>
          <w:rFonts w:ascii="Calibri" w:eastAsia="Trebuchet MS" w:hAnsi="Calibri" w:cs="Calibri"/>
        </w:rPr>
        <w:t>quality employees. Voluntary redundancy can be attractive to employees eligible for redundancy pay, for example those looking for a career change or early retirement.</w:t>
      </w:r>
    </w:p>
    <w:p w14:paraId="02697172" w14:textId="77777777" w:rsidR="000164F6" w:rsidRDefault="000164F6" w:rsidP="0083503F">
      <w:pPr>
        <w:pStyle w:val="Body"/>
        <w:spacing w:line="240" w:lineRule="auto"/>
        <w:rPr>
          <w:rFonts w:ascii="Calibri" w:eastAsia="Trebuchet MS" w:hAnsi="Calibri" w:cs="Calibri"/>
        </w:rPr>
      </w:pPr>
    </w:p>
    <w:p w14:paraId="32AC923B" w14:textId="2ADAFA51" w:rsidR="00360F66" w:rsidRDefault="000164F6" w:rsidP="0083503F">
      <w:pPr>
        <w:pStyle w:val="Body"/>
        <w:spacing w:line="240" w:lineRule="auto"/>
        <w:rPr>
          <w:rFonts w:ascii="Calibri" w:eastAsia="Trebuchet MS" w:hAnsi="Calibri" w:cs="Calibri"/>
        </w:rPr>
      </w:pPr>
      <w:r>
        <w:rPr>
          <w:rFonts w:ascii="Calibri" w:eastAsia="Trebuchet MS" w:hAnsi="Calibri" w:cs="Calibri"/>
        </w:rPr>
        <w:t>All employees who are being considered for</w:t>
      </w:r>
      <w:r w:rsidR="008E71D9">
        <w:rPr>
          <w:rFonts w:ascii="Calibri" w:eastAsia="Trebuchet MS" w:hAnsi="Calibri" w:cs="Calibri"/>
        </w:rPr>
        <w:t xml:space="preserve"> compulsory</w:t>
      </w:r>
      <w:r>
        <w:rPr>
          <w:rFonts w:ascii="Calibri" w:eastAsia="Trebuchet MS" w:hAnsi="Calibri" w:cs="Calibri"/>
        </w:rPr>
        <w:t xml:space="preserve"> redundancy should then be consulted and, as the manager is considering 50 redundancies, these consultations (to involve ‘employee representatives or trade unions’ should begin at least 30 days before any dismissals (</w:t>
      </w:r>
      <w:r w:rsidR="00970881">
        <w:rPr>
          <w:rFonts w:ascii="Calibri" w:eastAsia="Trebuchet MS" w:hAnsi="Calibri" w:cs="Calibri"/>
        </w:rPr>
        <w:t>ACAS</w:t>
      </w:r>
      <w:r>
        <w:rPr>
          <w:rFonts w:ascii="Calibri" w:eastAsia="Trebuchet MS" w:hAnsi="Calibri" w:cs="Calibri"/>
        </w:rPr>
        <w:t xml:space="preserve">, no date </w:t>
      </w:r>
      <w:r w:rsidR="00ED4919">
        <w:rPr>
          <w:rFonts w:ascii="Calibri" w:eastAsia="Trebuchet MS" w:hAnsi="Calibri" w:cs="Calibri"/>
        </w:rPr>
        <w:t>d</w:t>
      </w:r>
      <w:r>
        <w:rPr>
          <w:rFonts w:ascii="Calibri" w:eastAsia="Trebuchet MS" w:hAnsi="Calibri" w:cs="Calibri"/>
        </w:rPr>
        <w:t>). At this point, the employer should also ensure that the Redundancy Payments Service (RPS) has been informed.</w:t>
      </w:r>
    </w:p>
    <w:p w14:paraId="0DF8A954" w14:textId="77777777" w:rsidR="004A0F82" w:rsidRDefault="004A0F82" w:rsidP="0083503F">
      <w:pPr>
        <w:pStyle w:val="Body"/>
        <w:spacing w:line="240" w:lineRule="auto"/>
        <w:rPr>
          <w:rFonts w:ascii="Calibri" w:eastAsia="Trebuchet MS" w:hAnsi="Calibri" w:cs="Calibri"/>
        </w:rPr>
      </w:pPr>
    </w:p>
    <w:p w14:paraId="2613FAFF" w14:textId="1C795321" w:rsidR="004A0F82" w:rsidRDefault="0090164D" w:rsidP="0083503F">
      <w:pPr>
        <w:pStyle w:val="Body"/>
        <w:spacing w:line="240" w:lineRule="auto"/>
        <w:rPr>
          <w:rFonts w:ascii="Calibri" w:eastAsia="Trebuchet MS" w:hAnsi="Calibri" w:cs="Calibri"/>
        </w:rPr>
      </w:pPr>
      <w:r>
        <w:rPr>
          <w:rFonts w:ascii="Calibri" w:eastAsia="Trebuchet MS" w:hAnsi="Calibri" w:cs="Calibri"/>
        </w:rPr>
        <w:t>Whether it is voluntary or compulsory, all employees being made redundant who have been with the employer for two years or more are entitled to statutory redundancy pay:</w:t>
      </w:r>
    </w:p>
    <w:p w14:paraId="30695D9E" w14:textId="25119FA3" w:rsidR="0090164D" w:rsidRPr="0090164D" w:rsidRDefault="0090164D" w:rsidP="0090164D">
      <w:pPr>
        <w:pStyle w:val="Body"/>
        <w:numPr>
          <w:ilvl w:val="0"/>
          <w:numId w:val="25"/>
        </w:numPr>
        <w:rPr>
          <w:rFonts w:ascii="Calibri" w:eastAsia="Trebuchet MS" w:hAnsi="Calibri" w:cs="Calibri"/>
        </w:rPr>
      </w:pPr>
      <w:r>
        <w:rPr>
          <w:rFonts w:ascii="Calibri" w:eastAsia="Trebuchet MS" w:hAnsi="Calibri" w:cs="Calibri"/>
        </w:rPr>
        <w:lastRenderedPageBreak/>
        <w:t>‘</w:t>
      </w:r>
      <w:r w:rsidRPr="0090164D">
        <w:rPr>
          <w:rFonts w:ascii="Calibri" w:eastAsia="Trebuchet MS" w:hAnsi="Calibri" w:cs="Calibri"/>
        </w:rPr>
        <w:t xml:space="preserve">half a week’s pay for each full year </w:t>
      </w:r>
      <w:r>
        <w:rPr>
          <w:rFonts w:ascii="Calibri" w:eastAsia="Trebuchet MS" w:hAnsi="Calibri" w:cs="Calibri"/>
        </w:rPr>
        <w:t>they</w:t>
      </w:r>
      <w:r w:rsidRPr="0090164D">
        <w:rPr>
          <w:rFonts w:ascii="Calibri" w:eastAsia="Trebuchet MS" w:hAnsi="Calibri" w:cs="Calibri"/>
        </w:rPr>
        <w:t xml:space="preserve"> were under 22</w:t>
      </w:r>
      <w:r>
        <w:rPr>
          <w:rFonts w:ascii="Calibri" w:eastAsia="Trebuchet MS" w:hAnsi="Calibri" w:cs="Calibri"/>
        </w:rPr>
        <w:t>’</w:t>
      </w:r>
    </w:p>
    <w:p w14:paraId="553936C3" w14:textId="3CF67DDE" w:rsidR="0090164D" w:rsidRPr="0090164D" w:rsidRDefault="0090164D" w:rsidP="0090164D">
      <w:pPr>
        <w:pStyle w:val="Body"/>
        <w:numPr>
          <w:ilvl w:val="0"/>
          <w:numId w:val="25"/>
        </w:numPr>
        <w:rPr>
          <w:rFonts w:ascii="Calibri" w:eastAsia="Trebuchet MS" w:hAnsi="Calibri" w:cs="Calibri"/>
        </w:rPr>
      </w:pPr>
      <w:r>
        <w:rPr>
          <w:rFonts w:ascii="Calibri" w:eastAsia="Trebuchet MS" w:hAnsi="Calibri" w:cs="Calibri"/>
        </w:rPr>
        <w:t>‘</w:t>
      </w:r>
      <w:r w:rsidRPr="0090164D">
        <w:rPr>
          <w:rFonts w:ascii="Calibri" w:eastAsia="Trebuchet MS" w:hAnsi="Calibri" w:cs="Calibri"/>
        </w:rPr>
        <w:t xml:space="preserve">one week’s pay for each full year </w:t>
      </w:r>
      <w:r>
        <w:rPr>
          <w:rFonts w:ascii="Calibri" w:eastAsia="Trebuchet MS" w:hAnsi="Calibri" w:cs="Calibri"/>
        </w:rPr>
        <w:t>they</w:t>
      </w:r>
      <w:r w:rsidRPr="0090164D">
        <w:rPr>
          <w:rFonts w:ascii="Calibri" w:eastAsia="Trebuchet MS" w:hAnsi="Calibri" w:cs="Calibri"/>
        </w:rPr>
        <w:t xml:space="preserve"> were 22 or older, but under 41</w:t>
      </w:r>
      <w:r>
        <w:rPr>
          <w:rFonts w:ascii="Calibri" w:eastAsia="Trebuchet MS" w:hAnsi="Calibri" w:cs="Calibri"/>
        </w:rPr>
        <w:t>’</w:t>
      </w:r>
    </w:p>
    <w:p w14:paraId="0EF6B1CE" w14:textId="7CA467FD" w:rsidR="0090164D" w:rsidRDefault="0090164D" w:rsidP="0090164D">
      <w:pPr>
        <w:pStyle w:val="Body"/>
        <w:numPr>
          <w:ilvl w:val="0"/>
          <w:numId w:val="25"/>
        </w:numPr>
        <w:rPr>
          <w:rFonts w:ascii="Calibri" w:eastAsia="Trebuchet MS" w:hAnsi="Calibri" w:cs="Calibri"/>
        </w:rPr>
      </w:pPr>
      <w:r>
        <w:rPr>
          <w:rFonts w:ascii="Calibri" w:eastAsia="Trebuchet MS" w:hAnsi="Calibri" w:cs="Calibri"/>
        </w:rPr>
        <w:t>‘</w:t>
      </w:r>
      <w:r w:rsidRPr="0090164D">
        <w:rPr>
          <w:rFonts w:ascii="Calibri" w:eastAsia="Trebuchet MS" w:hAnsi="Calibri" w:cs="Calibri"/>
        </w:rPr>
        <w:t xml:space="preserve">one and half week’s pay for each full year </w:t>
      </w:r>
      <w:r>
        <w:rPr>
          <w:rFonts w:ascii="Calibri" w:eastAsia="Trebuchet MS" w:hAnsi="Calibri" w:cs="Calibri"/>
        </w:rPr>
        <w:t>they</w:t>
      </w:r>
      <w:r w:rsidRPr="0090164D">
        <w:rPr>
          <w:rFonts w:ascii="Calibri" w:eastAsia="Trebuchet MS" w:hAnsi="Calibri" w:cs="Calibri"/>
        </w:rPr>
        <w:t xml:space="preserve"> were 41 or older</w:t>
      </w:r>
      <w:r>
        <w:rPr>
          <w:rFonts w:ascii="Calibri" w:eastAsia="Trebuchet MS" w:hAnsi="Calibri" w:cs="Calibri"/>
        </w:rPr>
        <w:t>’</w:t>
      </w:r>
    </w:p>
    <w:p w14:paraId="4C986DCB" w14:textId="422216C5" w:rsidR="00680775" w:rsidRPr="0090164D" w:rsidRDefault="00680775" w:rsidP="00680775">
      <w:pPr>
        <w:pStyle w:val="Body"/>
        <w:rPr>
          <w:rFonts w:ascii="Calibri" w:eastAsia="Trebuchet MS" w:hAnsi="Calibri" w:cs="Calibri"/>
        </w:rPr>
      </w:pPr>
      <w:r>
        <w:rPr>
          <w:rFonts w:ascii="Calibri" w:eastAsia="Trebuchet MS" w:hAnsi="Calibri" w:cs="Calibri"/>
        </w:rPr>
        <w:t>(GOV.UK, no date</w:t>
      </w:r>
      <w:r w:rsidR="00ED4919">
        <w:rPr>
          <w:rFonts w:ascii="Calibri" w:eastAsia="Trebuchet MS" w:hAnsi="Calibri" w:cs="Calibri"/>
        </w:rPr>
        <w:t xml:space="preserve"> c</w:t>
      </w:r>
      <w:r>
        <w:rPr>
          <w:rFonts w:ascii="Calibri" w:eastAsia="Trebuchet MS" w:hAnsi="Calibri" w:cs="Calibri"/>
        </w:rPr>
        <w:t>)</w:t>
      </w:r>
    </w:p>
    <w:p w14:paraId="696C4474" w14:textId="77777777" w:rsidR="0090164D" w:rsidRDefault="0090164D" w:rsidP="0083503F">
      <w:pPr>
        <w:pStyle w:val="Body"/>
        <w:spacing w:line="240" w:lineRule="auto"/>
        <w:rPr>
          <w:rFonts w:ascii="Calibri" w:eastAsia="Trebuchet MS" w:hAnsi="Calibri" w:cs="Calibri"/>
        </w:rPr>
      </w:pPr>
    </w:p>
    <w:p w14:paraId="7C188CD4" w14:textId="68EEAE0F" w:rsidR="001E47AA" w:rsidRPr="00680775" w:rsidRDefault="00680775" w:rsidP="0083503F">
      <w:pPr>
        <w:pStyle w:val="Body"/>
        <w:spacing w:line="240" w:lineRule="auto"/>
        <w:rPr>
          <w:rFonts w:ascii="Calibri" w:eastAsia="Trebuchet MS" w:hAnsi="Calibri" w:cs="Calibri"/>
        </w:rPr>
      </w:pPr>
      <w:r>
        <w:rPr>
          <w:rFonts w:ascii="Calibri" w:eastAsia="Trebuchet MS" w:hAnsi="Calibri" w:cs="Calibri"/>
        </w:rPr>
        <w:t>Some employers also offer contractual or enhanced redundancy pay – this is where they choose to ‘top up’ the statutory amount that is offered to redundant staff, and should be written in a policy or employee contracts. The manager in question should also therefore ensure they know what they will need to pay staff being made redundant.</w:t>
      </w:r>
    </w:p>
    <w:p w14:paraId="6F295F53" w14:textId="77777777" w:rsidR="00C501C2" w:rsidRPr="00221EEE" w:rsidRDefault="00C501C2" w:rsidP="0083503F">
      <w:pPr>
        <w:pStyle w:val="Body"/>
        <w:spacing w:line="240" w:lineRule="auto"/>
        <w:rPr>
          <w:rFonts w:ascii="Calibri" w:eastAsia="Trebuchet MS" w:hAnsi="Calibri" w:cs="Calibri"/>
          <w:b/>
          <w:bCs/>
        </w:rPr>
      </w:pPr>
    </w:p>
    <w:p w14:paraId="496685F6" w14:textId="77777777" w:rsidR="0004167C" w:rsidRPr="00694197" w:rsidRDefault="0004167C" w:rsidP="0004167C">
      <w:pPr>
        <w:pStyle w:val="Body"/>
        <w:spacing w:line="240" w:lineRule="auto"/>
        <w:rPr>
          <w:rFonts w:ascii="Calibri" w:eastAsia="Trebuchet MS" w:hAnsi="Calibri" w:cs="Calibri"/>
          <w:b/>
          <w:bCs/>
          <w:color w:val="auto"/>
          <w:sz w:val="24"/>
          <w:szCs w:val="24"/>
        </w:rPr>
      </w:pPr>
      <w:r w:rsidRPr="00694197">
        <w:rPr>
          <w:rFonts w:ascii="Calibri" w:hAnsi="Calibri" w:cs="Calibri"/>
          <w:b/>
          <w:bCs/>
          <w:color w:val="auto"/>
          <w:sz w:val="24"/>
          <w:szCs w:val="24"/>
          <w:u w:color="004147"/>
          <w:lang w:val="en-US"/>
        </w:rPr>
        <w:t xml:space="preserve">Email 7 (AC 3.3) </w:t>
      </w:r>
      <w:r w:rsidRPr="00694197">
        <w:rPr>
          <w:rFonts w:ascii="Calibri" w:hAnsi="Calibri" w:cs="Calibri"/>
          <w:b/>
          <w:bCs/>
          <w:color w:val="auto"/>
          <w:sz w:val="24"/>
          <w:szCs w:val="24"/>
        </w:rPr>
        <w:t xml:space="preserve">  </w:t>
      </w:r>
    </w:p>
    <w:p w14:paraId="5EB00CF5" w14:textId="77777777" w:rsidR="0004167C" w:rsidRDefault="0004167C" w:rsidP="0004167C">
      <w:pPr>
        <w:pStyle w:val="Body"/>
        <w:spacing w:line="240" w:lineRule="auto"/>
        <w:rPr>
          <w:rFonts w:ascii="Calibri" w:eastAsia="Trebuchet MS" w:hAnsi="Calibri" w:cs="Calibri"/>
          <w:b/>
          <w:bCs/>
        </w:rPr>
      </w:pPr>
    </w:p>
    <w:p w14:paraId="7625461F" w14:textId="093CBDA7" w:rsidR="00DD0AF4" w:rsidRDefault="00DD0AF4" w:rsidP="0004167C">
      <w:pPr>
        <w:pStyle w:val="Body"/>
        <w:spacing w:line="240" w:lineRule="auto"/>
        <w:rPr>
          <w:rFonts w:ascii="Calibri" w:eastAsia="Trebuchet MS" w:hAnsi="Calibri" w:cs="Calibri"/>
        </w:rPr>
      </w:pPr>
      <w:r>
        <w:rPr>
          <w:rFonts w:ascii="Calibri" w:eastAsia="Trebuchet MS" w:hAnsi="Calibri" w:cs="Calibri"/>
        </w:rPr>
        <w:t>TUPE (transfer of undertakings) happens when an organisation changes its service provision or a business moves to new ownership. The TUPE Regulations 2006 are in place to ensure protection of the terms and conditions of any employees who may be transferred to a new employer through a TUPE process (CIPD, no date b). In the merging of the pharmacies, the employees at the neighbouring Trust’s pharmacy would likely need to be transferred to your Trust through a TUPE</w:t>
      </w:r>
      <w:r w:rsidR="006D7A3D">
        <w:rPr>
          <w:rFonts w:ascii="Calibri" w:eastAsia="Trebuchet MS" w:hAnsi="Calibri" w:cs="Calibri"/>
        </w:rPr>
        <w:t>.</w:t>
      </w:r>
      <w:r>
        <w:rPr>
          <w:rFonts w:ascii="Calibri" w:eastAsia="Trebuchet MS" w:hAnsi="Calibri" w:cs="Calibri"/>
        </w:rPr>
        <w:t xml:space="preserve"> </w:t>
      </w:r>
      <w:r w:rsidR="006D7A3D">
        <w:rPr>
          <w:rFonts w:ascii="Calibri" w:eastAsia="Trebuchet MS" w:hAnsi="Calibri" w:cs="Calibri"/>
        </w:rPr>
        <w:t>A</w:t>
      </w:r>
      <w:r>
        <w:rPr>
          <w:rFonts w:ascii="Calibri" w:eastAsia="Trebuchet MS" w:hAnsi="Calibri" w:cs="Calibri"/>
        </w:rPr>
        <w:t xml:space="preserve">s </w:t>
      </w:r>
      <w:r w:rsidR="006D7A3D">
        <w:rPr>
          <w:rFonts w:ascii="Calibri" w:eastAsia="Trebuchet MS" w:hAnsi="Calibri" w:cs="Calibri"/>
        </w:rPr>
        <w:t xml:space="preserve">long as </w:t>
      </w:r>
      <w:r>
        <w:rPr>
          <w:rFonts w:ascii="Calibri" w:eastAsia="Trebuchet MS" w:hAnsi="Calibri" w:cs="Calibri"/>
        </w:rPr>
        <w:t>the type of business will stay the same and the tasks carried out by transferred employees will be very similar</w:t>
      </w:r>
      <w:r w:rsidR="006D7A3D">
        <w:rPr>
          <w:rFonts w:ascii="Calibri" w:eastAsia="Trebuchet MS" w:hAnsi="Calibri" w:cs="Calibri"/>
        </w:rPr>
        <w:t>, TUPE would definitely apply.</w:t>
      </w:r>
    </w:p>
    <w:p w14:paraId="74E93531" w14:textId="77777777" w:rsidR="00DD0AF4" w:rsidRDefault="00DD0AF4" w:rsidP="0004167C">
      <w:pPr>
        <w:pStyle w:val="Body"/>
        <w:spacing w:line="240" w:lineRule="auto"/>
        <w:rPr>
          <w:rFonts w:ascii="Calibri" w:eastAsia="Trebuchet MS" w:hAnsi="Calibri" w:cs="Calibri"/>
        </w:rPr>
      </w:pPr>
    </w:p>
    <w:p w14:paraId="786930EF" w14:textId="7AE96708" w:rsidR="00DD0AF4" w:rsidRPr="00DD0AF4" w:rsidRDefault="00F56303" w:rsidP="0004167C">
      <w:pPr>
        <w:pStyle w:val="Body"/>
        <w:spacing w:line="240" w:lineRule="auto"/>
        <w:rPr>
          <w:rFonts w:ascii="Calibri" w:eastAsia="Trebuchet MS" w:hAnsi="Calibri" w:cs="Calibri"/>
        </w:rPr>
      </w:pPr>
      <w:r>
        <w:rPr>
          <w:rFonts w:ascii="Calibri" w:eastAsia="Trebuchet MS" w:hAnsi="Calibri" w:cs="Calibri"/>
        </w:rPr>
        <w:t>When TUPE applies, employees’ contracts from their previous employer will carry over, as if they signed their original contract with the new employer (Pinsent Masons, 2023). This means that all employee benefits, such as pay, length of service, holiday entitlement and pay, sick pay and redundancy pay, will still apply unless otherwise justified and agreed with the employee (</w:t>
      </w:r>
      <w:r w:rsidR="00970881">
        <w:rPr>
          <w:rFonts w:ascii="Calibri" w:eastAsia="Trebuchet MS" w:hAnsi="Calibri" w:cs="Calibri"/>
        </w:rPr>
        <w:t>ACAS</w:t>
      </w:r>
      <w:r>
        <w:rPr>
          <w:rFonts w:ascii="Calibri" w:eastAsia="Trebuchet MS" w:hAnsi="Calibri" w:cs="Calibri"/>
        </w:rPr>
        <w:t>, 2024c). For example, if the new employer has higher pay bands and better benefits, they may consult with transferred employees to uplift their pay and benefits to match</w:t>
      </w:r>
      <w:r w:rsidR="006D7A3D">
        <w:rPr>
          <w:rFonts w:ascii="Calibri" w:eastAsia="Trebuchet MS" w:hAnsi="Calibri" w:cs="Calibri"/>
        </w:rPr>
        <w:t xml:space="preserve">, although transferred employees would need to agree to any changes (even positive ones). </w:t>
      </w:r>
      <w:r>
        <w:rPr>
          <w:rFonts w:ascii="Calibri" w:eastAsia="Trebuchet MS" w:hAnsi="Calibri" w:cs="Calibri"/>
        </w:rPr>
        <w:t>However, if the new employer has lower pay bands and less benefits, they would not be able to implement these for transferred employees.</w:t>
      </w:r>
      <w:r w:rsidR="006D7A3D">
        <w:rPr>
          <w:rFonts w:ascii="Calibri" w:eastAsia="Trebuchet MS" w:hAnsi="Calibri" w:cs="Calibri"/>
        </w:rPr>
        <w:t xml:space="preserve"> Employees involved in a TUPE are also protected from any dismissal that could be linked to the transfer, unless there is true justification, such as redundancies required by a restructure. This would need to follow the correct redundancy procedure.</w:t>
      </w:r>
    </w:p>
    <w:p w14:paraId="0ED84680" w14:textId="77777777" w:rsidR="00DD0AF4" w:rsidRDefault="00DD0AF4" w:rsidP="0004167C">
      <w:pPr>
        <w:pStyle w:val="Body"/>
        <w:spacing w:line="240" w:lineRule="auto"/>
        <w:rPr>
          <w:rFonts w:ascii="Calibri" w:eastAsia="Trebuchet MS" w:hAnsi="Calibri" w:cs="Calibri"/>
          <w:b/>
          <w:bCs/>
        </w:rPr>
      </w:pPr>
    </w:p>
    <w:p w14:paraId="159FF775" w14:textId="0718D4C7" w:rsidR="00DD0AF4" w:rsidRPr="00DD0AF4" w:rsidRDefault="00F56303" w:rsidP="0004167C">
      <w:pPr>
        <w:pStyle w:val="Body"/>
        <w:spacing w:line="240" w:lineRule="auto"/>
        <w:rPr>
          <w:rFonts w:ascii="Calibri" w:eastAsia="Trebuchet MS" w:hAnsi="Calibri" w:cs="Calibri"/>
        </w:rPr>
      </w:pPr>
      <w:r>
        <w:rPr>
          <w:rFonts w:ascii="Calibri" w:eastAsia="Trebuchet MS" w:hAnsi="Calibri" w:cs="Calibri"/>
        </w:rPr>
        <w:t>In a TUPE situation, both the old and new employers must inform and consult with any affected employees</w:t>
      </w:r>
      <w:r w:rsidR="006D7A3D">
        <w:rPr>
          <w:rFonts w:ascii="Calibri" w:eastAsia="Trebuchet MS" w:hAnsi="Calibri" w:cs="Calibri"/>
        </w:rPr>
        <w:t>, as well as representatives, even if there will be no changes as a result of the TUPE. Consultation is vital as it gives the employers an opportunity to share plans and any expected impact of the transfer, whilst giving employees the opportunity to share any concerns and have any questions answered (</w:t>
      </w:r>
      <w:r w:rsidR="00970881">
        <w:rPr>
          <w:rFonts w:ascii="Calibri" w:eastAsia="Trebuchet MS" w:hAnsi="Calibri" w:cs="Calibri"/>
        </w:rPr>
        <w:t>ACAS</w:t>
      </w:r>
      <w:r w:rsidR="006D7A3D">
        <w:rPr>
          <w:rFonts w:ascii="Calibri" w:eastAsia="Trebuchet MS" w:hAnsi="Calibri" w:cs="Calibri"/>
        </w:rPr>
        <w:t>, no date e). If consultation doesn’t occur, both employers involved could be at risk of employment tribunal claims, which could lead to compensation of up to 13 weeks’ pay per impacted employee (</w:t>
      </w:r>
      <w:r w:rsidR="00970881">
        <w:rPr>
          <w:rFonts w:ascii="Calibri" w:eastAsia="Trebuchet MS" w:hAnsi="Calibri" w:cs="Calibri"/>
        </w:rPr>
        <w:t>ACAS</w:t>
      </w:r>
      <w:r w:rsidR="006D7A3D">
        <w:rPr>
          <w:rFonts w:ascii="Calibri" w:eastAsia="Trebuchet MS" w:hAnsi="Calibri" w:cs="Calibri"/>
        </w:rPr>
        <w:t>, no date b).</w:t>
      </w:r>
    </w:p>
    <w:p w14:paraId="52142820" w14:textId="77777777" w:rsidR="00DD0AF4" w:rsidRDefault="00DD0AF4" w:rsidP="0004167C">
      <w:pPr>
        <w:pStyle w:val="Body"/>
        <w:spacing w:line="240" w:lineRule="auto"/>
        <w:rPr>
          <w:rFonts w:ascii="Calibri" w:eastAsia="Trebuchet MS" w:hAnsi="Calibri" w:cs="Calibri"/>
          <w:b/>
          <w:bCs/>
        </w:rPr>
      </w:pPr>
    </w:p>
    <w:p w14:paraId="656E9E81" w14:textId="6D879E01" w:rsidR="00C501C2" w:rsidRPr="008B33ED" w:rsidRDefault="008B33ED" w:rsidP="0083503F">
      <w:pPr>
        <w:pStyle w:val="Body"/>
        <w:spacing w:line="240" w:lineRule="auto"/>
        <w:rPr>
          <w:rFonts w:ascii="Calibri" w:eastAsia="Trebuchet MS" w:hAnsi="Calibri" w:cs="Calibri"/>
        </w:rPr>
      </w:pPr>
      <w:r>
        <w:rPr>
          <w:rFonts w:ascii="Calibri" w:eastAsia="Trebuchet MS" w:hAnsi="Calibri" w:cs="Calibri"/>
        </w:rPr>
        <w:t>The CEO in question would need to carefully consider any potential restructuring as a result of the merger, to consider the impact of any alterations to job roles or possible redundancies. They would also need to work with the neighbouring Trust’s pharmacy, to identify any differences in terms and conditions offered to both pharmacy’s employees, prior to a TUPE process.</w:t>
      </w:r>
    </w:p>
    <w:p w14:paraId="5FC3984C" w14:textId="77777777" w:rsidR="00C501C2" w:rsidRPr="00221EEE" w:rsidRDefault="00C501C2" w:rsidP="0083503F">
      <w:pPr>
        <w:pStyle w:val="Body"/>
        <w:spacing w:line="240" w:lineRule="auto"/>
        <w:rPr>
          <w:rFonts w:ascii="Calibri" w:eastAsia="Trebuchet MS" w:hAnsi="Calibri" w:cs="Calibri"/>
          <w:b/>
          <w:bCs/>
        </w:rPr>
      </w:pPr>
    </w:p>
    <w:p w14:paraId="6DB688DA" w14:textId="77777777" w:rsidR="00C501C2" w:rsidRPr="00694197" w:rsidRDefault="00C501C2" w:rsidP="0083503F">
      <w:pPr>
        <w:pStyle w:val="Body"/>
        <w:spacing w:line="240" w:lineRule="auto"/>
        <w:rPr>
          <w:rFonts w:ascii="Calibri" w:eastAsia="Trebuchet MS" w:hAnsi="Calibri" w:cs="Calibri"/>
          <w:b/>
          <w:bCs/>
          <w:color w:val="auto"/>
          <w:sz w:val="24"/>
          <w:szCs w:val="24"/>
          <w:u w:color="004147"/>
        </w:rPr>
      </w:pPr>
      <w:r w:rsidRPr="00694197">
        <w:rPr>
          <w:rFonts w:ascii="Calibri" w:hAnsi="Calibri" w:cs="Calibri"/>
          <w:b/>
          <w:bCs/>
          <w:color w:val="auto"/>
          <w:sz w:val="24"/>
          <w:szCs w:val="24"/>
          <w:u w:color="004147"/>
          <w:lang w:val="en-US"/>
        </w:rPr>
        <w:t>Email 8 (AC 4.1)</w:t>
      </w:r>
    </w:p>
    <w:p w14:paraId="0E80633D" w14:textId="77777777" w:rsidR="00C501C2" w:rsidRPr="00221EEE" w:rsidRDefault="00C501C2" w:rsidP="0083503F">
      <w:pPr>
        <w:pStyle w:val="Body"/>
        <w:spacing w:line="240" w:lineRule="auto"/>
        <w:rPr>
          <w:rFonts w:ascii="Calibri" w:eastAsia="Trebuchet MS" w:hAnsi="Calibri" w:cs="Calibri"/>
          <w:b/>
          <w:bCs/>
        </w:rPr>
      </w:pPr>
    </w:p>
    <w:p w14:paraId="6E6BC50B" w14:textId="373D8D87" w:rsidR="00C501C2" w:rsidRDefault="008065CE" w:rsidP="0083503F">
      <w:pPr>
        <w:pStyle w:val="Body"/>
        <w:spacing w:line="240" w:lineRule="auto"/>
        <w:rPr>
          <w:rFonts w:ascii="Calibri" w:eastAsia="Trebuchet MS" w:hAnsi="Calibri" w:cs="Calibri"/>
        </w:rPr>
      </w:pPr>
      <w:r>
        <w:rPr>
          <w:rFonts w:ascii="Calibri" w:eastAsia="Trebuchet MS" w:hAnsi="Calibri" w:cs="Calibri"/>
        </w:rPr>
        <w:t xml:space="preserve">It is vital </w:t>
      </w:r>
      <w:r w:rsidR="00E61302">
        <w:rPr>
          <w:rFonts w:ascii="Calibri" w:eastAsia="Trebuchet MS" w:hAnsi="Calibri" w:cs="Calibri"/>
        </w:rPr>
        <w:t xml:space="preserve">to ensure that all workers are given the correct holiday entitlement and pay. For full time workers, this equates to 28 days (5.6 weeks) </w:t>
      </w:r>
      <w:r w:rsidR="004215B2">
        <w:rPr>
          <w:rFonts w:ascii="Calibri" w:eastAsia="Trebuchet MS" w:hAnsi="Calibri" w:cs="Calibri"/>
        </w:rPr>
        <w:t>of paid time off per year. For part time workers, this 28 days is calculated pro rata, in line with the amount of days worked</w:t>
      </w:r>
      <w:r w:rsidR="00D75050">
        <w:rPr>
          <w:rFonts w:ascii="Calibri" w:eastAsia="Trebuchet MS" w:hAnsi="Calibri" w:cs="Calibri"/>
        </w:rPr>
        <w:t xml:space="preserve"> (CIPD, 2023a)</w:t>
      </w:r>
      <w:r w:rsidR="004215B2">
        <w:rPr>
          <w:rFonts w:ascii="Calibri" w:eastAsia="Trebuchet MS" w:hAnsi="Calibri" w:cs="Calibri"/>
        </w:rPr>
        <w:t xml:space="preserve">. For example, those </w:t>
      </w:r>
      <w:r w:rsidR="004215B2">
        <w:rPr>
          <w:rFonts w:ascii="Calibri" w:eastAsia="Trebuchet MS" w:hAnsi="Calibri" w:cs="Calibri"/>
        </w:rPr>
        <w:lastRenderedPageBreak/>
        <w:t>who work three days per week are entitled to 16.8 days, as this is three fifths of 28. Employers of part time workers may choose to round any partial days up, but they must not round down.</w:t>
      </w:r>
    </w:p>
    <w:p w14:paraId="3D2D381F" w14:textId="77777777" w:rsidR="004215B2" w:rsidRDefault="004215B2" w:rsidP="0083503F">
      <w:pPr>
        <w:pStyle w:val="Body"/>
        <w:spacing w:line="240" w:lineRule="auto"/>
        <w:rPr>
          <w:rFonts w:ascii="Calibri" w:eastAsia="Trebuchet MS" w:hAnsi="Calibri" w:cs="Calibri"/>
        </w:rPr>
      </w:pPr>
    </w:p>
    <w:p w14:paraId="6523A7F2" w14:textId="57CFE8B8" w:rsidR="00C30FAA" w:rsidRDefault="004215B2" w:rsidP="00C30FAA">
      <w:pPr>
        <w:pStyle w:val="Body"/>
        <w:spacing w:line="240" w:lineRule="auto"/>
        <w:rPr>
          <w:rFonts w:ascii="Calibri" w:eastAsia="Trebuchet MS" w:hAnsi="Calibri" w:cs="Calibri"/>
        </w:rPr>
      </w:pPr>
      <w:r>
        <w:rPr>
          <w:rFonts w:ascii="Calibri" w:eastAsia="Trebuchet MS" w:hAnsi="Calibri" w:cs="Calibri"/>
        </w:rPr>
        <w:t>For those who work irregular hours, such as the nurse bank staff mentioned in the email, employers were previously required to calculate holiday entitlement by looking at how many hours were worked in the 52 weeks prior or, if the individual had not been employed by the employer for this long, the weeks they had been employed</w:t>
      </w:r>
      <w:r w:rsidR="00D75050">
        <w:rPr>
          <w:rFonts w:ascii="Calibri" w:eastAsia="Trebuchet MS" w:hAnsi="Calibri" w:cs="Calibri"/>
        </w:rPr>
        <w:t xml:space="preserve"> (CIPD, 2023a)</w:t>
      </w:r>
      <w:r>
        <w:rPr>
          <w:rFonts w:ascii="Calibri" w:eastAsia="Trebuchet MS" w:hAnsi="Calibri" w:cs="Calibri"/>
        </w:rPr>
        <w:t>.</w:t>
      </w:r>
    </w:p>
    <w:p w14:paraId="7BBC5D1A" w14:textId="77777777" w:rsidR="00C30FAA" w:rsidRPr="00C30FAA" w:rsidRDefault="00C30FAA" w:rsidP="00C30FAA">
      <w:pPr>
        <w:pStyle w:val="Body"/>
        <w:spacing w:line="240" w:lineRule="auto"/>
        <w:rPr>
          <w:rFonts w:ascii="Calibri" w:eastAsia="Trebuchet MS" w:hAnsi="Calibri" w:cs="Calibri"/>
        </w:rPr>
      </w:pPr>
    </w:p>
    <w:p w14:paraId="3B28BFFC" w14:textId="20784680" w:rsidR="00C30FAA" w:rsidRDefault="00C30FAA">
      <w:pPr>
        <w:rPr>
          <w:rFonts w:ascii="Calibri" w:hAnsi="Calibri" w:cs="Calibri"/>
          <w:u w:color="004147"/>
          <w:lang w:val="en-US"/>
        </w:rPr>
      </w:pPr>
      <w:r w:rsidRPr="00C30FAA">
        <w:rPr>
          <w:rFonts w:ascii="Calibri" w:hAnsi="Calibri" w:cs="Calibri"/>
          <w:u w:color="004147"/>
          <w:lang w:val="en-US"/>
        </w:rPr>
        <w:t>However,</w:t>
      </w:r>
      <w:r>
        <w:rPr>
          <w:rFonts w:ascii="Calibri" w:hAnsi="Calibri" w:cs="Calibri"/>
          <w:u w:color="004147"/>
          <w:lang w:val="en-US"/>
        </w:rPr>
        <w:t xml:space="preserve"> since 2024 and following the UK’S Department for Business and Trade’s 2023 recommendations, the correct method for calculating holiday entitlement for irregular workers is by calculating 12.07% of hours worked in a month, which then equates to how many hours’ holiday the worker accrued for that month (CIPD, 2023</w:t>
      </w:r>
      <w:r w:rsidR="00D75050">
        <w:rPr>
          <w:rFonts w:ascii="Calibri" w:hAnsi="Calibri" w:cs="Calibri"/>
          <w:u w:color="004147"/>
          <w:lang w:val="en-US"/>
        </w:rPr>
        <w:t>b</w:t>
      </w:r>
      <w:r>
        <w:rPr>
          <w:rFonts w:ascii="Calibri" w:hAnsi="Calibri" w:cs="Calibri"/>
          <w:u w:color="004147"/>
          <w:lang w:val="en-US"/>
        </w:rPr>
        <w:t xml:space="preserve">). The colleague in question should therefore use this method, as it is the current practice. </w:t>
      </w:r>
    </w:p>
    <w:p w14:paraId="4554A297" w14:textId="5EEC7EC0" w:rsidR="008B33ED" w:rsidRDefault="00C30FAA" w:rsidP="008B33ED">
      <w:pPr>
        <w:rPr>
          <w:rFonts w:ascii="Calibri" w:hAnsi="Calibri" w:cs="Calibri"/>
          <w:b/>
          <w:bCs/>
          <w:color w:val="004147"/>
          <w:sz w:val="24"/>
          <w:szCs w:val="24"/>
          <w:u w:color="004147"/>
          <w:lang w:val="en-US"/>
        </w:rPr>
      </w:pPr>
      <w:r>
        <w:rPr>
          <w:rFonts w:ascii="Calibri" w:hAnsi="Calibri" w:cs="Calibri"/>
          <w:u w:color="004147"/>
          <w:lang w:val="en-US"/>
        </w:rPr>
        <w:t>The colleague should also ensure that any overtime, shift allowances and bonuses are also taken into account. Finally, any holiday pay should be paid when the employee takes leave, not within each pay package as ‘rolled-up’ pay (</w:t>
      </w:r>
      <w:r w:rsidR="00970881">
        <w:rPr>
          <w:rFonts w:ascii="Calibri" w:hAnsi="Calibri" w:cs="Calibri"/>
          <w:u w:color="004147"/>
          <w:lang w:val="en-US"/>
        </w:rPr>
        <w:t>ACAS</w:t>
      </w:r>
      <w:r>
        <w:rPr>
          <w:rFonts w:ascii="Calibri" w:hAnsi="Calibri" w:cs="Calibri"/>
          <w:u w:color="004147"/>
          <w:lang w:val="en-US"/>
        </w:rPr>
        <w:t>, 2024b).</w:t>
      </w:r>
    </w:p>
    <w:p w14:paraId="37732571" w14:textId="07B4FCD8" w:rsidR="00C501C2" w:rsidRPr="00694197" w:rsidRDefault="00C501C2" w:rsidP="008B33ED">
      <w:pPr>
        <w:rPr>
          <w:rFonts w:ascii="Calibri" w:hAnsi="Calibri" w:cs="Calibri"/>
          <w:u w:color="004147"/>
          <w:lang w:val="en-US"/>
        </w:rPr>
      </w:pPr>
      <w:r w:rsidRPr="00694197">
        <w:rPr>
          <w:rFonts w:ascii="Calibri" w:hAnsi="Calibri" w:cs="Calibri"/>
          <w:b/>
          <w:bCs/>
          <w:sz w:val="24"/>
          <w:szCs w:val="24"/>
          <w:u w:color="004147"/>
          <w:lang w:val="en-US"/>
        </w:rPr>
        <w:t>Email 9 (AC 4.2)</w:t>
      </w:r>
    </w:p>
    <w:p w14:paraId="207CBB53" w14:textId="77777777" w:rsidR="00C501C2" w:rsidRDefault="00C501C2" w:rsidP="0083503F">
      <w:pPr>
        <w:pStyle w:val="Body"/>
        <w:spacing w:line="240" w:lineRule="auto"/>
        <w:rPr>
          <w:rFonts w:ascii="Calibri" w:eastAsia="Trebuchet MS" w:hAnsi="Calibri" w:cs="Calibri"/>
          <w:b/>
          <w:bCs/>
        </w:rPr>
      </w:pPr>
    </w:p>
    <w:p w14:paraId="04EAEADC" w14:textId="77777777" w:rsidR="00044845" w:rsidRPr="00044845" w:rsidRDefault="00044845" w:rsidP="00044845">
      <w:pPr>
        <w:spacing w:after="0" w:line="240" w:lineRule="auto"/>
        <w:textAlignment w:val="baseline"/>
        <w:rPr>
          <w:rFonts w:ascii="Calibri" w:eastAsia="Trebuchet MS" w:hAnsi="Calibri" w:cs="Calibri"/>
          <w:color w:val="000000"/>
          <w:kern w:val="0"/>
          <w:u w:color="000000"/>
          <w:bdr w:val="nil"/>
          <w:lang w:eastAsia="en-GB"/>
          <w14:textOutline w14:w="0" w14:cap="flat" w14:cmpd="sng" w14:algn="ctr">
            <w14:noFill/>
            <w14:prstDash w14:val="solid"/>
            <w14:bevel/>
          </w14:textOutline>
          <w14:ligatures w14:val="none"/>
        </w:rPr>
      </w:pPr>
      <w:r w:rsidRPr="00044845">
        <w:rPr>
          <w:rFonts w:ascii="Calibri" w:eastAsia="Trebuchet MS" w:hAnsi="Calibri" w:cs="Calibri"/>
          <w:color w:val="000000"/>
          <w:kern w:val="0"/>
          <w:u w:color="000000"/>
          <w:bdr w:val="nil"/>
          <w:lang w:eastAsia="en-GB"/>
          <w14:textOutline w14:w="0" w14:cap="flat" w14:cmpd="sng" w14:algn="ctr">
            <w14:noFill/>
            <w14:prstDash w14:val="solid"/>
            <w14:bevel/>
          </w14:textOutline>
          <w14:ligatures w14:val="none"/>
        </w:rPr>
        <w:t>Maternity leave is when a birth mother or adoptive mother takes time off work to take care of their new baby. When maternity leave is taken, the mother’s partner is usually entitled to two weeks of separate paternity leave. On the other hand, shared parental leave (SPL) (introduced in 2015) allows eligible new parents to share the time off they can take from work after the birth of their baby (UK Government, 2015). The time can be shared either by taking portions of leave each or taking the time together, but for a shorter overall period. Both maternity leave and shared parental leave can be beneficial for the pregnant member of staff and their partner in different ways.</w:t>
      </w:r>
    </w:p>
    <w:p w14:paraId="11045BF0" w14:textId="77777777" w:rsidR="00044845" w:rsidRPr="00044845" w:rsidRDefault="00044845" w:rsidP="00044845">
      <w:pPr>
        <w:spacing w:after="0" w:line="240" w:lineRule="auto"/>
        <w:textAlignment w:val="baseline"/>
        <w:rPr>
          <w:rFonts w:ascii="Calibri" w:eastAsia="Trebuchet MS" w:hAnsi="Calibri" w:cs="Calibri"/>
          <w:color w:val="000000"/>
          <w:kern w:val="0"/>
          <w:u w:color="000000"/>
          <w:bdr w:val="nil"/>
          <w:lang w:eastAsia="en-GB"/>
          <w14:textOutline w14:w="0" w14:cap="flat" w14:cmpd="sng" w14:algn="ctr">
            <w14:noFill/>
            <w14:prstDash w14:val="solid"/>
            <w14:bevel/>
          </w14:textOutline>
          <w14:ligatures w14:val="none"/>
        </w:rPr>
      </w:pPr>
    </w:p>
    <w:p w14:paraId="4340A59B" w14:textId="2B9CC30E" w:rsidR="00044845" w:rsidRPr="00044845" w:rsidRDefault="00044845" w:rsidP="00044845">
      <w:pPr>
        <w:spacing w:after="0" w:line="240" w:lineRule="auto"/>
        <w:textAlignment w:val="baseline"/>
        <w:rPr>
          <w:rFonts w:ascii="Calibri" w:eastAsia="Trebuchet MS" w:hAnsi="Calibri" w:cs="Calibri"/>
          <w:color w:val="000000"/>
          <w:kern w:val="0"/>
          <w:u w:color="000000"/>
          <w:bdr w:val="nil"/>
          <w:lang w:eastAsia="en-GB"/>
          <w14:textOutline w14:w="0" w14:cap="flat" w14:cmpd="sng" w14:algn="ctr">
            <w14:noFill/>
            <w14:prstDash w14:val="solid"/>
            <w14:bevel/>
          </w14:textOutline>
          <w14:ligatures w14:val="none"/>
        </w:rPr>
      </w:pPr>
      <w:r w:rsidRPr="00044845">
        <w:rPr>
          <w:rFonts w:ascii="Calibri" w:eastAsia="Trebuchet MS" w:hAnsi="Calibri" w:cs="Calibri"/>
          <w:color w:val="000000"/>
          <w:kern w:val="0"/>
          <w:u w:color="000000"/>
          <w:bdr w:val="nil"/>
          <w:lang w:eastAsia="en-GB"/>
          <w14:textOutline w14:w="0" w14:cap="flat" w14:cmpd="sng" w14:algn="ctr">
            <w14:noFill/>
            <w14:prstDash w14:val="solid"/>
            <w14:bevel/>
          </w14:textOutline>
          <w14:ligatures w14:val="none"/>
        </w:rPr>
        <w:t>To take maternity leave, an expecting mother must be classed as an employee. They must also have been continuously working for their employer for at least 26 weeks at the point of the qualifying week (15 weeks before their due date) (</w:t>
      </w:r>
      <w:r w:rsidR="00970881">
        <w:rPr>
          <w:rFonts w:ascii="Calibri" w:eastAsia="Trebuchet MS" w:hAnsi="Calibri" w:cs="Calibri"/>
          <w:color w:val="000000"/>
          <w:kern w:val="0"/>
          <w:u w:color="000000"/>
          <w:bdr w:val="nil"/>
          <w:lang w:eastAsia="en-GB"/>
          <w14:textOutline w14:w="0" w14:cap="flat" w14:cmpd="sng" w14:algn="ctr">
            <w14:noFill/>
            <w14:prstDash w14:val="solid"/>
            <w14:bevel/>
          </w14:textOutline>
          <w14:ligatures w14:val="none"/>
        </w:rPr>
        <w:t>ACAS</w:t>
      </w:r>
      <w:r w:rsidRPr="00044845">
        <w:rPr>
          <w:rFonts w:ascii="Calibri" w:eastAsia="Trebuchet MS" w:hAnsi="Calibri" w:cs="Calibri"/>
          <w:color w:val="000000"/>
          <w:kern w:val="0"/>
          <w:u w:color="000000"/>
          <w:bdr w:val="nil"/>
          <w:lang w:eastAsia="en-GB"/>
          <w14:textOutline w14:w="0" w14:cap="flat" w14:cmpd="sng" w14:algn="ctr">
            <w14:noFill/>
            <w14:prstDash w14:val="solid"/>
            <w14:bevel/>
          </w14:textOutline>
          <w14:ligatures w14:val="none"/>
        </w:rPr>
        <w:t>, no date b). They must also give their employer notice by this qualifying week. For shared parental leave, the parent(s) who plan to take the time off should have also been working for their employer for the same period (</w:t>
      </w:r>
      <w:r w:rsidR="00970881">
        <w:rPr>
          <w:rFonts w:ascii="Calibri" w:eastAsia="Trebuchet MS" w:hAnsi="Calibri" w:cs="Calibri"/>
          <w:color w:val="000000"/>
          <w:kern w:val="0"/>
          <w:u w:color="000000"/>
          <w:bdr w:val="nil"/>
          <w:lang w:eastAsia="en-GB"/>
          <w14:textOutline w14:w="0" w14:cap="flat" w14:cmpd="sng" w14:algn="ctr">
            <w14:noFill/>
            <w14:prstDash w14:val="solid"/>
            <w14:bevel/>
          </w14:textOutline>
          <w14:ligatures w14:val="none"/>
        </w:rPr>
        <w:t>ACAS</w:t>
      </w:r>
      <w:r w:rsidRPr="00044845">
        <w:rPr>
          <w:rFonts w:ascii="Calibri" w:eastAsia="Trebuchet MS" w:hAnsi="Calibri" w:cs="Calibri"/>
          <w:color w:val="000000"/>
          <w:kern w:val="0"/>
          <w:u w:color="000000"/>
          <w:bdr w:val="nil"/>
          <w:lang w:eastAsia="en-GB"/>
          <w14:textOutline w14:w="0" w14:cap="flat" w14:cmpd="sng" w14:algn="ctr">
            <w14:noFill/>
            <w14:prstDash w14:val="solid"/>
            <w14:bevel/>
          </w14:textOutline>
          <w14:ligatures w14:val="none"/>
        </w:rPr>
        <w:t>, no date b).</w:t>
      </w:r>
    </w:p>
    <w:p w14:paraId="2CB34B8E" w14:textId="77777777" w:rsidR="00044845" w:rsidRPr="00044845" w:rsidRDefault="00044845" w:rsidP="00044845">
      <w:pPr>
        <w:spacing w:after="0" w:line="240" w:lineRule="auto"/>
        <w:textAlignment w:val="baseline"/>
        <w:rPr>
          <w:rFonts w:ascii="Calibri" w:eastAsia="Trebuchet MS" w:hAnsi="Calibri" w:cs="Calibri"/>
          <w:color w:val="000000"/>
          <w:kern w:val="0"/>
          <w:u w:color="000000"/>
          <w:bdr w:val="nil"/>
          <w:lang w:eastAsia="en-GB"/>
          <w14:textOutline w14:w="0" w14:cap="flat" w14:cmpd="sng" w14:algn="ctr">
            <w14:noFill/>
            <w14:prstDash w14:val="solid"/>
            <w14:bevel/>
          </w14:textOutline>
          <w14:ligatures w14:val="none"/>
        </w:rPr>
      </w:pPr>
    </w:p>
    <w:p w14:paraId="221E012E" w14:textId="1AA84809" w:rsidR="00044845" w:rsidRPr="00044845" w:rsidRDefault="00044845" w:rsidP="00044845">
      <w:pPr>
        <w:spacing w:after="0" w:line="240" w:lineRule="auto"/>
        <w:textAlignment w:val="baseline"/>
        <w:rPr>
          <w:rFonts w:ascii="Calibri" w:eastAsia="Trebuchet MS" w:hAnsi="Calibri" w:cs="Calibri"/>
          <w:color w:val="000000"/>
          <w:kern w:val="0"/>
          <w:u w:color="000000"/>
          <w:bdr w:val="nil"/>
          <w:lang w:eastAsia="en-GB"/>
          <w14:textOutline w14:w="0" w14:cap="flat" w14:cmpd="sng" w14:algn="ctr">
            <w14:noFill/>
            <w14:prstDash w14:val="solid"/>
            <w14:bevel/>
          </w14:textOutline>
          <w14:ligatures w14:val="none"/>
        </w:rPr>
      </w:pPr>
      <w:r w:rsidRPr="00044845">
        <w:rPr>
          <w:rFonts w:ascii="Calibri" w:eastAsia="Trebuchet MS" w:hAnsi="Calibri" w:cs="Calibri"/>
          <w:color w:val="000000"/>
          <w:kern w:val="0"/>
          <w:u w:color="000000"/>
          <w:bdr w:val="nil"/>
          <w:lang w:eastAsia="en-GB"/>
          <w14:textOutline w14:w="0" w14:cap="flat" w14:cmpd="sng" w14:algn="ctr">
            <w14:noFill/>
            <w14:prstDash w14:val="solid"/>
            <w14:bevel/>
          </w14:textOutline>
          <w14:ligatures w14:val="none"/>
        </w:rPr>
        <w:t>Mothers taking maternity leave are entitled to up to 52 weeks off work, two weeks of which are compulsory to be taken immediately after childbirth for recovery. Maternity leave is split into two parts – Ordinary Maternity Leave (OML), which is the first 26 weeks, and Additional Maternity Leave (AML), which is a further 26 weeks for mothers who would like to take longer</w:t>
      </w:r>
      <w:r w:rsidR="00E9659B">
        <w:rPr>
          <w:rFonts w:ascii="Calibri" w:eastAsia="Trebuchet MS" w:hAnsi="Calibri" w:cs="Calibri"/>
          <w:color w:val="000000"/>
          <w:kern w:val="0"/>
          <w:u w:color="000000"/>
          <w:bdr w:val="nil"/>
          <w:lang w:eastAsia="en-GB"/>
          <w14:textOutline w14:w="0" w14:cap="flat" w14:cmpd="sng" w14:algn="ctr">
            <w14:noFill/>
            <w14:prstDash w14:val="solid"/>
            <w14:bevel/>
          </w14:textOutline>
          <w14:ligatures w14:val="none"/>
        </w:rPr>
        <w:t xml:space="preserve"> (CIPD, 2024b)</w:t>
      </w:r>
      <w:r w:rsidRPr="00044845">
        <w:rPr>
          <w:rFonts w:ascii="Calibri" w:eastAsia="Trebuchet MS" w:hAnsi="Calibri" w:cs="Calibri"/>
          <w:color w:val="000000"/>
          <w:kern w:val="0"/>
          <w:u w:color="000000"/>
          <w:bdr w:val="nil"/>
          <w:lang w:eastAsia="en-GB"/>
          <w14:textOutline w14:w="0" w14:cap="flat" w14:cmpd="sng" w14:algn="ctr">
            <w14:noFill/>
            <w14:prstDash w14:val="solid"/>
            <w14:bevel/>
          </w14:textOutline>
          <w14:ligatures w14:val="none"/>
        </w:rPr>
        <w:t>. With shared parental leave, the mother must still take the two weeks of compulsory leave, no matter how the rest of the 50 weeks is divide</w:t>
      </w:r>
      <w:r w:rsidR="00E9659B">
        <w:rPr>
          <w:rFonts w:ascii="Calibri" w:eastAsia="Trebuchet MS" w:hAnsi="Calibri" w:cs="Calibri"/>
          <w:color w:val="000000"/>
          <w:kern w:val="0"/>
          <w:u w:color="000000"/>
          <w:bdr w:val="nil"/>
          <w:lang w:eastAsia="en-GB"/>
          <w14:textOutline w14:w="0" w14:cap="flat" w14:cmpd="sng" w14:algn="ctr">
            <w14:noFill/>
            <w14:prstDash w14:val="solid"/>
            <w14:bevel/>
          </w14:textOutline>
          <w14:ligatures w14:val="none"/>
        </w:rPr>
        <w:t>d (</w:t>
      </w:r>
      <w:r w:rsidR="00970881">
        <w:rPr>
          <w:rFonts w:ascii="Calibri" w:eastAsia="Trebuchet MS" w:hAnsi="Calibri" w:cs="Calibri"/>
          <w:color w:val="000000"/>
          <w:kern w:val="0"/>
          <w:u w:color="000000"/>
          <w:bdr w:val="nil"/>
          <w:lang w:eastAsia="en-GB"/>
          <w14:textOutline w14:w="0" w14:cap="flat" w14:cmpd="sng" w14:algn="ctr">
            <w14:noFill/>
            <w14:prstDash w14:val="solid"/>
            <w14:bevel/>
          </w14:textOutline>
          <w14:ligatures w14:val="none"/>
        </w:rPr>
        <w:t>ACAS</w:t>
      </w:r>
      <w:r w:rsidR="00E9659B">
        <w:rPr>
          <w:rFonts w:ascii="Calibri" w:eastAsia="Trebuchet MS" w:hAnsi="Calibri" w:cs="Calibri"/>
          <w:color w:val="000000"/>
          <w:kern w:val="0"/>
          <w:u w:color="000000"/>
          <w:bdr w:val="nil"/>
          <w:lang w:eastAsia="en-GB"/>
          <w14:textOutline w14:w="0" w14:cap="flat" w14:cmpd="sng" w14:algn="ctr">
            <w14:noFill/>
            <w14:prstDash w14:val="solid"/>
            <w14:bevel/>
          </w14:textOutline>
          <w14:ligatures w14:val="none"/>
        </w:rPr>
        <w:t>, no date b)</w:t>
      </w:r>
      <w:r w:rsidRPr="00044845">
        <w:rPr>
          <w:rFonts w:ascii="Calibri" w:eastAsia="Trebuchet MS" w:hAnsi="Calibri" w:cs="Calibri"/>
          <w:color w:val="000000"/>
          <w:kern w:val="0"/>
          <w:u w:color="000000"/>
          <w:bdr w:val="nil"/>
          <w:lang w:eastAsia="en-GB"/>
          <w14:textOutline w14:w="0" w14:cap="flat" w14:cmpd="sng" w14:algn="ctr">
            <w14:noFill/>
            <w14:prstDash w14:val="solid"/>
            <w14:bevel/>
          </w14:textOutline>
          <w14:ligatures w14:val="none"/>
        </w:rPr>
        <w:t>.</w:t>
      </w:r>
    </w:p>
    <w:p w14:paraId="6F1BBA7B" w14:textId="77777777" w:rsidR="00044845" w:rsidRPr="00044845" w:rsidRDefault="00044845" w:rsidP="00044845">
      <w:pPr>
        <w:spacing w:after="0" w:line="240" w:lineRule="auto"/>
        <w:textAlignment w:val="baseline"/>
        <w:rPr>
          <w:rFonts w:ascii="Calibri" w:eastAsia="Trebuchet MS" w:hAnsi="Calibri" w:cs="Calibri"/>
          <w:color w:val="000000"/>
          <w:kern w:val="0"/>
          <w:u w:color="000000"/>
          <w:bdr w:val="nil"/>
          <w:lang w:eastAsia="en-GB"/>
          <w14:textOutline w14:w="0" w14:cap="flat" w14:cmpd="sng" w14:algn="ctr">
            <w14:noFill/>
            <w14:prstDash w14:val="solid"/>
            <w14:bevel/>
          </w14:textOutline>
          <w14:ligatures w14:val="none"/>
        </w:rPr>
      </w:pPr>
    </w:p>
    <w:p w14:paraId="741FFB54" w14:textId="623D1C25" w:rsidR="00044845" w:rsidRPr="00044845" w:rsidRDefault="00044845" w:rsidP="00044845">
      <w:pPr>
        <w:spacing w:after="0" w:line="240" w:lineRule="auto"/>
        <w:textAlignment w:val="baseline"/>
        <w:rPr>
          <w:rFonts w:ascii="Calibri" w:eastAsia="Trebuchet MS" w:hAnsi="Calibri" w:cs="Calibri"/>
          <w:color w:val="000000"/>
          <w:kern w:val="0"/>
          <w:u w:color="000000"/>
          <w:bdr w:val="nil"/>
          <w:lang w:eastAsia="en-GB"/>
          <w14:textOutline w14:w="0" w14:cap="flat" w14:cmpd="sng" w14:algn="ctr">
            <w14:noFill/>
            <w14:prstDash w14:val="solid"/>
            <w14:bevel/>
          </w14:textOutline>
          <w14:ligatures w14:val="none"/>
        </w:rPr>
      </w:pPr>
      <w:r w:rsidRPr="00044845">
        <w:rPr>
          <w:rFonts w:ascii="Calibri" w:eastAsia="Trebuchet MS" w:hAnsi="Calibri" w:cs="Calibri"/>
          <w:color w:val="000000"/>
          <w:kern w:val="0"/>
          <w:u w:color="000000"/>
          <w:bdr w:val="nil"/>
          <w:lang w:eastAsia="en-GB"/>
          <w14:textOutline w14:w="0" w14:cap="flat" w14:cmpd="sng" w14:algn="ctr">
            <w14:noFill/>
            <w14:prstDash w14:val="solid"/>
            <w14:bevel/>
          </w14:textOutline>
          <w14:ligatures w14:val="none"/>
        </w:rPr>
        <w:t>For both maternity leave and shared parental leave, whoever is taking the paid leave is entitled to Statutory Maternity Pay (SMP) or Statutory Shared Parental Pay (</w:t>
      </w:r>
      <w:proofErr w:type="spellStart"/>
      <w:r w:rsidRPr="00044845">
        <w:rPr>
          <w:rFonts w:ascii="Calibri" w:eastAsia="Trebuchet MS" w:hAnsi="Calibri" w:cs="Calibri"/>
          <w:color w:val="000000"/>
          <w:kern w:val="0"/>
          <w:u w:color="000000"/>
          <w:bdr w:val="nil"/>
          <w:lang w:eastAsia="en-GB"/>
          <w14:textOutline w14:w="0" w14:cap="flat" w14:cmpd="sng" w14:algn="ctr">
            <w14:noFill/>
            <w14:prstDash w14:val="solid"/>
            <w14:bevel/>
          </w14:textOutline>
          <w14:ligatures w14:val="none"/>
        </w:rPr>
        <w:t>ShPP</w:t>
      </w:r>
      <w:proofErr w:type="spellEnd"/>
      <w:r w:rsidRPr="00044845">
        <w:rPr>
          <w:rFonts w:ascii="Calibri" w:eastAsia="Trebuchet MS" w:hAnsi="Calibri" w:cs="Calibri"/>
          <w:color w:val="000000"/>
          <w:kern w:val="0"/>
          <w:u w:color="000000"/>
          <w:bdr w:val="nil"/>
          <w:lang w:eastAsia="en-GB"/>
          <w14:textOutline w14:w="0" w14:cap="flat" w14:cmpd="sng" w14:algn="ctr">
            <w14:noFill/>
            <w14:prstDash w14:val="solid"/>
            <w14:bevel/>
          </w14:textOutline>
          <w14:ligatures w14:val="none"/>
        </w:rPr>
        <w:t>). SMP equates to 90% of the parent’s average earnings for six weeks, followed by the statutory rate for the following 33 weeks for maternity leave or 31 weeks for shared parental leave</w:t>
      </w:r>
      <w:r w:rsidR="00E9659B">
        <w:rPr>
          <w:rFonts w:ascii="Calibri" w:eastAsia="Trebuchet MS" w:hAnsi="Calibri" w:cs="Calibri"/>
          <w:color w:val="000000"/>
          <w:kern w:val="0"/>
          <w:u w:color="000000"/>
          <w:bdr w:val="nil"/>
          <w:lang w:eastAsia="en-GB"/>
          <w14:textOutline w14:w="0" w14:cap="flat" w14:cmpd="sng" w14:algn="ctr">
            <w14:noFill/>
            <w14:prstDash w14:val="solid"/>
            <w14:bevel/>
          </w14:textOutline>
          <w14:ligatures w14:val="none"/>
        </w:rPr>
        <w:t xml:space="preserve"> (CIPD, 2024b)</w:t>
      </w:r>
      <w:r w:rsidRPr="00044845">
        <w:rPr>
          <w:rFonts w:ascii="Calibri" w:eastAsia="Trebuchet MS" w:hAnsi="Calibri" w:cs="Calibri"/>
          <w:color w:val="000000"/>
          <w:kern w:val="0"/>
          <w:u w:color="000000"/>
          <w:bdr w:val="nil"/>
          <w:lang w:eastAsia="en-GB"/>
          <w14:textOutline w14:w="0" w14:cap="flat" w14:cmpd="sng" w14:algn="ctr">
            <w14:noFill/>
            <w14:prstDash w14:val="solid"/>
            <w14:bevel/>
          </w14:textOutline>
          <w14:ligatures w14:val="none"/>
        </w:rPr>
        <w:t>. Often, parents may choose to opt for shared parental leave when the mother’s pay is greater than the father’s, meaning that these earnings will still be received while the father is on the statutory rate.</w:t>
      </w:r>
    </w:p>
    <w:p w14:paraId="1852F541" w14:textId="77777777" w:rsidR="00044845" w:rsidRPr="00044845" w:rsidRDefault="00044845" w:rsidP="00044845">
      <w:pPr>
        <w:spacing w:after="0" w:line="240" w:lineRule="auto"/>
        <w:textAlignment w:val="baseline"/>
        <w:rPr>
          <w:rFonts w:ascii="Calibri" w:eastAsia="Trebuchet MS" w:hAnsi="Calibri" w:cs="Calibri"/>
          <w:color w:val="000000"/>
          <w:kern w:val="0"/>
          <w:u w:color="000000"/>
          <w:bdr w:val="nil"/>
          <w:lang w:eastAsia="en-GB"/>
          <w14:textOutline w14:w="0" w14:cap="flat" w14:cmpd="sng" w14:algn="ctr">
            <w14:noFill/>
            <w14:prstDash w14:val="solid"/>
            <w14:bevel/>
          </w14:textOutline>
          <w14:ligatures w14:val="none"/>
        </w:rPr>
      </w:pPr>
    </w:p>
    <w:p w14:paraId="09F9B982" w14:textId="77777777" w:rsidR="00044845" w:rsidRPr="00044845" w:rsidRDefault="00044845" w:rsidP="00044845">
      <w:pPr>
        <w:spacing w:after="0" w:line="240" w:lineRule="auto"/>
        <w:textAlignment w:val="baseline"/>
        <w:rPr>
          <w:rFonts w:ascii="Calibri" w:eastAsia="Trebuchet MS" w:hAnsi="Calibri" w:cs="Calibri"/>
          <w:color w:val="000000"/>
          <w:kern w:val="0"/>
          <w:u w:color="000000"/>
          <w:bdr w:val="nil"/>
          <w:lang w:eastAsia="en-GB"/>
          <w14:textOutline w14:w="0" w14:cap="flat" w14:cmpd="sng" w14:algn="ctr">
            <w14:noFill/>
            <w14:prstDash w14:val="solid"/>
            <w14:bevel/>
          </w14:textOutline>
          <w14:ligatures w14:val="none"/>
        </w:rPr>
      </w:pPr>
      <w:r w:rsidRPr="00044845">
        <w:rPr>
          <w:rFonts w:ascii="Calibri" w:eastAsia="Trebuchet MS" w:hAnsi="Calibri" w:cs="Calibri"/>
          <w:color w:val="000000"/>
          <w:kern w:val="0"/>
          <w:u w:color="000000"/>
          <w:bdr w:val="nil"/>
          <w:lang w:eastAsia="en-GB"/>
          <w14:textOutline w14:w="0" w14:cap="flat" w14:cmpd="sng" w14:algn="ctr">
            <w14:noFill/>
            <w14:prstDash w14:val="solid"/>
            <w14:bevel/>
          </w14:textOutline>
          <w14:ligatures w14:val="none"/>
        </w:rPr>
        <w:t xml:space="preserve">Some employers now pay Enhanced Maternity Pay (EMP), for example, a percentage of the average earnings, which is paid in addition to the statutory rate for a number of weeks detailed in the employer’s policy. Some employers also offer enhanced shared parental pay (ESPP), which could </w:t>
      </w:r>
      <w:r w:rsidRPr="00044845">
        <w:rPr>
          <w:rFonts w:ascii="Calibri" w:eastAsia="Trebuchet MS" w:hAnsi="Calibri" w:cs="Calibri"/>
          <w:color w:val="000000"/>
          <w:kern w:val="0"/>
          <w:u w:color="000000"/>
          <w:bdr w:val="nil"/>
          <w:lang w:eastAsia="en-GB"/>
          <w14:textOutline w14:w="0" w14:cap="flat" w14:cmpd="sng" w14:algn="ctr">
            <w14:noFill/>
            <w14:prstDash w14:val="solid"/>
            <w14:bevel/>
          </w14:textOutline>
          <w14:ligatures w14:val="none"/>
        </w:rPr>
        <w:lastRenderedPageBreak/>
        <w:t>influence a couple’s decision depending on workplace policies. In a situation where the partner’s employer offers enhanced pay but the mother’s does not, parents may choose shared parental leave to utilise this.</w:t>
      </w:r>
    </w:p>
    <w:p w14:paraId="69B8D142" w14:textId="77777777" w:rsidR="00044845" w:rsidRPr="00044845" w:rsidRDefault="00044845" w:rsidP="00044845">
      <w:pPr>
        <w:spacing w:after="0" w:line="240" w:lineRule="auto"/>
        <w:textAlignment w:val="baseline"/>
        <w:rPr>
          <w:rFonts w:ascii="Calibri" w:eastAsia="Trebuchet MS" w:hAnsi="Calibri" w:cs="Calibri"/>
          <w:color w:val="000000"/>
          <w:kern w:val="0"/>
          <w:u w:color="000000"/>
          <w:bdr w:val="nil"/>
          <w:lang w:eastAsia="en-GB"/>
          <w14:textOutline w14:w="0" w14:cap="flat" w14:cmpd="sng" w14:algn="ctr">
            <w14:noFill/>
            <w14:prstDash w14:val="solid"/>
            <w14:bevel/>
          </w14:textOutline>
          <w14:ligatures w14:val="none"/>
        </w:rPr>
      </w:pPr>
    </w:p>
    <w:p w14:paraId="4C4E6A98" w14:textId="77777777" w:rsidR="00044845" w:rsidRPr="00044845" w:rsidRDefault="00044845" w:rsidP="00044845">
      <w:pPr>
        <w:spacing w:after="0" w:line="240" w:lineRule="auto"/>
        <w:textAlignment w:val="baseline"/>
        <w:rPr>
          <w:rFonts w:ascii="Calibri" w:eastAsia="Trebuchet MS" w:hAnsi="Calibri" w:cs="Calibri"/>
          <w:color w:val="000000"/>
          <w:kern w:val="0"/>
          <w:u w:color="000000"/>
          <w:bdr w:val="nil"/>
          <w:lang w:eastAsia="en-GB"/>
          <w14:textOutline w14:w="0" w14:cap="flat" w14:cmpd="sng" w14:algn="ctr">
            <w14:noFill/>
            <w14:prstDash w14:val="solid"/>
            <w14:bevel/>
          </w14:textOutline>
          <w14:ligatures w14:val="none"/>
        </w:rPr>
      </w:pPr>
      <w:r w:rsidRPr="00044845">
        <w:rPr>
          <w:rFonts w:ascii="Calibri" w:eastAsia="Trebuchet MS" w:hAnsi="Calibri" w:cs="Calibri"/>
          <w:color w:val="000000"/>
          <w:kern w:val="0"/>
          <w:u w:color="000000"/>
          <w:bdr w:val="nil"/>
          <w:lang w:eastAsia="en-GB"/>
          <w14:textOutline w14:w="0" w14:cap="flat" w14:cmpd="sng" w14:algn="ctr">
            <w14:noFill/>
            <w14:prstDash w14:val="solid"/>
            <w14:bevel/>
          </w14:textOutline>
          <w14:ligatures w14:val="none"/>
        </w:rPr>
        <w:t>In addition to financial reasons, parents may choose to take shared parental leave to allow for greater shared responsibility between both parents, giving both the mother and their partner time off with the new baby.</w:t>
      </w:r>
    </w:p>
    <w:p w14:paraId="728FF033" w14:textId="77777777" w:rsidR="008F2642" w:rsidRPr="008F2642" w:rsidRDefault="008F2642" w:rsidP="008F2642">
      <w:pPr>
        <w:spacing w:after="0" w:line="240" w:lineRule="auto"/>
        <w:textAlignment w:val="baseline"/>
        <w:rPr>
          <w:rFonts w:ascii="Calibri" w:eastAsia="Times New Roman" w:hAnsi="Calibri" w:cs="Calibri"/>
          <w:color w:val="000000"/>
          <w:kern w:val="0"/>
          <w:lang w:eastAsia="en-GB"/>
          <w14:ligatures w14:val="none"/>
        </w:rPr>
      </w:pPr>
    </w:p>
    <w:p w14:paraId="6C2B2249" w14:textId="77777777" w:rsidR="00C501C2" w:rsidRPr="00221EEE" w:rsidRDefault="00C501C2" w:rsidP="00C501C2">
      <w:pPr>
        <w:pStyle w:val="Body"/>
        <w:spacing w:line="240" w:lineRule="auto"/>
        <w:rPr>
          <w:rFonts w:ascii="Calibri" w:eastAsia="Trebuchet MS" w:hAnsi="Calibri" w:cs="Calibri"/>
          <w:b/>
          <w:bCs/>
        </w:rPr>
      </w:pPr>
    </w:p>
    <w:p w14:paraId="4DCF4121" w14:textId="77777777" w:rsidR="00C501C2" w:rsidRPr="00694197" w:rsidRDefault="00C501C2" w:rsidP="00C501C2">
      <w:pPr>
        <w:pStyle w:val="Body"/>
        <w:spacing w:line="240" w:lineRule="auto"/>
        <w:rPr>
          <w:rFonts w:ascii="Calibri" w:eastAsia="Trebuchet MS" w:hAnsi="Calibri" w:cs="Calibri"/>
          <w:b/>
          <w:bCs/>
          <w:color w:val="auto"/>
          <w:sz w:val="24"/>
          <w:szCs w:val="24"/>
          <w:u w:color="004147"/>
        </w:rPr>
      </w:pPr>
      <w:r w:rsidRPr="00694197">
        <w:rPr>
          <w:rFonts w:ascii="Calibri" w:hAnsi="Calibri" w:cs="Calibri"/>
          <w:b/>
          <w:bCs/>
          <w:color w:val="auto"/>
          <w:sz w:val="24"/>
          <w:szCs w:val="24"/>
          <w:u w:color="004147"/>
          <w:lang w:val="en-US"/>
        </w:rPr>
        <w:t>Email 10 (AC 4.3)</w:t>
      </w:r>
    </w:p>
    <w:p w14:paraId="0F45FEA4" w14:textId="77777777" w:rsidR="0042363F" w:rsidRDefault="0042363F"/>
    <w:p w14:paraId="2DD6CCE7" w14:textId="5BF4F103" w:rsidR="004C733D" w:rsidRDefault="004C733D">
      <w:r>
        <w:t>As an employee can submit a flexible working request to request a change to their working hours, days or location, the request submit</w:t>
      </w:r>
      <w:r w:rsidR="007D5855">
        <w:t>ted</w:t>
      </w:r>
      <w:r>
        <w:t xml:space="preserve"> is in line with this. </w:t>
      </w:r>
      <w:r w:rsidR="00186D80">
        <w:t>The</w:t>
      </w:r>
      <w:r>
        <w:t xml:space="preserve"> individual must also be classed as an employee, who has not already exceed their two per year flexible working request allowance.</w:t>
      </w:r>
      <w:r w:rsidR="00186D80">
        <w:t xml:space="preserve"> </w:t>
      </w:r>
      <w:r w:rsidR="00014BAB">
        <w:t xml:space="preserve">Previously, before the changes implemented in 2024, employees were limited to </w:t>
      </w:r>
      <w:r w:rsidR="00707B73">
        <w:t>one</w:t>
      </w:r>
      <w:r w:rsidR="00014BAB">
        <w:t xml:space="preserve"> request per year. </w:t>
      </w:r>
      <w:r w:rsidR="00186D80">
        <w:t xml:space="preserve">However, there is now no minimum amount of time that a person must be employed before submitting a flexible working request, in line with the </w:t>
      </w:r>
      <w:r w:rsidR="00396C4F">
        <w:t xml:space="preserve">Employment Relations </w:t>
      </w:r>
      <w:bookmarkStart w:id="0" w:name="_Hlk191039279"/>
      <w:r w:rsidR="00396C4F">
        <w:t>(Flexible Working) Act (2023)</w:t>
      </w:r>
      <w:r w:rsidR="00186D80">
        <w:t>.</w:t>
      </w:r>
      <w:bookmarkEnd w:id="0"/>
      <w:r w:rsidR="00014BAB">
        <w:t xml:space="preserve"> Within previous law, there was a requirement of 26 weeks continuous employment, before an employee could submit a flexible working request.</w:t>
      </w:r>
    </w:p>
    <w:p w14:paraId="1F1951E5" w14:textId="77777777" w:rsidR="00186D80" w:rsidRDefault="004C733D">
      <w:r>
        <w:t xml:space="preserve">The employer should reasonably assess the request, </w:t>
      </w:r>
      <w:r w:rsidR="002555E7">
        <w:t xml:space="preserve">ensuring that a rejection (if any) falls under </w:t>
      </w:r>
      <w:r w:rsidR="00186D80">
        <w:t xml:space="preserve">at least </w:t>
      </w:r>
      <w:r w:rsidR="002555E7">
        <w:t xml:space="preserve">one of </w:t>
      </w:r>
      <w:r w:rsidR="00186D80">
        <w:t>eight reasons:</w:t>
      </w:r>
    </w:p>
    <w:p w14:paraId="7F266B9A" w14:textId="3538068A" w:rsidR="00186D80" w:rsidRDefault="001C395D" w:rsidP="001C395D">
      <w:pPr>
        <w:pStyle w:val="ListParagraph"/>
        <w:numPr>
          <w:ilvl w:val="0"/>
          <w:numId w:val="4"/>
        </w:numPr>
      </w:pPr>
      <w:r>
        <w:t>Additional costs to the business.</w:t>
      </w:r>
    </w:p>
    <w:p w14:paraId="48B615A8" w14:textId="749BA489" w:rsidR="001C395D" w:rsidRDefault="001C395D" w:rsidP="001C395D">
      <w:pPr>
        <w:pStyle w:val="ListParagraph"/>
        <w:numPr>
          <w:ilvl w:val="0"/>
          <w:numId w:val="4"/>
        </w:numPr>
      </w:pPr>
      <w:r>
        <w:t>Inability to reorganise work amongst staff.</w:t>
      </w:r>
    </w:p>
    <w:p w14:paraId="55E3D9BE" w14:textId="7458C94C" w:rsidR="001C395D" w:rsidRDefault="001C395D" w:rsidP="001C395D">
      <w:pPr>
        <w:pStyle w:val="ListParagraph"/>
        <w:numPr>
          <w:ilvl w:val="0"/>
          <w:numId w:val="4"/>
        </w:numPr>
      </w:pPr>
      <w:r>
        <w:t>Inability to recruit to fill the gaps.</w:t>
      </w:r>
    </w:p>
    <w:p w14:paraId="6B065113" w14:textId="083A91B9" w:rsidR="001C395D" w:rsidRDefault="001C395D" w:rsidP="001C395D">
      <w:pPr>
        <w:pStyle w:val="ListParagraph"/>
        <w:numPr>
          <w:ilvl w:val="0"/>
          <w:numId w:val="4"/>
        </w:numPr>
      </w:pPr>
      <w:r>
        <w:t>Impact on quality.</w:t>
      </w:r>
    </w:p>
    <w:p w14:paraId="590CD595" w14:textId="2CB04DF5" w:rsidR="001C395D" w:rsidRDefault="001C395D" w:rsidP="001C395D">
      <w:pPr>
        <w:pStyle w:val="ListParagraph"/>
        <w:numPr>
          <w:ilvl w:val="0"/>
          <w:numId w:val="4"/>
        </w:numPr>
      </w:pPr>
      <w:r>
        <w:t>Impact on performance.</w:t>
      </w:r>
    </w:p>
    <w:p w14:paraId="0827A86A" w14:textId="0F95631F" w:rsidR="001C395D" w:rsidRDefault="001C395D" w:rsidP="001C395D">
      <w:pPr>
        <w:pStyle w:val="ListParagraph"/>
        <w:numPr>
          <w:ilvl w:val="0"/>
          <w:numId w:val="4"/>
        </w:numPr>
      </w:pPr>
      <w:r>
        <w:t>Inability to meet customer demand.</w:t>
      </w:r>
    </w:p>
    <w:p w14:paraId="66273FFF" w14:textId="12246551" w:rsidR="001C395D" w:rsidRDefault="001C395D" w:rsidP="001C395D">
      <w:pPr>
        <w:pStyle w:val="ListParagraph"/>
        <w:numPr>
          <w:ilvl w:val="0"/>
          <w:numId w:val="4"/>
        </w:numPr>
      </w:pPr>
      <w:r>
        <w:t>Lack of available work during proposed times.</w:t>
      </w:r>
    </w:p>
    <w:p w14:paraId="1ADE3D70" w14:textId="1C54296C" w:rsidR="001C395D" w:rsidRDefault="001C395D" w:rsidP="001C395D">
      <w:pPr>
        <w:pStyle w:val="ListParagraph"/>
        <w:numPr>
          <w:ilvl w:val="0"/>
          <w:numId w:val="4"/>
        </w:numPr>
      </w:pPr>
      <w:r>
        <w:t>Planned business changes.</w:t>
      </w:r>
    </w:p>
    <w:p w14:paraId="43AEE5D3" w14:textId="5DCABB9E" w:rsidR="001C395D" w:rsidRDefault="001C395D" w:rsidP="001C395D">
      <w:r>
        <w:t>(Gov.uk, no date)</w:t>
      </w:r>
    </w:p>
    <w:p w14:paraId="0322225E" w14:textId="6BB2AE42" w:rsidR="00014BAB" w:rsidRDefault="007D5855">
      <w:r>
        <w:t xml:space="preserve">Any decision should be made objectively and in line with the </w:t>
      </w:r>
      <w:r w:rsidR="00396C4F">
        <w:t>above</w:t>
      </w:r>
      <w:r>
        <w:t xml:space="preserve"> reasons, and a decision should not be made based on fear of precedent setting.</w:t>
      </w:r>
      <w:r w:rsidR="001C395D">
        <w:t xml:space="preserve"> The colleague in question should also consult with the employee to discuss their request before making a final decision – a meeting which could also be used to discuss alternative options.</w:t>
      </w:r>
      <w:r w:rsidR="00014BAB">
        <w:t xml:space="preserve"> Employers must then ensure that all flexible working requests are responded to (including an appeal process if necessary) within two months</w:t>
      </w:r>
      <w:r w:rsidR="00707B73">
        <w:t xml:space="preserve"> (</w:t>
      </w:r>
      <w:r w:rsidR="00970881">
        <w:t>ACAS</w:t>
      </w:r>
      <w:r w:rsidR="00707B73">
        <w:t xml:space="preserve">, </w:t>
      </w:r>
      <w:r w:rsidR="00B27FB3">
        <w:t>2024</w:t>
      </w:r>
      <w:r w:rsidR="00C30FAA">
        <w:t>a</w:t>
      </w:r>
      <w:r w:rsidR="00707B73">
        <w:t>).</w:t>
      </w:r>
    </w:p>
    <w:p w14:paraId="6448A563" w14:textId="66A0CB80" w:rsidR="00014BAB" w:rsidRDefault="00014BAB">
      <w:r>
        <w:t>The employer may choose to approve or decline a flexible working request, or they may work with the employee to come to a compromise. They may also offer a trial period, to test how a request would look in practice.</w:t>
      </w:r>
    </w:p>
    <w:p w14:paraId="1099CB48" w14:textId="309A9FCD" w:rsidR="00014BAB" w:rsidRDefault="00014BAB">
      <w:r>
        <w:t xml:space="preserve">With regards to the request in question, there could be a possible impact on quality and inability to meet customer demand, if the administrative officer is regularly required to have face to face contact with customers. If the employee’s role mostly involves ‘behind-the-scenes’ administration, it may be an acceptable request. However, factors more specific to the business </w:t>
      </w:r>
      <w:r>
        <w:lastRenderedPageBreak/>
        <w:t>should be considered for the employer to make their decision. For example, if the work is highly confidential, it may not be appropriate for the employee to be accessing this remotely.</w:t>
      </w:r>
    </w:p>
    <w:p w14:paraId="25A59F21" w14:textId="77777777" w:rsidR="005A5DD8" w:rsidRDefault="005A5DD8"/>
    <w:p w14:paraId="01391D67" w14:textId="77777777" w:rsidR="00970881" w:rsidRDefault="00970881">
      <w:pPr>
        <w:rPr>
          <w:rFonts w:ascii="Calibri" w:hAnsi="Calibri" w:cs="Calibri"/>
          <w:b/>
          <w:bCs/>
          <w:sz w:val="24"/>
          <w:szCs w:val="24"/>
        </w:rPr>
      </w:pPr>
      <w:bookmarkStart w:id="1" w:name="_Hlk192603374"/>
      <w:r>
        <w:rPr>
          <w:rFonts w:ascii="Calibri" w:hAnsi="Calibri" w:cs="Calibri"/>
          <w:b/>
          <w:bCs/>
          <w:sz w:val="24"/>
          <w:szCs w:val="24"/>
        </w:rPr>
        <w:br w:type="page"/>
      </w:r>
    </w:p>
    <w:p w14:paraId="3C58E17F" w14:textId="60E30B65" w:rsidR="00F2509A" w:rsidRPr="002F1455" w:rsidRDefault="00F2509A" w:rsidP="00F2509A">
      <w:pPr>
        <w:rPr>
          <w:rFonts w:ascii="Calibri" w:hAnsi="Calibri" w:cs="Calibri"/>
          <w:b/>
          <w:bCs/>
        </w:rPr>
      </w:pPr>
      <w:r w:rsidRPr="002F1455">
        <w:rPr>
          <w:rFonts w:ascii="Calibri" w:hAnsi="Calibri" w:cs="Calibri"/>
          <w:b/>
          <w:bCs/>
          <w:sz w:val="24"/>
          <w:szCs w:val="24"/>
        </w:rPr>
        <w:lastRenderedPageBreak/>
        <w:t>References</w:t>
      </w:r>
    </w:p>
    <w:p w14:paraId="38CF9D67" w14:textId="4A09BC96" w:rsidR="00F2509A" w:rsidRPr="002F1455" w:rsidRDefault="00970881" w:rsidP="00F2509A">
      <w:pPr>
        <w:rPr>
          <w:rFonts w:ascii="Calibri" w:hAnsi="Calibri" w:cs="Calibri"/>
        </w:rPr>
      </w:pPr>
      <w:r>
        <w:rPr>
          <w:rFonts w:ascii="Calibri" w:hAnsi="Calibri" w:cs="Calibri"/>
        </w:rPr>
        <w:t>ACAS</w:t>
      </w:r>
      <w:r w:rsidR="00F2509A" w:rsidRPr="002F1455">
        <w:rPr>
          <w:rFonts w:ascii="Calibri" w:hAnsi="Calibri" w:cs="Calibri"/>
        </w:rPr>
        <w:t xml:space="preserve"> (2024a) </w:t>
      </w:r>
      <w:r>
        <w:rPr>
          <w:rFonts w:ascii="Calibri" w:hAnsi="Calibri" w:cs="Calibri"/>
          <w:i/>
          <w:iCs/>
        </w:rPr>
        <w:t>ACAS</w:t>
      </w:r>
      <w:r w:rsidR="00F2509A" w:rsidRPr="002F1455">
        <w:rPr>
          <w:rFonts w:ascii="Calibri" w:hAnsi="Calibri" w:cs="Calibri"/>
          <w:i/>
          <w:iCs/>
        </w:rPr>
        <w:t xml:space="preserve"> Code of Practice on flexible working requests</w:t>
      </w:r>
      <w:r w:rsidR="00F2509A" w:rsidRPr="002F1455">
        <w:rPr>
          <w:rFonts w:ascii="Calibri" w:hAnsi="Calibri" w:cs="Calibri"/>
        </w:rPr>
        <w:t xml:space="preserve">. Available at: </w:t>
      </w:r>
      <w:hyperlink r:id="rId8" w:tgtFrame="_new" w:history="1">
        <w:r w:rsidR="00F2509A" w:rsidRPr="002F1455">
          <w:rPr>
            <w:rStyle w:val="Hyperlink"/>
            <w:rFonts w:ascii="Calibri" w:hAnsi="Calibri" w:cs="Calibri"/>
          </w:rPr>
          <w:t>https://www.</w:t>
        </w:r>
        <w:r>
          <w:rPr>
            <w:rStyle w:val="Hyperlink"/>
            <w:rFonts w:ascii="Calibri" w:hAnsi="Calibri" w:cs="Calibri"/>
          </w:rPr>
          <w:t>ACAS</w:t>
        </w:r>
        <w:r w:rsidR="00F2509A" w:rsidRPr="002F1455">
          <w:rPr>
            <w:rStyle w:val="Hyperlink"/>
            <w:rFonts w:ascii="Calibri" w:hAnsi="Calibri" w:cs="Calibri"/>
          </w:rPr>
          <w:t>.org.uk/</w:t>
        </w:r>
        <w:r>
          <w:rPr>
            <w:rStyle w:val="Hyperlink"/>
            <w:rFonts w:ascii="Calibri" w:hAnsi="Calibri" w:cs="Calibri"/>
          </w:rPr>
          <w:t>ACAS</w:t>
        </w:r>
        <w:r w:rsidR="00F2509A" w:rsidRPr="002F1455">
          <w:rPr>
            <w:rStyle w:val="Hyperlink"/>
            <w:rFonts w:ascii="Calibri" w:hAnsi="Calibri" w:cs="Calibri"/>
          </w:rPr>
          <w:t>-code-of-practice-on-flexible-working-requests</w:t>
        </w:r>
      </w:hyperlink>
      <w:r w:rsidR="00F2509A" w:rsidRPr="002F1455">
        <w:rPr>
          <w:rFonts w:ascii="Calibri" w:hAnsi="Calibri" w:cs="Calibri"/>
        </w:rPr>
        <w:t xml:space="preserve"> (Accessed: 21 February 2025).</w:t>
      </w:r>
    </w:p>
    <w:p w14:paraId="0FD65136" w14:textId="107540F3" w:rsidR="00F2509A" w:rsidRPr="002F1455" w:rsidRDefault="00970881" w:rsidP="00F2509A">
      <w:pPr>
        <w:rPr>
          <w:rFonts w:ascii="Calibri" w:hAnsi="Calibri" w:cs="Calibri"/>
        </w:rPr>
      </w:pPr>
      <w:r>
        <w:rPr>
          <w:rFonts w:ascii="Calibri" w:hAnsi="Calibri" w:cs="Calibri"/>
        </w:rPr>
        <w:t>ACAS</w:t>
      </w:r>
      <w:r w:rsidR="00F2509A" w:rsidRPr="002F1455">
        <w:rPr>
          <w:rFonts w:ascii="Calibri" w:hAnsi="Calibri" w:cs="Calibri"/>
        </w:rPr>
        <w:t xml:space="preserve"> (2024b) </w:t>
      </w:r>
      <w:r w:rsidR="00F2509A" w:rsidRPr="002F1455">
        <w:rPr>
          <w:rFonts w:ascii="Calibri" w:hAnsi="Calibri" w:cs="Calibri"/>
          <w:i/>
          <w:iCs/>
        </w:rPr>
        <w:t>Rolled-up holiday pay for irregular hours and part-year workers.</w:t>
      </w:r>
      <w:r w:rsidR="00F2509A" w:rsidRPr="002F1455">
        <w:rPr>
          <w:rFonts w:ascii="Calibri" w:hAnsi="Calibri" w:cs="Calibri"/>
        </w:rPr>
        <w:t xml:space="preserve"> Available at: </w:t>
      </w:r>
      <w:hyperlink r:id="rId9" w:tgtFrame="_new" w:history="1">
        <w:r w:rsidR="00F2509A" w:rsidRPr="002F1455">
          <w:rPr>
            <w:rStyle w:val="Hyperlink"/>
            <w:rFonts w:ascii="Calibri" w:hAnsi="Calibri" w:cs="Calibri"/>
          </w:rPr>
          <w:t>https://www.</w:t>
        </w:r>
        <w:r>
          <w:rPr>
            <w:rStyle w:val="Hyperlink"/>
            <w:rFonts w:ascii="Calibri" w:hAnsi="Calibri" w:cs="Calibri"/>
          </w:rPr>
          <w:t>ACAS</w:t>
        </w:r>
        <w:r w:rsidR="00F2509A" w:rsidRPr="002F1455">
          <w:rPr>
            <w:rStyle w:val="Hyperlink"/>
            <w:rFonts w:ascii="Calibri" w:hAnsi="Calibri" w:cs="Calibri"/>
          </w:rPr>
          <w:t>.org.uk/irregular-hours-and-part-year-workers/rolled-up-holiday-pay</w:t>
        </w:r>
      </w:hyperlink>
      <w:r w:rsidR="00F2509A" w:rsidRPr="002F1455">
        <w:rPr>
          <w:rFonts w:ascii="Calibri" w:hAnsi="Calibri" w:cs="Calibri"/>
        </w:rPr>
        <w:t xml:space="preserve"> (Accessed: 11 March 2025).</w:t>
      </w:r>
    </w:p>
    <w:p w14:paraId="2BF64176" w14:textId="18AE92BB" w:rsidR="00F2509A" w:rsidRPr="002F1455" w:rsidRDefault="00970881" w:rsidP="00F2509A">
      <w:pPr>
        <w:rPr>
          <w:rFonts w:ascii="Calibri" w:hAnsi="Calibri" w:cs="Calibri"/>
        </w:rPr>
      </w:pPr>
      <w:r>
        <w:rPr>
          <w:rFonts w:ascii="Calibri" w:hAnsi="Calibri" w:cs="Calibri"/>
        </w:rPr>
        <w:t>ACAS</w:t>
      </w:r>
      <w:r w:rsidR="00F2509A" w:rsidRPr="002F1455">
        <w:rPr>
          <w:rFonts w:ascii="Calibri" w:hAnsi="Calibri" w:cs="Calibri"/>
        </w:rPr>
        <w:t xml:space="preserve"> (2024c) 'Transferring to your new employer – TUPE'. Available at: </w:t>
      </w:r>
      <w:hyperlink r:id="rId10" w:tgtFrame="_new" w:history="1">
        <w:r w:rsidR="00F2509A" w:rsidRPr="002F1455">
          <w:rPr>
            <w:rStyle w:val="Hyperlink"/>
            <w:rFonts w:ascii="Calibri" w:hAnsi="Calibri" w:cs="Calibri"/>
          </w:rPr>
          <w:t>https://www.</w:t>
        </w:r>
        <w:r>
          <w:rPr>
            <w:rStyle w:val="Hyperlink"/>
            <w:rFonts w:ascii="Calibri" w:hAnsi="Calibri" w:cs="Calibri"/>
          </w:rPr>
          <w:t>ACAS</w:t>
        </w:r>
        <w:r w:rsidR="00F2509A" w:rsidRPr="002F1455">
          <w:rPr>
            <w:rStyle w:val="Hyperlink"/>
            <w:rFonts w:ascii="Calibri" w:hAnsi="Calibri" w:cs="Calibri"/>
          </w:rPr>
          <w:t>.org.uk/tupe/advice-for-employers-and-employees/transferring-to-your-new-employer</w:t>
        </w:r>
      </w:hyperlink>
      <w:r w:rsidR="00F2509A" w:rsidRPr="002F1455">
        <w:rPr>
          <w:rFonts w:ascii="Calibri" w:hAnsi="Calibri" w:cs="Calibri"/>
        </w:rPr>
        <w:t xml:space="preserve"> (Accessed: 17 March 2025).</w:t>
      </w:r>
    </w:p>
    <w:p w14:paraId="213A123A" w14:textId="2C593D3E" w:rsidR="00F2509A" w:rsidRPr="002F1455" w:rsidRDefault="00970881" w:rsidP="00F2509A">
      <w:pPr>
        <w:rPr>
          <w:rFonts w:ascii="Calibri" w:hAnsi="Calibri" w:cs="Calibri"/>
        </w:rPr>
      </w:pPr>
      <w:r>
        <w:rPr>
          <w:rFonts w:ascii="Calibri" w:hAnsi="Calibri" w:cs="Calibri"/>
        </w:rPr>
        <w:t>ACAS</w:t>
      </w:r>
      <w:r w:rsidR="00F2509A" w:rsidRPr="002F1455">
        <w:rPr>
          <w:rFonts w:ascii="Calibri" w:hAnsi="Calibri" w:cs="Calibri"/>
        </w:rPr>
        <w:t xml:space="preserve"> (2025). </w:t>
      </w:r>
      <w:r w:rsidR="00F2509A" w:rsidRPr="002F1455">
        <w:rPr>
          <w:rFonts w:ascii="Calibri" w:hAnsi="Calibri" w:cs="Calibri"/>
          <w:i/>
          <w:iCs/>
        </w:rPr>
        <w:t>Using protected characteristics</w:t>
      </w:r>
      <w:r w:rsidR="00F2509A" w:rsidRPr="002F1455">
        <w:rPr>
          <w:rFonts w:ascii="Calibri" w:hAnsi="Calibri" w:cs="Calibri"/>
        </w:rPr>
        <w:t xml:space="preserve">. Available at: </w:t>
      </w:r>
      <w:hyperlink r:id="rId11" w:anchor=":~:text=In%20some%20cases%20an%20employer%20can%20say%20that,job%2C%20not%20for%20all%20jobs%20with%20an%20employer" w:tgtFrame="_new" w:history="1">
        <w:r w:rsidR="00F2509A" w:rsidRPr="002F1455">
          <w:rPr>
            <w:rStyle w:val="Hyperlink"/>
            <w:rFonts w:ascii="Calibri" w:hAnsi="Calibri" w:cs="Calibri"/>
          </w:rPr>
          <w:t>https://www.</w:t>
        </w:r>
        <w:r>
          <w:rPr>
            <w:rStyle w:val="Hyperlink"/>
            <w:rFonts w:ascii="Calibri" w:hAnsi="Calibri" w:cs="Calibri"/>
          </w:rPr>
          <w:t>ACAS</w:t>
        </w:r>
        <w:r w:rsidR="00F2509A" w:rsidRPr="002F1455">
          <w:rPr>
            <w:rStyle w:val="Hyperlink"/>
            <w:rFonts w:ascii="Calibri" w:hAnsi="Calibri" w:cs="Calibri"/>
          </w:rPr>
          <w:t>.org.uk/hiring-someone/using-protected-characteristics#:~:text=In%20some%20cases%20an%20employer%20can%20say%20that,job%2C%20not%20for%20all%20jobs%20with%20an%20employer</w:t>
        </w:r>
      </w:hyperlink>
      <w:r w:rsidR="00F2509A" w:rsidRPr="002F1455">
        <w:rPr>
          <w:rFonts w:ascii="Calibri" w:hAnsi="Calibri" w:cs="Calibri"/>
        </w:rPr>
        <w:t xml:space="preserve"> [Accessed 24 January 2025].</w:t>
      </w:r>
    </w:p>
    <w:p w14:paraId="4BDA040D" w14:textId="1E3352E8" w:rsidR="00F2509A" w:rsidRPr="002F1455" w:rsidRDefault="00970881" w:rsidP="00F2509A">
      <w:pPr>
        <w:rPr>
          <w:rFonts w:ascii="Calibri" w:hAnsi="Calibri" w:cs="Calibri"/>
        </w:rPr>
      </w:pPr>
      <w:r>
        <w:rPr>
          <w:rFonts w:ascii="Calibri" w:hAnsi="Calibri" w:cs="Calibri"/>
        </w:rPr>
        <w:t>ACAS</w:t>
      </w:r>
      <w:r w:rsidR="00F2509A" w:rsidRPr="002F1455">
        <w:rPr>
          <w:rFonts w:ascii="Calibri" w:hAnsi="Calibri" w:cs="Calibri"/>
        </w:rPr>
        <w:t xml:space="preserve"> (no date a). </w:t>
      </w:r>
      <w:r w:rsidR="00F2509A" w:rsidRPr="002F1455">
        <w:rPr>
          <w:rFonts w:ascii="Calibri" w:hAnsi="Calibri" w:cs="Calibri"/>
          <w:i/>
          <w:iCs/>
        </w:rPr>
        <w:t>Constructive dismissal</w:t>
      </w:r>
      <w:r w:rsidR="00F2509A" w:rsidRPr="002F1455">
        <w:rPr>
          <w:rFonts w:ascii="Calibri" w:hAnsi="Calibri" w:cs="Calibri"/>
        </w:rPr>
        <w:t xml:space="preserve">. </w:t>
      </w:r>
      <w:r>
        <w:rPr>
          <w:rFonts w:ascii="Calibri" w:hAnsi="Calibri" w:cs="Calibri"/>
        </w:rPr>
        <w:t>ACAS</w:t>
      </w:r>
      <w:r w:rsidR="00F2509A" w:rsidRPr="002F1455">
        <w:rPr>
          <w:rFonts w:ascii="Calibri" w:hAnsi="Calibri" w:cs="Calibri"/>
        </w:rPr>
        <w:t xml:space="preserve">. Available at: </w:t>
      </w:r>
      <w:hyperlink r:id="rId12" w:tgtFrame="_new" w:history="1">
        <w:r w:rsidR="00F2509A" w:rsidRPr="002F1455">
          <w:rPr>
            <w:rStyle w:val="Hyperlink"/>
            <w:rFonts w:ascii="Calibri" w:hAnsi="Calibri" w:cs="Calibri"/>
          </w:rPr>
          <w:t>https://www.</w:t>
        </w:r>
        <w:r>
          <w:rPr>
            <w:rStyle w:val="Hyperlink"/>
            <w:rFonts w:ascii="Calibri" w:hAnsi="Calibri" w:cs="Calibri"/>
          </w:rPr>
          <w:t>ACAS</w:t>
        </w:r>
        <w:r w:rsidR="00F2509A" w:rsidRPr="002F1455">
          <w:rPr>
            <w:rStyle w:val="Hyperlink"/>
            <w:rFonts w:ascii="Calibri" w:hAnsi="Calibri" w:cs="Calibri"/>
          </w:rPr>
          <w:t>.org.uk/dismissals/constructive-dismissal</w:t>
        </w:r>
      </w:hyperlink>
      <w:r w:rsidR="00F2509A" w:rsidRPr="002F1455">
        <w:rPr>
          <w:rFonts w:ascii="Calibri" w:hAnsi="Calibri" w:cs="Calibri"/>
        </w:rPr>
        <w:t xml:space="preserve"> (Accessed: 21 February 2025).</w:t>
      </w:r>
    </w:p>
    <w:p w14:paraId="05DA3D6B" w14:textId="71F0160C" w:rsidR="00F2509A" w:rsidRPr="002F1455" w:rsidRDefault="00970881" w:rsidP="00F2509A">
      <w:pPr>
        <w:rPr>
          <w:rFonts w:ascii="Calibri" w:hAnsi="Calibri" w:cs="Calibri"/>
        </w:rPr>
      </w:pPr>
      <w:r>
        <w:rPr>
          <w:rFonts w:ascii="Calibri" w:hAnsi="Calibri" w:cs="Calibri"/>
        </w:rPr>
        <w:t>ACAS</w:t>
      </w:r>
      <w:r w:rsidR="00F2509A" w:rsidRPr="002F1455">
        <w:rPr>
          <w:rFonts w:ascii="Calibri" w:hAnsi="Calibri" w:cs="Calibri"/>
        </w:rPr>
        <w:t xml:space="preserve"> (no date b). </w:t>
      </w:r>
      <w:r w:rsidR="00F2509A" w:rsidRPr="002F1455">
        <w:rPr>
          <w:rFonts w:ascii="Calibri" w:hAnsi="Calibri" w:cs="Calibri"/>
          <w:i/>
          <w:iCs/>
        </w:rPr>
        <w:t>Taking maternity leave</w:t>
      </w:r>
      <w:r w:rsidR="00F2509A" w:rsidRPr="002F1455">
        <w:rPr>
          <w:rFonts w:ascii="Calibri" w:hAnsi="Calibri" w:cs="Calibri"/>
        </w:rPr>
        <w:t xml:space="preserve">. Available at: </w:t>
      </w:r>
      <w:hyperlink r:id="rId13" w:tgtFrame="_new" w:history="1">
        <w:r w:rsidR="00F2509A" w:rsidRPr="002F1455">
          <w:rPr>
            <w:rStyle w:val="Hyperlink"/>
            <w:rFonts w:ascii="Calibri" w:hAnsi="Calibri" w:cs="Calibri"/>
          </w:rPr>
          <w:t>https://www.</w:t>
        </w:r>
        <w:r>
          <w:rPr>
            <w:rStyle w:val="Hyperlink"/>
            <w:rFonts w:ascii="Calibri" w:hAnsi="Calibri" w:cs="Calibri"/>
          </w:rPr>
          <w:t>ACAS</w:t>
        </w:r>
        <w:r w:rsidR="00F2509A" w:rsidRPr="002F1455">
          <w:rPr>
            <w:rStyle w:val="Hyperlink"/>
            <w:rFonts w:ascii="Calibri" w:hAnsi="Calibri" w:cs="Calibri"/>
          </w:rPr>
          <w:t>.org.uk/your-maternity-leave-pay-and-other-rights/taking-maternity-leave</w:t>
        </w:r>
      </w:hyperlink>
      <w:r w:rsidR="00F2509A" w:rsidRPr="002F1455">
        <w:rPr>
          <w:rFonts w:ascii="Calibri" w:hAnsi="Calibri" w:cs="Calibri"/>
        </w:rPr>
        <w:t xml:space="preserve"> [Accessed 10 Mar. 2025].</w:t>
      </w:r>
    </w:p>
    <w:p w14:paraId="2072EB6B" w14:textId="15B0FB73" w:rsidR="00F2509A" w:rsidRPr="002F1455" w:rsidRDefault="00970881" w:rsidP="00F2509A">
      <w:pPr>
        <w:pStyle w:val="Body"/>
        <w:spacing w:line="240" w:lineRule="auto"/>
        <w:rPr>
          <w:rFonts w:ascii="Calibri" w:eastAsia="Trebuchet MS" w:hAnsi="Calibri" w:cs="Calibri"/>
        </w:rPr>
      </w:pPr>
      <w:r>
        <w:rPr>
          <w:rFonts w:ascii="Calibri" w:eastAsia="Trebuchet MS" w:hAnsi="Calibri" w:cs="Calibri"/>
        </w:rPr>
        <w:t>ACAS</w:t>
      </w:r>
      <w:r w:rsidR="00F2509A" w:rsidRPr="002F1455">
        <w:rPr>
          <w:rFonts w:ascii="Calibri" w:eastAsia="Trebuchet MS" w:hAnsi="Calibri" w:cs="Calibri"/>
        </w:rPr>
        <w:t xml:space="preserve"> (no date c) </w:t>
      </w:r>
      <w:r w:rsidR="00F2509A" w:rsidRPr="002F1455">
        <w:rPr>
          <w:rFonts w:ascii="Calibri" w:eastAsia="Trebuchet MS" w:hAnsi="Calibri" w:cs="Calibri"/>
          <w:i/>
          <w:iCs/>
        </w:rPr>
        <w:t>Select employees for redundancy</w:t>
      </w:r>
      <w:r w:rsidR="00F2509A" w:rsidRPr="002F1455">
        <w:rPr>
          <w:rFonts w:ascii="Calibri" w:eastAsia="Trebuchet MS" w:hAnsi="Calibri" w:cs="Calibri"/>
        </w:rPr>
        <w:t xml:space="preserve">. Available at: </w:t>
      </w:r>
      <w:hyperlink r:id="rId14" w:tgtFrame="_new" w:history="1">
        <w:r w:rsidR="00F2509A" w:rsidRPr="002F1455">
          <w:rPr>
            <w:rStyle w:val="Hyperlink"/>
            <w:rFonts w:ascii="Calibri" w:eastAsia="Trebuchet MS" w:hAnsi="Calibri" w:cs="Calibri"/>
          </w:rPr>
          <w:t>https://www.</w:t>
        </w:r>
        <w:r>
          <w:rPr>
            <w:rStyle w:val="Hyperlink"/>
            <w:rFonts w:ascii="Calibri" w:eastAsia="Trebuchet MS" w:hAnsi="Calibri" w:cs="Calibri"/>
          </w:rPr>
          <w:t>ACAS</w:t>
        </w:r>
        <w:r w:rsidR="00F2509A" w:rsidRPr="002F1455">
          <w:rPr>
            <w:rStyle w:val="Hyperlink"/>
            <w:rFonts w:ascii="Calibri" w:eastAsia="Trebuchet MS" w:hAnsi="Calibri" w:cs="Calibri"/>
          </w:rPr>
          <w:t>.org.uk/manage-staff-redundancies/select-employees-for-redundancy</w:t>
        </w:r>
      </w:hyperlink>
      <w:r w:rsidR="00F2509A" w:rsidRPr="002F1455">
        <w:rPr>
          <w:rFonts w:ascii="Calibri" w:eastAsia="Trebuchet MS" w:hAnsi="Calibri" w:cs="Calibri"/>
        </w:rPr>
        <w:t xml:space="preserve"> (Accessed: 14 March 2025).</w:t>
      </w:r>
    </w:p>
    <w:p w14:paraId="73BE2E87" w14:textId="77777777" w:rsidR="00F2509A" w:rsidRPr="002F1455" w:rsidRDefault="00F2509A" w:rsidP="00F2509A">
      <w:pPr>
        <w:pStyle w:val="Body"/>
        <w:spacing w:line="240" w:lineRule="auto"/>
        <w:rPr>
          <w:rFonts w:ascii="Calibri" w:eastAsia="Trebuchet MS" w:hAnsi="Calibri" w:cs="Calibri"/>
        </w:rPr>
      </w:pPr>
    </w:p>
    <w:p w14:paraId="620BD5E5" w14:textId="71EE9535" w:rsidR="00F2509A" w:rsidRPr="002F1455" w:rsidRDefault="00970881" w:rsidP="00F2509A">
      <w:pPr>
        <w:pStyle w:val="Body"/>
        <w:spacing w:line="240" w:lineRule="auto"/>
        <w:rPr>
          <w:rFonts w:ascii="Calibri" w:eastAsia="Trebuchet MS" w:hAnsi="Calibri" w:cs="Calibri"/>
        </w:rPr>
      </w:pPr>
      <w:r>
        <w:rPr>
          <w:rFonts w:ascii="Calibri" w:eastAsia="Trebuchet MS" w:hAnsi="Calibri" w:cs="Calibri"/>
        </w:rPr>
        <w:t>ACAS</w:t>
      </w:r>
      <w:r w:rsidR="00F2509A" w:rsidRPr="002F1455">
        <w:rPr>
          <w:rFonts w:ascii="Calibri" w:eastAsia="Trebuchet MS" w:hAnsi="Calibri" w:cs="Calibri"/>
        </w:rPr>
        <w:t xml:space="preserve"> (no date d) </w:t>
      </w:r>
      <w:r w:rsidR="00F2509A" w:rsidRPr="002F1455">
        <w:rPr>
          <w:rFonts w:ascii="Calibri" w:eastAsia="Trebuchet MS" w:hAnsi="Calibri" w:cs="Calibri"/>
          <w:i/>
          <w:iCs/>
        </w:rPr>
        <w:t>Tell employees about redundancies</w:t>
      </w:r>
      <w:r w:rsidR="00F2509A" w:rsidRPr="002F1455">
        <w:rPr>
          <w:rFonts w:ascii="Calibri" w:eastAsia="Trebuchet MS" w:hAnsi="Calibri" w:cs="Calibri"/>
        </w:rPr>
        <w:t xml:space="preserve">. Available at: </w:t>
      </w:r>
      <w:hyperlink r:id="rId15" w:tgtFrame="_new" w:history="1">
        <w:r w:rsidR="00F2509A" w:rsidRPr="002F1455">
          <w:rPr>
            <w:rStyle w:val="Hyperlink"/>
            <w:rFonts w:ascii="Calibri" w:eastAsia="Trebuchet MS" w:hAnsi="Calibri" w:cs="Calibri"/>
          </w:rPr>
          <w:t>https://www.</w:t>
        </w:r>
        <w:r>
          <w:rPr>
            <w:rStyle w:val="Hyperlink"/>
            <w:rFonts w:ascii="Calibri" w:eastAsia="Trebuchet MS" w:hAnsi="Calibri" w:cs="Calibri"/>
          </w:rPr>
          <w:t>ACAS</w:t>
        </w:r>
        <w:r w:rsidR="00F2509A" w:rsidRPr="002F1455">
          <w:rPr>
            <w:rStyle w:val="Hyperlink"/>
            <w:rFonts w:ascii="Calibri" w:eastAsia="Trebuchet MS" w:hAnsi="Calibri" w:cs="Calibri"/>
          </w:rPr>
          <w:t>.org.uk/manage-staff-redundancies/tell-employees</w:t>
        </w:r>
      </w:hyperlink>
      <w:r w:rsidR="00F2509A" w:rsidRPr="002F1455">
        <w:rPr>
          <w:rFonts w:ascii="Calibri" w:eastAsia="Trebuchet MS" w:hAnsi="Calibri" w:cs="Calibri"/>
        </w:rPr>
        <w:t xml:space="preserve"> (Accessed: 14 March 2025).</w:t>
      </w:r>
    </w:p>
    <w:p w14:paraId="7B199EE9" w14:textId="77777777" w:rsidR="00F2509A" w:rsidRPr="002F1455" w:rsidRDefault="00F2509A" w:rsidP="00F2509A">
      <w:pPr>
        <w:pStyle w:val="Body"/>
        <w:spacing w:line="240" w:lineRule="auto"/>
        <w:rPr>
          <w:rFonts w:ascii="Calibri" w:eastAsia="Trebuchet MS" w:hAnsi="Calibri" w:cs="Calibri"/>
        </w:rPr>
      </w:pPr>
    </w:p>
    <w:p w14:paraId="20F23FFD" w14:textId="657BFE98" w:rsidR="00F2509A" w:rsidRPr="002F1455" w:rsidRDefault="00970881" w:rsidP="00F2509A">
      <w:pPr>
        <w:rPr>
          <w:rFonts w:ascii="Calibri" w:hAnsi="Calibri" w:cs="Calibri"/>
        </w:rPr>
      </w:pPr>
      <w:r>
        <w:rPr>
          <w:rFonts w:ascii="Calibri" w:hAnsi="Calibri" w:cs="Calibri"/>
        </w:rPr>
        <w:t>ACAS</w:t>
      </w:r>
      <w:r w:rsidR="00F2509A" w:rsidRPr="002F1455">
        <w:rPr>
          <w:rFonts w:ascii="Calibri" w:hAnsi="Calibri" w:cs="Calibri"/>
        </w:rPr>
        <w:t xml:space="preserve"> (no date e) 'Inform and consult staff in a TUPE transfer'. Available at: </w:t>
      </w:r>
      <w:hyperlink r:id="rId16" w:tgtFrame="_new" w:history="1">
        <w:r w:rsidR="00F2509A" w:rsidRPr="002F1455">
          <w:rPr>
            <w:rStyle w:val="Hyperlink"/>
            <w:rFonts w:ascii="Calibri" w:hAnsi="Calibri" w:cs="Calibri"/>
          </w:rPr>
          <w:t>https://www.</w:t>
        </w:r>
        <w:r>
          <w:rPr>
            <w:rStyle w:val="Hyperlink"/>
            <w:rFonts w:ascii="Calibri" w:hAnsi="Calibri" w:cs="Calibri"/>
          </w:rPr>
          <w:t>ACAS</w:t>
        </w:r>
        <w:r w:rsidR="00F2509A" w:rsidRPr="002F1455">
          <w:rPr>
            <w:rStyle w:val="Hyperlink"/>
            <w:rFonts w:ascii="Calibri" w:hAnsi="Calibri" w:cs="Calibri"/>
          </w:rPr>
          <w:t>.org.uk/inform-and-consult-staff-in-a-tupe-transfer</w:t>
        </w:r>
      </w:hyperlink>
      <w:r w:rsidR="00F2509A" w:rsidRPr="002F1455">
        <w:rPr>
          <w:rFonts w:ascii="Calibri" w:hAnsi="Calibri" w:cs="Calibri"/>
        </w:rPr>
        <w:t xml:space="preserve"> (Accessed: 17 March 2025).</w:t>
      </w:r>
    </w:p>
    <w:p w14:paraId="088DA3C1" w14:textId="77777777" w:rsidR="00F2509A" w:rsidRPr="002F1455" w:rsidRDefault="00F2509A" w:rsidP="00F2509A">
      <w:pPr>
        <w:rPr>
          <w:rFonts w:ascii="Calibri" w:hAnsi="Calibri" w:cs="Calibri"/>
        </w:rPr>
      </w:pPr>
      <w:r w:rsidRPr="002F1455">
        <w:rPr>
          <w:rFonts w:ascii="Calibri" w:hAnsi="Calibri" w:cs="Calibri"/>
        </w:rPr>
        <w:t xml:space="preserve">CIPD (2023a) </w:t>
      </w:r>
      <w:r w:rsidRPr="002F1455">
        <w:rPr>
          <w:rFonts w:ascii="Calibri" w:hAnsi="Calibri" w:cs="Calibri"/>
          <w:i/>
          <w:iCs/>
        </w:rPr>
        <w:t>Annual leave.</w:t>
      </w:r>
      <w:r w:rsidRPr="002F1455">
        <w:rPr>
          <w:rFonts w:ascii="Calibri" w:hAnsi="Calibri" w:cs="Calibri"/>
        </w:rPr>
        <w:t xml:space="preserve"> Available at: </w:t>
      </w:r>
      <w:hyperlink r:id="rId17" w:tgtFrame="_new" w:history="1">
        <w:r w:rsidRPr="002F1455">
          <w:rPr>
            <w:rStyle w:val="Hyperlink"/>
            <w:rFonts w:ascii="Calibri" w:hAnsi="Calibri" w:cs="Calibri"/>
          </w:rPr>
          <w:t>https://www.cipd.org/uk/knowledge/guides/annual-leave/</w:t>
        </w:r>
      </w:hyperlink>
      <w:r w:rsidRPr="002F1455">
        <w:rPr>
          <w:rFonts w:ascii="Calibri" w:hAnsi="Calibri" w:cs="Calibri"/>
        </w:rPr>
        <w:t xml:space="preserve"> (Accessed: 11 March 2025).</w:t>
      </w:r>
    </w:p>
    <w:p w14:paraId="3CCFEA98" w14:textId="77777777" w:rsidR="00F2509A" w:rsidRPr="002F1455" w:rsidRDefault="00F2509A" w:rsidP="00F2509A">
      <w:pPr>
        <w:pStyle w:val="Body"/>
        <w:spacing w:line="240" w:lineRule="auto"/>
        <w:rPr>
          <w:rFonts w:ascii="Calibri" w:eastAsia="Trebuchet MS" w:hAnsi="Calibri" w:cs="Calibri"/>
          <w:color w:val="auto"/>
        </w:rPr>
      </w:pPr>
      <w:r w:rsidRPr="002F1455">
        <w:rPr>
          <w:rFonts w:ascii="Calibri" w:eastAsia="Trebuchet MS" w:hAnsi="Calibri" w:cs="Calibri"/>
          <w:color w:val="auto"/>
        </w:rPr>
        <w:t xml:space="preserve">CIPD (2023b) </w:t>
      </w:r>
      <w:r w:rsidRPr="002F1455">
        <w:rPr>
          <w:rFonts w:ascii="Calibri" w:eastAsia="Trebuchet MS" w:hAnsi="Calibri" w:cs="Calibri"/>
          <w:i/>
          <w:iCs/>
          <w:color w:val="auto"/>
        </w:rPr>
        <w:t>Calculating a fairer holiday entitlement for flexible workers.</w:t>
      </w:r>
      <w:r w:rsidRPr="002F1455">
        <w:rPr>
          <w:rFonts w:ascii="Calibri" w:eastAsia="Trebuchet MS" w:hAnsi="Calibri" w:cs="Calibri"/>
          <w:color w:val="auto"/>
        </w:rPr>
        <w:t xml:space="preserve"> Available at: </w:t>
      </w:r>
      <w:hyperlink r:id="rId18" w:tgtFrame="_new" w:history="1">
        <w:r w:rsidRPr="002F1455">
          <w:rPr>
            <w:rStyle w:val="Hyperlink"/>
            <w:rFonts w:ascii="Calibri" w:eastAsia="Trebuchet MS" w:hAnsi="Calibri" w:cs="Calibri"/>
          </w:rPr>
          <w:t>https://www.cipd.org/uk/about/public-policy/our-calls-for-action/calculating-fairer-holiday-entitlement-flexible-workers/</w:t>
        </w:r>
      </w:hyperlink>
      <w:r w:rsidRPr="002F1455">
        <w:rPr>
          <w:rFonts w:ascii="Calibri" w:eastAsia="Trebuchet MS" w:hAnsi="Calibri" w:cs="Calibri"/>
          <w:color w:val="auto"/>
        </w:rPr>
        <w:t xml:space="preserve"> (Accessed: 11 March 2025).</w:t>
      </w:r>
    </w:p>
    <w:p w14:paraId="0F67AE00" w14:textId="77777777" w:rsidR="00F2509A" w:rsidRPr="002F1455" w:rsidRDefault="00F2509A" w:rsidP="00F2509A">
      <w:pPr>
        <w:pStyle w:val="Body"/>
        <w:spacing w:line="240" w:lineRule="auto"/>
        <w:rPr>
          <w:rFonts w:ascii="Calibri" w:eastAsia="Trebuchet MS" w:hAnsi="Calibri" w:cs="Calibri"/>
          <w:color w:val="auto"/>
        </w:rPr>
      </w:pPr>
    </w:p>
    <w:p w14:paraId="178AF53E" w14:textId="77777777" w:rsidR="00F2509A" w:rsidRPr="002F1455" w:rsidRDefault="00F2509A" w:rsidP="00F2509A">
      <w:pPr>
        <w:pStyle w:val="Body"/>
        <w:spacing w:line="240" w:lineRule="auto"/>
        <w:rPr>
          <w:rFonts w:ascii="Calibri" w:hAnsi="Calibri" w:cs="Calibri"/>
        </w:rPr>
      </w:pPr>
      <w:r w:rsidRPr="002F1455">
        <w:rPr>
          <w:rFonts w:ascii="Calibri" w:eastAsia="Trebuchet MS" w:hAnsi="Calibri" w:cs="Calibri"/>
          <w:color w:val="auto"/>
        </w:rPr>
        <w:t xml:space="preserve">CIPD. (2024a). </w:t>
      </w:r>
      <w:r w:rsidRPr="002F1455">
        <w:rPr>
          <w:rFonts w:ascii="Calibri" w:eastAsia="Trebuchet MS" w:hAnsi="Calibri" w:cs="Calibri"/>
          <w:i/>
          <w:iCs/>
          <w:color w:val="auto"/>
        </w:rPr>
        <w:t>Equal pay: UK employment law</w:t>
      </w:r>
      <w:r w:rsidRPr="002F1455">
        <w:rPr>
          <w:rFonts w:ascii="Calibri" w:eastAsia="Trebuchet MS" w:hAnsi="Calibri" w:cs="Calibri"/>
          <w:color w:val="auto"/>
        </w:rPr>
        <w:t xml:space="preserve">. Retrieved February 12, 2025, from </w:t>
      </w:r>
      <w:hyperlink r:id="rId19" w:tgtFrame="_new" w:history="1">
        <w:r w:rsidRPr="002F1455">
          <w:rPr>
            <w:rStyle w:val="Hyperlink"/>
            <w:rFonts w:ascii="Calibri" w:eastAsia="Trebuchet MS" w:hAnsi="Calibri" w:cs="Calibri"/>
          </w:rPr>
          <w:t>https://www.cipd.org/uk/knowledge/employment-law/equal-pay/</w:t>
        </w:r>
      </w:hyperlink>
    </w:p>
    <w:p w14:paraId="48EF0AB0" w14:textId="77777777" w:rsidR="00F2509A" w:rsidRPr="002F1455" w:rsidRDefault="00F2509A" w:rsidP="00F2509A">
      <w:pPr>
        <w:pStyle w:val="Body"/>
        <w:spacing w:line="240" w:lineRule="auto"/>
        <w:rPr>
          <w:rFonts w:ascii="Calibri" w:hAnsi="Calibri" w:cs="Calibri"/>
        </w:rPr>
      </w:pPr>
    </w:p>
    <w:p w14:paraId="1579E080" w14:textId="77777777" w:rsidR="00F2509A" w:rsidRPr="002F1455" w:rsidRDefault="00F2509A" w:rsidP="00F2509A">
      <w:pPr>
        <w:pStyle w:val="Body"/>
        <w:spacing w:line="240" w:lineRule="auto"/>
        <w:rPr>
          <w:rFonts w:ascii="Calibri" w:hAnsi="Calibri" w:cs="Calibri"/>
        </w:rPr>
      </w:pPr>
      <w:r w:rsidRPr="002F1455">
        <w:rPr>
          <w:rFonts w:ascii="Calibri" w:hAnsi="Calibri" w:cs="Calibri"/>
        </w:rPr>
        <w:t xml:space="preserve">CIPD (2024b) </w:t>
      </w:r>
      <w:r w:rsidRPr="002F1455">
        <w:rPr>
          <w:rFonts w:ascii="Calibri" w:hAnsi="Calibri" w:cs="Calibri"/>
          <w:i/>
          <w:iCs/>
        </w:rPr>
        <w:t>Maternity and paternity rights.</w:t>
      </w:r>
      <w:r w:rsidRPr="002F1455">
        <w:rPr>
          <w:rFonts w:ascii="Calibri" w:hAnsi="Calibri" w:cs="Calibri"/>
        </w:rPr>
        <w:t xml:space="preserve"> Available at: </w:t>
      </w:r>
      <w:hyperlink r:id="rId20" w:tgtFrame="_new" w:history="1">
        <w:r w:rsidRPr="002F1455">
          <w:rPr>
            <w:rStyle w:val="Hyperlink"/>
            <w:rFonts w:ascii="Calibri" w:hAnsi="Calibri" w:cs="Calibri"/>
          </w:rPr>
          <w:t>https://www.cipd.org/uk/knowledge/employment-law/maternity-paternity-rights</w:t>
        </w:r>
      </w:hyperlink>
      <w:r w:rsidRPr="002F1455">
        <w:rPr>
          <w:rFonts w:ascii="Calibri" w:hAnsi="Calibri" w:cs="Calibri"/>
        </w:rPr>
        <w:t xml:space="preserve"> (Accessed: 11 March 2025).</w:t>
      </w:r>
    </w:p>
    <w:p w14:paraId="7FA64AD0" w14:textId="77777777" w:rsidR="00F2509A" w:rsidRPr="002F1455" w:rsidRDefault="00F2509A" w:rsidP="00F2509A">
      <w:pPr>
        <w:pStyle w:val="Body"/>
        <w:spacing w:line="240" w:lineRule="auto"/>
        <w:rPr>
          <w:rFonts w:ascii="Calibri" w:eastAsia="Trebuchet MS" w:hAnsi="Calibri" w:cs="Calibri"/>
          <w:color w:val="auto"/>
        </w:rPr>
      </w:pPr>
    </w:p>
    <w:p w14:paraId="2991163C" w14:textId="77777777" w:rsidR="00F2509A" w:rsidRPr="002F1455" w:rsidRDefault="00F2509A" w:rsidP="00F2509A">
      <w:pPr>
        <w:pStyle w:val="Body"/>
        <w:spacing w:line="240" w:lineRule="auto"/>
        <w:rPr>
          <w:rFonts w:ascii="Calibri" w:eastAsia="Trebuchet MS" w:hAnsi="Calibri" w:cs="Calibri"/>
        </w:rPr>
      </w:pPr>
      <w:r w:rsidRPr="002F1455">
        <w:rPr>
          <w:rFonts w:ascii="Calibri" w:eastAsia="Trebuchet MS" w:hAnsi="Calibri" w:cs="Calibri"/>
        </w:rPr>
        <w:t xml:space="preserve">CIPD (2024c) </w:t>
      </w:r>
      <w:r w:rsidRPr="002F1455">
        <w:rPr>
          <w:rFonts w:ascii="Calibri" w:eastAsia="Trebuchet MS" w:hAnsi="Calibri" w:cs="Calibri"/>
          <w:i/>
          <w:iCs/>
        </w:rPr>
        <w:t>Redundancy</w:t>
      </w:r>
      <w:r w:rsidRPr="002F1455">
        <w:rPr>
          <w:rFonts w:ascii="Calibri" w:eastAsia="Trebuchet MS" w:hAnsi="Calibri" w:cs="Calibri"/>
        </w:rPr>
        <w:t xml:space="preserve">. Available at: </w:t>
      </w:r>
      <w:hyperlink r:id="rId21" w:tgtFrame="_new" w:history="1">
        <w:r w:rsidRPr="002F1455">
          <w:rPr>
            <w:rStyle w:val="Hyperlink"/>
            <w:rFonts w:ascii="Calibri" w:eastAsia="Trebuchet MS" w:hAnsi="Calibri" w:cs="Calibri"/>
          </w:rPr>
          <w:t>https://www.cipd.org/uk/knowledge/employment-law/redundancy/</w:t>
        </w:r>
      </w:hyperlink>
      <w:r w:rsidRPr="002F1455">
        <w:rPr>
          <w:rFonts w:ascii="Calibri" w:eastAsia="Trebuchet MS" w:hAnsi="Calibri" w:cs="Calibri"/>
        </w:rPr>
        <w:t xml:space="preserve"> (Accessed: 14 March 2025).</w:t>
      </w:r>
    </w:p>
    <w:p w14:paraId="3E0EBB43" w14:textId="77777777" w:rsidR="00F2509A" w:rsidRPr="002F1455" w:rsidRDefault="00F2509A" w:rsidP="00F2509A">
      <w:pPr>
        <w:pStyle w:val="Body"/>
        <w:spacing w:line="240" w:lineRule="auto"/>
        <w:rPr>
          <w:rFonts w:ascii="Calibri" w:eastAsia="Trebuchet MS" w:hAnsi="Calibri" w:cs="Calibri"/>
        </w:rPr>
      </w:pPr>
    </w:p>
    <w:p w14:paraId="5632CD69" w14:textId="77777777" w:rsidR="00F2509A" w:rsidRPr="002F1455" w:rsidRDefault="00F2509A" w:rsidP="00F2509A">
      <w:pPr>
        <w:rPr>
          <w:rFonts w:ascii="Calibri" w:hAnsi="Calibri" w:cs="Calibri"/>
        </w:rPr>
      </w:pPr>
      <w:r w:rsidRPr="002F1455">
        <w:rPr>
          <w:rFonts w:ascii="Calibri" w:hAnsi="Calibri" w:cs="Calibri"/>
        </w:rPr>
        <w:lastRenderedPageBreak/>
        <w:t xml:space="preserve">CIPD. (no date a) </w:t>
      </w:r>
      <w:r w:rsidRPr="002F1455">
        <w:rPr>
          <w:rFonts w:ascii="Calibri" w:hAnsi="Calibri" w:cs="Calibri"/>
          <w:i/>
          <w:iCs/>
        </w:rPr>
        <w:t>UK employment law and the EU</w:t>
      </w:r>
      <w:r w:rsidRPr="002F1455">
        <w:rPr>
          <w:rFonts w:ascii="Calibri" w:hAnsi="Calibri" w:cs="Calibri"/>
        </w:rPr>
        <w:t xml:space="preserve">. Available at: </w:t>
      </w:r>
      <w:hyperlink r:id="rId22" w:tgtFrame="_new" w:history="1">
        <w:r w:rsidRPr="002F1455">
          <w:rPr>
            <w:rStyle w:val="Hyperlink"/>
            <w:rFonts w:ascii="Calibri" w:hAnsi="Calibri" w:cs="Calibri"/>
          </w:rPr>
          <w:t>https://www.cipd.org/uk/knowledge/employment-law/uk-employment-law-eu/</w:t>
        </w:r>
      </w:hyperlink>
      <w:r w:rsidRPr="002F1455">
        <w:rPr>
          <w:rFonts w:ascii="Calibri" w:hAnsi="Calibri" w:cs="Calibri"/>
        </w:rPr>
        <w:t xml:space="preserve"> (Accessed: 14 March 2025).</w:t>
      </w:r>
    </w:p>
    <w:p w14:paraId="75FF0757" w14:textId="77777777" w:rsidR="00F2509A" w:rsidRPr="002F1455" w:rsidRDefault="00F2509A" w:rsidP="00F2509A">
      <w:pPr>
        <w:rPr>
          <w:rFonts w:ascii="Calibri" w:hAnsi="Calibri" w:cs="Calibri"/>
        </w:rPr>
      </w:pPr>
      <w:r w:rsidRPr="002F1455">
        <w:rPr>
          <w:rFonts w:ascii="Calibri" w:hAnsi="Calibri" w:cs="Calibri"/>
        </w:rPr>
        <w:t xml:space="preserve">CIPD. (no date b) 'TUPE (Transfer of undertakings): An introduction'. Available at: </w:t>
      </w:r>
      <w:hyperlink r:id="rId23" w:tgtFrame="_new" w:history="1">
        <w:r w:rsidRPr="002F1455">
          <w:rPr>
            <w:rStyle w:val="Hyperlink"/>
            <w:rFonts w:ascii="Calibri" w:hAnsi="Calibri" w:cs="Calibri"/>
          </w:rPr>
          <w:t>https://www.cipd.org/uk/knowledge/factsheets/tupe-factsheet/</w:t>
        </w:r>
      </w:hyperlink>
      <w:r w:rsidRPr="002F1455">
        <w:rPr>
          <w:rFonts w:ascii="Calibri" w:hAnsi="Calibri" w:cs="Calibri"/>
        </w:rPr>
        <w:t xml:space="preserve"> (Accessed: 17 March 2025).</w:t>
      </w:r>
    </w:p>
    <w:p w14:paraId="53C97869" w14:textId="77777777" w:rsidR="00F2509A" w:rsidRPr="002F1455" w:rsidRDefault="00F2509A" w:rsidP="00F2509A">
      <w:pPr>
        <w:rPr>
          <w:rFonts w:ascii="Calibri" w:hAnsi="Calibri" w:cs="Calibri"/>
        </w:rPr>
      </w:pPr>
      <w:r w:rsidRPr="002F1455">
        <w:rPr>
          <w:rFonts w:ascii="Calibri" w:hAnsi="Calibri" w:cs="Calibri"/>
        </w:rPr>
        <w:t>Daniels, K. (2022). </w:t>
      </w:r>
      <w:r w:rsidRPr="002F1455">
        <w:rPr>
          <w:rFonts w:ascii="Calibri" w:hAnsi="Calibri" w:cs="Calibri"/>
          <w:i/>
          <w:iCs/>
        </w:rPr>
        <w:t>Introduction to employment law : fundamentals for HR and business students</w:t>
      </w:r>
      <w:r w:rsidRPr="002F1455">
        <w:rPr>
          <w:rFonts w:ascii="Calibri" w:hAnsi="Calibri" w:cs="Calibri"/>
        </w:rPr>
        <w:t> (Sixth edition.). Kogan Page Limited.</w:t>
      </w:r>
    </w:p>
    <w:p w14:paraId="731D2BE2" w14:textId="77777777" w:rsidR="00F2509A" w:rsidRPr="002F1455" w:rsidRDefault="00F2509A" w:rsidP="00F2509A">
      <w:pPr>
        <w:rPr>
          <w:rFonts w:ascii="Calibri" w:hAnsi="Calibri" w:cs="Calibri"/>
        </w:rPr>
      </w:pPr>
      <w:r w:rsidRPr="002F1455">
        <w:rPr>
          <w:rFonts w:ascii="Calibri" w:hAnsi="Calibri" w:cs="Calibri"/>
        </w:rPr>
        <w:t>Daniels, K., &amp; Chartered Institute of Personnel and Development. (2024). </w:t>
      </w:r>
      <w:r w:rsidRPr="002F1455">
        <w:rPr>
          <w:rFonts w:ascii="Calibri" w:hAnsi="Calibri" w:cs="Calibri"/>
          <w:i/>
          <w:iCs/>
        </w:rPr>
        <w:t>Introduction to employment law : fundamentals for HR and business students</w:t>
      </w:r>
      <w:r w:rsidRPr="002F1455">
        <w:rPr>
          <w:rFonts w:ascii="Calibri" w:hAnsi="Calibri" w:cs="Calibri"/>
        </w:rPr>
        <w:t> (Seventh edition.). Kogan Page.</w:t>
      </w:r>
    </w:p>
    <w:p w14:paraId="412971D7" w14:textId="77777777" w:rsidR="00F2509A" w:rsidRPr="002F1455" w:rsidRDefault="00F2509A" w:rsidP="00F2509A">
      <w:pPr>
        <w:pStyle w:val="Body"/>
        <w:spacing w:line="240" w:lineRule="auto"/>
        <w:rPr>
          <w:rFonts w:ascii="Calibri" w:hAnsi="Calibri" w:cs="Calibri"/>
        </w:rPr>
      </w:pPr>
      <w:r w:rsidRPr="002F1455">
        <w:rPr>
          <w:rFonts w:ascii="Calibri" w:eastAsia="Trebuchet MS" w:hAnsi="Calibri" w:cs="Calibri"/>
          <w:color w:val="auto"/>
        </w:rPr>
        <w:t xml:space="preserve">EHRC. (2020). </w:t>
      </w:r>
      <w:r w:rsidRPr="002F1455">
        <w:rPr>
          <w:rFonts w:ascii="Calibri" w:eastAsia="Trebuchet MS" w:hAnsi="Calibri" w:cs="Calibri"/>
          <w:i/>
          <w:iCs/>
          <w:color w:val="auto"/>
        </w:rPr>
        <w:t>Equal work</w:t>
      </w:r>
      <w:r w:rsidRPr="002F1455">
        <w:rPr>
          <w:rFonts w:ascii="Calibri" w:eastAsia="Trebuchet MS" w:hAnsi="Calibri" w:cs="Calibri"/>
          <w:color w:val="auto"/>
        </w:rPr>
        <w:t xml:space="preserve">. Retrieved February 12, 2025, from </w:t>
      </w:r>
      <w:hyperlink r:id="rId24" w:tgtFrame="_new" w:history="1">
        <w:r w:rsidRPr="002F1455">
          <w:rPr>
            <w:rStyle w:val="Hyperlink"/>
            <w:rFonts w:ascii="Calibri" w:eastAsia="Trebuchet MS" w:hAnsi="Calibri" w:cs="Calibri"/>
          </w:rPr>
          <w:t>https://www.equalityhumanrights.com/guidance/equal-pay/equal-work</w:t>
        </w:r>
      </w:hyperlink>
    </w:p>
    <w:p w14:paraId="6E011EF1" w14:textId="77777777" w:rsidR="00F2509A" w:rsidRPr="002F1455" w:rsidRDefault="00F2509A" w:rsidP="00F2509A">
      <w:pPr>
        <w:pStyle w:val="Body"/>
        <w:spacing w:line="240" w:lineRule="auto"/>
        <w:rPr>
          <w:rFonts w:ascii="Calibri" w:eastAsia="Trebuchet MS" w:hAnsi="Calibri" w:cs="Calibri"/>
          <w:color w:val="auto"/>
        </w:rPr>
      </w:pPr>
    </w:p>
    <w:p w14:paraId="3C0CFB96" w14:textId="77777777" w:rsidR="00F2509A" w:rsidRPr="002F1455" w:rsidRDefault="00F2509A" w:rsidP="00F2509A">
      <w:pPr>
        <w:rPr>
          <w:rFonts w:ascii="Calibri" w:hAnsi="Calibri" w:cs="Calibri"/>
        </w:rPr>
      </w:pPr>
      <w:r w:rsidRPr="002F1455">
        <w:rPr>
          <w:rFonts w:ascii="Calibri" w:hAnsi="Calibri" w:cs="Calibri"/>
        </w:rPr>
        <w:t>Employment Relations (Flexible Working) Act 2023. c. 18. Available at: https://www.legislation.gov.uk/ukpga/2023/18/enacted [Accessed 21 February 2025].</w:t>
      </w:r>
    </w:p>
    <w:p w14:paraId="591C8308" w14:textId="77777777" w:rsidR="00F2509A" w:rsidRPr="002F1455" w:rsidRDefault="00F2509A" w:rsidP="00F2509A">
      <w:pPr>
        <w:rPr>
          <w:rFonts w:ascii="Calibri" w:hAnsi="Calibri" w:cs="Calibri"/>
        </w:rPr>
      </w:pPr>
      <w:r w:rsidRPr="002F1455">
        <w:rPr>
          <w:rFonts w:ascii="Calibri" w:hAnsi="Calibri" w:cs="Calibri"/>
        </w:rPr>
        <w:t xml:space="preserve">Ferguson, J. (2022) 'Flexible working requests: what is an employer’s obligation?', Personnel Today, 4 February. Available at: </w:t>
      </w:r>
      <w:hyperlink r:id="rId25" w:tgtFrame="_new" w:history="1">
        <w:r w:rsidRPr="002F1455">
          <w:rPr>
            <w:rStyle w:val="Hyperlink"/>
            <w:rFonts w:ascii="Calibri" w:hAnsi="Calibri" w:cs="Calibri"/>
          </w:rPr>
          <w:t>https://www.personneltoday.com/hr/flexible-working-requests-what-is-an-employers-obligation/</w:t>
        </w:r>
      </w:hyperlink>
      <w:r w:rsidRPr="002F1455">
        <w:rPr>
          <w:rFonts w:ascii="Calibri" w:hAnsi="Calibri" w:cs="Calibri"/>
        </w:rPr>
        <w:t xml:space="preserve"> (Accessed: 26 February 2025).</w:t>
      </w:r>
    </w:p>
    <w:p w14:paraId="35DBA612" w14:textId="77777777" w:rsidR="00F2509A" w:rsidRPr="002F1455" w:rsidRDefault="00F2509A" w:rsidP="00F2509A">
      <w:pPr>
        <w:pStyle w:val="Body"/>
        <w:spacing w:line="240" w:lineRule="auto"/>
        <w:rPr>
          <w:rFonts w:ascii="Calibri" w:eastAsia="Trebuchet MS" w:hAnsi="Calibri" w:cs="Calibri"/>
        </w:rPr>
      </w:pPr>
      <w:r w:rsidRPr="002F1455">
        <w:rPr>
          <w:rFonts w:ascii="Calibri" w:eastAsia="Trebuchet MS" w:hAnsi="Calibri" w:cs="Calibri"/>
        </w:rPr>
        <w:t xml:space="preserve">GOV.UK (no date) </w:t>
      </w:r>
      <w:r w:rsidRPr="002F1455">
        <w:rPr>
          <w:rFonts w:ascii="Calibri" w:eastAsia="Trebuchet MS" w:hAnsi="Calibri" w:cs="Calibri"/>
          <w:i/>
          <w:iCs/>
        </w:rPr>
        <w:t>Redundancy pay: your rights</w:t>
      </w:r>
      <w:r w:rsidRPr="002F1455">
        <w:rPr>
          <w:rFonts w:ascii="Calibri" w:eastAsia="Trebuchet MS" w:hAnsi="Calibri" w:cs="Calibri"/>
        </w:rPr>
        <w:t xml:space="preserve">. Available at: </w:t>
      </w:r>
      <w:hyperlink r:id="rId26" w:tgtFrame="_new" w:history="1">
        <w:r w:rsidRPr="002F1455">
          <w:rPr>
            <w:rStyle w:val="Hyperlink"/>
            <w:rFonts w:ascii="Calibri" w:eastAsia="Trebuchet MS" w:hAnsi="Calibri" w:cs="Calibri"/>
          </w:rPr>
          <w:t>https://www.gov.uk/redundancy-your-rights/redundancy-pay</w:t>
        </w:r>
      </w:hyperlink>
      <w:r w:rsidRPr="002F1455">
        <w:rPr>
          <w:rFonts w:ascii="Calibri" w:eastAsia="Trebuchet MS" w:hAnsi="Calibri" w:cs="Calibri"/>
        </w:rPr>
        <w:t xml:space="preserve"> (Accessed: 14 March 2025).</w:t>
      </w:r>
    </w:p>
    <w:p w14:paraId="467EC40D" w14:textId="77777777" w:rsidR="00F2509A" w:rsidRPr="002F1455" w:rsidRDefault="00F2509A" w:rsidP="00F2509A">
      <w:pPr>
        <w:pStyle w:val="Body"/>
        <w:spacing w:line="240" w:lineRule="auto"/>
        <w:rPr>
          <w:rFonts w:ascii="Calibri" w:eastAsia="Trebuchet MS" w:hAnsi="Calibri" w:cs="Calibri"/>
        </w:rPr>
      </w:pPr>
    </w:p>
    <w:p w14:paraId="0833F374" w14:textId="77777777" w:rsidR="00F2509A" w:rsidRPr="002F1455" w:rsidRDefault="00F2509A" w:rsidP="00F2509A">
      <w:pPr>
        <w:pStyle w:val="Body"/>
        <w:spacing w:line="240" w:lineRule="auto"/>
        <w:rPr>
          <w:rFonts w:ascii="Calibri" w:eastAsia="Trebuchet MS" w:hAnsi="Calibri" w:cs="Calibri"/>
        </w:rPr>
      </w:pPr>
      <w:r w:rsidRPr="002F1455">
        <w:rPr>
          <w:rFonts w:ascii="Calibri" w:eastAsia="Trebuchet MS" w:hAnsi="Calibri" w:cs="Calibri"/>
        </w:rPr>
        <w:t xml:space="preserve">Hall, J. (2025) </w:t>
      </w:r>
      <w:r w:rsidRPr="002F1455">
        <w:rPr>
          <w:rFonts w:ascii="Calibri" w:eastAsia="Trebuchet MS" w:hAnsi="Calibri" w:cs="Calibri"/>
          <w:i/>
          <w:iCs/>
        </w:rPr>
        <w:t>Voluntary redundancy: What you need to know</w:t>
      </w:r>
      <w:r w:rsidRPr="002F1455">
        <w:rPr>
          <w:rFonts w:ascii="Calibri" w:eastAsia="Trebuchet MS" w:hAnsi="Calibri" w:cs="Calibri"/>
        </w:rPr>
        <w:t xml:space="preserve">. Factorial HR. Available at: </w:t>
      </w:r>
      <w:hyperlink r:id="rId27" w:anchor=":~:text=You%20are%20entitled%20to%20statutory%20redundancy%20pay%20if,it%E2%80%99s%20essential%20to%20understand%20the%20voluntary%20redundancy%20rules" w:tgtFrame="_new" w:history="1">
        <w:r w:rsidRPr="002F1455">
          <w:rPr>
            <w:rStyle w:val="Hyperlink"/>
            <w:rFonts w:ascii="Calibri" w:eastAsia="Trebuchet MS" w:hAnsi="Calibri" w:cs="Calibri"/>
          </w:rPr>
          <w:t>https://factorialhr.co.uk/blog/voluntary-redundancy/#:~:text=You%20are%20entitled%20to%20statutory%20redundancy%20pay%20if,it%E2%80%99s%20essential%20to%20understand%20the%20voluntary%20redundancy%20rules</w:t>
        </w:r>
      </w:hyperlink>
      <w:r w:rsidRPr="002F1455">
        <w:rPr>
          <w:rFonts w:ascii="Calibri" w:eastAsia="Trebuchet MS" w:hAnsi="Calibri" w:cs="Calibri"/>
        </w:rPr>
        <w:t xml:space="preserve"> (Accessed: 14 March 2025).</w:t>
      </w:r>
    </w:p>
    <w:p w14:paraId="4C0F5C9E" w14:textId="77777777" w:rsidR="00F2509A" w:rsidRPr="002F1455" w:rsidRDefault="00F2509A" w:rsidP="00F2509A">
      <w:pPr>
        <w:pStyle w:val="Body"/>
        <w:spacing w:line="240" w:lineRule="auto"/>
        <w:rPr>
          <w:rFonts w:ascii="Calibri" w:eastAsia="Trebuchet MS" w:hAnsi="Calibri" w:cs="Calibri"/>
        </w:rPr>
      </w:pPr>
    </w:p>
    <w:p w14:paraId="0460EB13" w14:textId="77777777" w:rsidR="00F2509A" w:rsidRPr="002F1455" w:rsidRDefault="00F2509A" w:rsidP="00F2509A">
      <w:pPr>
        <w:rPr>
          <w:rFonts w:ascii="Calibri" w:hAnsi="Calibri" w:cs="Calibri"/>
        </w:rPr>
      </w:pPr>
      <w:r w:rsidRPr="002F1455">
        <w:rPr>
          <w:rFonts w:ascii="Calibri" w:hAnsi="Calibri" w:cs="Calibri"/>
        </w:rPr>
        <w:t xml:space="preserve">The HR Consultants. (2024). What is employment law &amp; why is it important? </w:t>
      </w:r>
      <w:r w:rsidRPr="002F1455">
        <w:rPr>
          <w:rFonts w:ascii="Calibri" w:hAnsi="Calibri" w:cs="Calibri"/>
          <w:i/>
          <w:iCs/>
        </w:rPr>
        <w:t>The HR Consultants</w:t>
      </w:r>
      <w:r w:rsidRPr="002F1455">
        <w:rPr>
          <w:rFonts w:ascii="Calibri" w:hAnsi="Calibri" w:cs="Calibri"/>
        </w:rPr>
        <w:t xml:space="preserve">. </w:t>
      </w:r>
      <w:hyperlink r:id="rId28" w:tgtFrame="_new" w:history="1">
        <w:r w:rsidRPr="002F1455">
          <w:rPr>
            <w:rStyle w:val="Hyperlink"/>
            <w:rFonts w:ascii="Calibri" w:hAnsi="Calibri" w:cs="Calibri"/>
          </w:rPr>
          <w:t>https://www.thehrconsultants.co.uk/what-is-employment-law-why-is-it-important/</w:t>
        </w:r>
      </w:hyperlink>
    </w:p>
    <w:p w14:paraId="1526EAEE" w14:textId="77777777" w:rsidR="00F2509A" w:rsidRPr="002F1455" w:rsidRDefault="00F2509A" w:rsidP="00F2509A">
      <w:pPr>
        <w:rPr>
          <w:rFonts w:ascii="Calibri" w:hAnsi="Calibri" w:cs="Calibri"/>
        </w:rPr>
      </w:pPr>
      <w:r w:rsidRPr="002F1455">
        <w:rPr>
          <w:rFonts w:ascii="Calibri" w:hAnsi="Calibri" w:cs="Calibri"/>
        </w:rPr>
        <w:t>Ioannou, G., &amp; Dukes, R. (2021). Anything goes? Exploring the limits of employment law in UK hospitality and catering. </w:t>
      </w:r>
      <w:r w:rsidRPr="002F1455">
        <w:rPr>
          <w:rFonts w:ascii="Calibri" w:hAnsi="Calibri" w:cs="Calibri"/>
          <w:i/>
          <w:iCs/>
        </w:rPr>
        <w:t>Industrial Relations Journal</w:t>
      </w:r>
      <w:r w:rsidRPr="002F1455">
        <w:rPr>
          <w:rFonts w:ascii="Calibri" w:hAnsi="Calibri" w:cs="Calibri"/>
        </w:rPr>
        <w:t>, </w:t>
      </w:r>
      <w:r w:rsidRPr="002F1455">
        <w:rPr>
          <w:rFonts w:ascii="Calibri" w:hAnsi="Calibri" w:cs="Calibri"/>
          <w:i/>
          <w:iCs/>
        </w:rPr>
        <w:t>52</w:t>
      </w:r>
      <w:r w:rsidRPr="002F1455">
        <w:rPr>
          <w:rFonts w:ascii="Calibri" w:hAnsi="Calibri" w:cs="Calibri"/>
        </w:rPr>
        <w:t>(3), pp.255-269.</w:t>
      </w:r>
    </w:p>
    <w:p w14:paraId="110F7AB0" w14:textId="77777777" w:rsidR="00F2509A" w:rsidRPr="002F1455" w:rsidRDefault="00F2509A" w:rsidP="00F2509A">
      <w:pPr>
        <w:pStyle w:val="Body"/>
        <w:spacing w:line="240" w:lineRule="auto"/>
        <w:rPr>
          <w:rFonts w:ascii="Calibri" w:eastAsia="Trebuchet MS" w:hAnsi="Calibri" w:cs="Calibri"/>
        </w:rPr>
      </w:pPr>
      <w:proofErr w:type="spellStart"/>
      <w:r w:rsidRPr="002F1455">
        <w:rPr>
          <w:rFonts w:ascii="Calibri" w:eastAsia="Trebuchet MS" w:hAnsi="Calibri" w:cs="Calibri"/>
        </w:rPr>
        <w:t>Kräft</w:t>
      </w:r>
      <w:proofErr w:type="spellEnd"/>
      <w:r w:rsidRPr="002F1455">
        <w:rPr>
          <w:rFonts w:ascii="Calibri" w:eastAsia="Trebuchet MS" w:hAnsi="Calibri" w:cs="Calibri"/>
        </w:rPr>
        <w:t>, C. (2022). Equal pay behind the “Glass Door”? The gender gap in upper management in a male‐dominated industry. </w:t>
      </w:r>
      <w:r w:rsidRPr="002F1455">
        <w:rPr>
          <w:rFonts w:ascii="Calibri" w:eastAsia="Trebuchet MS" w:hAnsi="Calibri" w:cs="Calibri"/>
          <w:i/>
          <w:iCs/>
        </w:rPr>
        <w:t>Gender, Work, and Organization</w:t>
      </w:r>
      <w:r w:rsidRPr="002F1455">
        <w:rPr>
          <w:rFonts w:ascii="Calibri" w:eastAsia="Trebuchet MS" w:hAnsi="Calibri" w:cs="Calibri"/>
        </w:rPr>
        <w:t>, </w:t>
      </w:r>
      <w:r w:rsidRPr="002F1455">
        <w:rPr>
          <w:rFonts w:ascii="Calibri" w:eastAsia="Trebuchet MS" w:hAnsi="Calibri" w:cs="Calibri"/>
          <w:i/>
          <w:iCs/>
        </w:rPr>
        <w:t>29</w:t>
      </w:r>
      <w:r w:rsidRPr="002F1455">
        <w:rPr>
          <w:rFonts w:ascii="Calibri" w:eastAsia="Trebuchet MS" w:hAnsi="Calibri" w:cs="Calibri"/>
        </w:rPr>
        <w:t xml:space="preserve">(6), pp.1910–1926. </w:t>
      </w:r>
      <w:hyperlink r:id="rId29" w:history="1">
        <w:r w:rsidRPr="002F1455">
          <w:rPr>
            <w:rStyle w:val="Hyperlink"/>
            <w:rFonts w:ascii="Calibri" w:eastAsia="Trebuchet MS" w:hAnsi="Calibri" w:cs="Calibri"/>
          </w:rPr>
          <w:t>https://doi.org/10.1111/gwao.12890</w:t>
        </w:r>
      </w:hyperlink>
    </w:p>
    <w:p w14:paraId="19E27DB1" w14:textId="77777777" w:rsidR="00F2509A" w:rsidRPr="002F1455" w:rsidRDefault="00F2509A" w:rsidP="00F2509A">
      <w:pPr>
        <w:pStyle w:val="Body"/>
        <w:spacing w:line="240" w:lineRule="auto"/>
        <w:rPr>
          <w:rFonts w:ascii="Calibri" w:eastAsia="Trebuchet MS" w:hAnsi="Calibri" w:cs="Calibri"/>
        </w:rPr>
      </w:pPr>
    </w:p>
    <w:p w14:paraId="20FCBB48" w14:textId="77777777" w:rsidR="00F2509A" w:rsidRPr="002F1455" w:rsidRDefault="00F2509A" w:rsidP="00F2509A">
      <w:pPr>
        <w:rPr>
          <w:rFonts w:ascii="Calibri" w:hAnsi="Calibri" w:cs="Calibri"/>
        </w:rPr>
      </w:pPr>
      <w:r w:rsidRPr="002F1455">
        <w:rPr>
          <w:rFonts w:ascii="Calibri" w:hAnsi="Calibri" w:cs="Calibri"/>
        </w:rPr>
        <w:t xml:space="preserve">Living Wage Foundation. (n.d.). </w:t>
      </w:r>
      <w:r w:rsidRPr="002F1455">
        <w:rPr>
          <w:rFonts w:ascii="Calibri" w:hAnsi="Calibri" w:cs="Calibri"/>
          <w:i/>
          <w:iCs/>
        </w:rPr>
        <w:t>What is the real Living Wage?</w:t>
      </w:r>
      <w:r w:rsidRPr="002F1455">
        <w:rPr>
          <w:rFonts w:ascii="Calibri" w:hAnsi="Calibri" w:cs="Calibri"/>
        </w:rPr>
        <w:t xml:space="preserve"> Living Wage Foundation. Retrieved February 26, 2025, from </w:t>
      </w:r>
      <w:hyperlink r:id="rId30" w:tgtFrame="_new" w:history="1">
        <w:r w:rsidRPr="002F1455">
          <w:rPr>
            <w:rStyle w:val="Hyperlink"/>
            <w:rFonts w:ascii="Calibri" w:hAnsi="Calibri" w:cs="Calibri"/>
          </w:rPr>
          <w:t>https://www.livingwage.org.uk/what-real-living-wage</w:t>
        </w:r>
      </w:hyperlink>
    </w:p>
    <w:p w14:paraId="1AA973AE" w14:textId="77777777" w:rsidR="00F2509A" w:rsidRPr="002F1455" w:rsidRDefault="00F2509A" w:rsidP="00F2509A">
      <w:pPr>
        <w:rPr>
          <w:rFonts w:ascii="Calibri" w:hAnsi="Calibri" w:cs="Calibri"/>
        </w:rPr>
      </w:pPr>
      <w:r w:rsidRPr="002F1455">
        <w:rPr>
          <w:rFonts w:ascii="Calibri" w:hAnsi="Calibri" w:cs="Calibri"/>
        </w:rPr>
        <w:t xml:space="preserve">Menzies Law (2024) 'The new Day 1 employment rights', </w:t>
      </w:r>
      <w:r w:rsidRPr="002F1455">
        <w:rPr>
          <w:rFonts w:ascii="Calibri" w:hAnsi="Calibri" w:cs="Calibri"/>
          <w:i/>
          <w:iCs/>
        </w:rPr>
        <w:t>Menzies Law</w:t>
      </w:r>
      <w:r w:rsidRPr="002F1455">
        <w:rPr>
          <w:rFonts w:ascii="Calibri" w:hAnsi="Calibri" w:cs="Calibri"/>
        </w:rPr>
        <w:t xml:space="preserve">, [online] Available at: </w:t>
      </w:r>
      <w:hyperlink r:id="rId31" w:tgtFrame="_new" w:history="1">
        <w:r w:rsidRPr="002F1455">
          <w:rPr>
            <w:rStyle w:val="Hyperlink"/>
            <w:rFonts w:ascii="Calibri" w:hAnsi="Calibri" w:cs="Calibri"/>
          </w:rPr>
          <w:t>https://www.menzieslaw.co.uk/the-new-day-1-employment-rights/</w:t>
        </w:r>
      </w:hyperlink>
      <w:r w:rsidRPr="002F1455">
        <w:rPr>
          <w:rFonts w:ascii="Calibri" w:hAnsi="Calibri" w:cs="Calibri"/>
        </w:rPr>
        <w:t xml:space="preserve"> [Accessed 26 Feb. 2025].</w:t>
      </w:r>
    </w:p>
    <w:p w14:paraId="71C7885D" w14:textId="77777777" w:rsidR="00F2509A" w:rsidRPr="002F1455" w:rsidRDefault="00F2509A" w:rsidP="00F2509A">
      <w:pPr>
        <w:rPr>
          <w:rFonts w:ascii="Calibri" w:hAnsi="Calibri" w:cs="Calibri"/>
        </w:rPr>
      </w:pPr>
      <w:r w:rsidRPr="002F1455">
        <w:rPr>
          <w:rFonts w:ascii="Calibri" w:hAnsi="Calibri" w:cs="Calibri"/>
        </w:rPr>
        <w:t xml:space="preserve">Pinsent Masons (2023) 'Basic guide to TUPE'. Available at: </w:t>
      </w:r>
      <w:hyperlink r:id="rId32" w:tgtFrame="_new" w:history="1">
        <w:r w:rsidRPr="002F1455">
          <w:rPr>
            <w:rStyle w:val="Hyperlink"/>
            <w:rFonts w:ascii="Calibri" w:hAnsi="Calibri" w:cs="Calibri"/>
          </w:rPr>
          <w:t>https://www.pinsentmasons.com/out-law/guides/basic-guide-to-tupe</w:t>
        </w:r>
      </w:hyperlink>
      <w:r w:rsidRPr="002F1455">
        <w:rPr>
          <w:rFonts w:ascii="Calibri" w:hAnsi="Calibri" w:cs="Calibri"/>
        </w:rPr>
        <w:t xml:space="preserve"> (Accessed: 17 March 2025).</w:t>
      </w:r>
    </w:p>
    <w:p w14:paraId="0EC753CB" w14:textId="77777777" w:rsidR="00F2509A" w:rsidRPr="002F1455" w:rsidRDefault="00F2509A" w:rsidP="00F2509A">
      <w:pPr>
        <w:rPr>
          <w:rFonts w:ascii="Calibri" w:hAnsi="Calibri" w:cs="Calibri"/>
        </w:rPr>
      </w:pPr>
      <w:r w:rsidRPr="002F1455">
        <w:rPr>
          <w:rFonts w:ascii="Calibri" w:hAnsi="Calibri" w:cs="Calibri"/>
        </w:rPr>
        <w:t xml:space="preserve">PM Editorial. (2025). Employment law: what to expect in 2025. </w:t>
      </w:r>
      <w:r w:rsidRPr="002F1455">
        <w:rPr>
          <w:rFonts w:ascii="Calibri" w:hAnsi="Calibri" w:cs="Calibri"/>
          <w:i/>
          <w:iCs/>
        </w:rPr>
        <w:t>People Management</w:t>
      </w:r>
      <w:r w:rsidRPr="002F1455">
        <w:rPr>
          <w:rFonts w:ascii="Calibri" w:hAnsi="Calibri" w:cs="Calibri"/>
        </w:rPr>
        <w:t xml:space="preserve">. </w:t>
      </w:r>
      <w:hyperlink r:id="rId33" w:tgtFrame="_new" w:history="1">
        <w:r w:rsidRPr="002F1455">
          <w:rPr>
            <w:rStyle w:val="Hyperlink"/>
            <w:rFonts w:ascii="Calibri" w:hAnsi="Calibri" w:cs="Calibri"/>
          </w:rPr>
          <w:t>https://www.peoplemanagement.co.uk/article/1901051/employment-law-expect-2025</w:t>
        </w:r>
      </w:hyperlink>
    </w:p>
    <w:p w14:paraId="0FE65DE7" w14:textId="77777777" w:rsidR="00F2509A" w:rsidRPr="002F1455" w:rsidRDefault="00F2509A" w:rsidP="00F2509A">
      <w:pPr>
        <w:rPr>
          <w:rFonts w:ascii="Calibri" w:hAnsi="Calibri" w:cs="Calibri"/>
        </w:rPr>
      </w:pPr>
      <w:r w:rsidRPr="002F1455">
        <w:rPr>
          <w:rFonts w:ascii="Calibri" w:hAnsi="Calibri" w:cs="Calibri"/>
        </w:rPr>
        <w:lastRenderedPageBreak/>
        <w:t xml:space="preserve">UK Government (2015). </w:t>
      </w:r>
      <w:r w:rsidRPr="002F1455">
        <w:rPr>
          <w:rFonts w:ascii="Calibri" w:hAnsi="Calibri" w:cs="Calibri"/>
          <w:i/>
          <w:iCs/>
        </w:rPr>
        <w:t>Shared parental leave among new regulations coming into force</w:t>
      </w:r>
      <w:r w:rsidRPr="002F1455">
        <w:rPr>
          <w:rFonts w:ascii="Calibri" w:hAnsi="Calibri" w:cs="Calibri"/>
        </w:rPr>
        <w:t xml:space="preserve">. Available at: </w:t>
      </w:r>
      <w:hyperlink r:id="rId34" w:tgtFrame="_new" w:history="1">
        <w:r w:rsidRPr="002F1455">
          <w:rPr>
            <w:rStyle w:val="Hyperlink"/>
            <w:rFonts w:ascii="Calibri" w:hAnsi="Calibri" w:cs="Calibri"/>
          </w:rPr>
          <w:t>https://www.gov.uk/government/news/shared-parental-leave-among-new-regulations-coming-into-force</w:t>
        </w:r>
      </w:hyperlink>
      <w:r w:rsidRPr="002F1455">
        <w:rPr>
          <w:rFonts w:ascii="Calibri" w:hAnsi="Calibri" w:cs="Calibri"/>
        </w:rPr>
        <w:t xml:space="preserve"> [Accessed 10 Mar. 2025].</w:t>
      </w:r>
    </w:p>
    <w:bookmarkEnd w:id="1"/>
    <w:p w14:paraId="13AD2184" w14:textId="77777777" w:rsidR="00F2509A" w:rsidRPr="002F1455" w:rsidRDefault="00F2509A" w:rsidP="00F2509A">
      <w:pPr>
        <w:pStyle w:val="Body"/>
        <w:spacing w:line="240" w:lineRule="auto"/>
        <w:rPr>
          <w:rFonts w:ascii="Calibri" w:eastAsia="Trebuchet MS" w:hAnsi="Calibri" w:cs="Calibri"/>
        </w:rPr>
      </w:pPr>
      <w:r w:rsidRPr="002F1455">
        <w:rPr>
          <w:rFonts w:ascii="Calibri" w:eastAsia="Trebuchet MS" w:hAnsi="Calibri" w:cs="Calibri"/>
        </w:rPr>
        <w:t xml:space="preserve">UK Parliament (1996) </w:t>
      </w:r>
      <w:r w:rsidRPr="002F1455">
        <w:rPr>
          <w:rFonts w:ascii="Calibri" w:eastAsia="Trebuchet MS" w:hAnsi="Calibri" w:cs="Calibri"/>
          <w:i/>
          <w:iCs/>
        </w:rPr>
        <w:t>Employment Rights Act 1996, c.18.</w:t>
      </w:r>
      <w:r w:rsidRPr="002F1455">
        <w:rPr>
          <w:rFonts w:ascii="Calibri" w:eastAsia="Trebuchet MS" w:hAnsi="Calibri" w:cs="Calibri"/>
        </w:rPr>
        <w:t xml:space="preserve"> Available at: https://www.legislation.gov.uk/ukpga/1996/18/contents (Accessed: 14 March 2025).</w:t>
      </w:r>
    </w:p>
    <w:p w14:paraId="73EB7A13" w14:textId="77777777" w:rsidR="00F2509A" w:rsidRPr="002F1455" w:rsidRDefault="00F2509A" w:rsidP="00F2509A">
      <w:pPr>
        <w:pStyle w:val="Body"/>
        <w:spacing w:line="240" w:lineRule="auto"/>
        <w:rPr>
          <w:rFonts w:ascii="Calibri" w:eastAsia="Trebuchet MS" w:hAnsi="Calibri" w:cs="Calibri"/>
        </w:rPr>
      </w:pPr>
    </w:p>
    <w:p w14:paraId="2BB722CA" w14:textId="77777777" w:rsidR="00F2509A" w:rsidRPr="002F1455" w:rsidRDefault="00F2509A" w:rsidP="00F2509A">
      <w:pPr>
        <w:rPr>
          <w:rFonts w:ascii="Calibri" w:hAnsi="Calibri" w:cs="Calibri"/>
        </w:rPr>
      </w:pPr>
      <w:r w:rsidRPr="002F1455">
        <w:rPr>
          <w:rFonts w:ascii="Calibri" w:hAnsi="Calibri" w:cs="Calibri"/>
        </w:rPr>
        <w:t>Working Time Regulations (1998). London: HMSO.</w:t>
      </w:r>
    </w:p>
    <w:p w14:paraId="6543886D" w14:textId="77777777" w:rsidR="005A5DD8" w:rsidRDefault="005A5DD8"/>
    <w:sectPr w:rsidR="005A5D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58C637" w14:textId="77777777" w:rsidR="00DF7FC1" w:rsidRDefault="00DF7FC1" w:rsidP="005A5DD8">
      <w:pPr>
        <w:spacing w:after="0" w:line="240" w:lineRule="auto"/>
      </w:pPr>
      <w:r>
        <w:separator/>
      </w:r>
    </w:p>
  </w:endnote>
  <w:endnote w:type="continuationSeparator" w:id="0">
    <w:p w14:paraId="22997E96" w14:textId="77777777" w:rsidR="00DF7FC1" w:rsidRDefault="00DF7FC1" w:rsidP="005A5D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default"/>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84C3FD" w14:textId="77777777" w:rsidR="00DF7FC1" w:rsidRDefault="00DF7FC1" w:rsidP="005A5DD8">
      <w:pPr>
        <w:spacing w:after="0" w:line="240" w:lineRule="auto"/>
      </w:pPr>
      <w:r>
        <w:separator/>
      </w:r>
    </w:p>
  </w:footnote>
  <w:footnote w:type="continuationSeparator" w:id="0">
    <w:p w14:paraId="3E058652" w14:textId="77777777" w:rsidR="00DF7FC1" w:rsidRDefault="00DF7FC1" w:rsidP="005A5DD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862B2"/>
    <w:multiLevelType w:val="multilevel"/>
    <w:tmpl w:val="4300B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932413"/>
    <w:multiLevelType w:val="multilevel"/>
    <w:tmpl w:val="6EA4F3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FC65FE0"/>
    <w:multiLevelType w:val="multilevel"/>
    <w:tmpl w:val="BFFCB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B348B6"/>
    <w:multiLevelType w:val="hybridMultilevel"/>
    <w:tmpl w:val="7F4276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F80CA5"/>
    <w:multiLevelType w:val="multilevel"/>
    <w:tmpl w:val="937EC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36F3684"/>
    <w:multiLevelType w:val="multilevel"/>
    <w:tmpl w:val="23FE4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E6D6643"/>
    <w:multiLevelType w:val="multilevel"/>
    <w:tmpl w:val="F04C4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1CD61F8"/>
    <w:multiLevelType w:val="multilevel"/>
    <w:tmpl w:val="530C8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6B93DCA"/>
    <w:multiLevelType w:val="multilevel"/>
    <w:tmpl w:val="6B5AC6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8841A91"/>
    <w:multiLevelType w:val="hybridMultilevel"/>
    <w:tmpl w:val="A1A818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AFA0367"/>
    <w:multiLevelType w:val="multilevel"/>
    <w:tmpl w:val="548269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8914E85"/>
    <w:multiLevelType w:val="multilevel"/>
    <w:tmpl w:val="02024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6E72F6E"/>
    <w:multiLevelType w:val="multilevel"/>
    <w:tmpl w:val="7FAEA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9944E4C"/>
    <w:multiLevelType w:val="multilevel"/>
    <w:tmpl w:val="FCEA2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39D558C"/>
    <w:multiLevelType w:val="multilevel"/>
    <w:tmpl w:val="5E845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598363A"/>
    <w:multiLevelType w:val="multilevel"/>
    <w:tmpl w:val="26D07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7057F86"/>
    <w:multiLevelType w:val="multilevel"/>
    <w:tmpl w:val="39DC3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7807626"/>
    <w:multiLevelType w:val="multilevel"/>
    <w:tmpl w:val="D27EE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BD22F1E"/>
    <w:multiLevelType w:val="multilevel"/>
    <w:tmpl w:val="B298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E701E34"/>
    <w:multiLevelType w:val="multilevel"/>
    <w:tmpl w:val="CAFE1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F0D1F68"/>
    <w:multiLevelType w:val="multilevel"/>
    <w:tmpl w:val="41526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8E24303"/>
    <w:multiLevelType w:val="multilevel"/>
    <w:tmpl w:val="F85EF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FF00DE"/>
    <w:multiLevelType w:val="hybridMultilevel"/>
    <w:tmpl w:val="ED045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E1A7C2C"/>
    <w:multiLevelType w:val="multilevel"/>
    <w:tmpl w:val="F168B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E4205FD"/>
    <w:multiLevelType w:val="multilevel"/>
    <w:tmpl w:val="B17A4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47929576">
    <w:abstractNumId w:val="3"/>
  </w:num>
  <w:num w:numId="2" w16cid:durableId="589317614">
    <w:abstractNumId w:val="22"/>
  </w:num>
  <w:num w:numId="3" w16cid:durableId="66005276">
    <w:abstractNumId w:val="4"/>
  </w:num>
  <w:num w:numId="4" w16cid:durableId="361982363">
    <w:abstractNumId w:val="9"/>
  </w:num>
  <w:num w:numId="5" w16cid:durableId="336082137">
    <w:abstractNumId w:val="1"/>
  </w:num>
  <w:num w:numId="6" w16cid:durableId="1323654670">
    <w:abstractNumId w:val="24"/>
  </w:num>
  <w:num w:numId="7" w16cid:durableId="1115174525">
    <w:abstractNumId w:val="2"/>
  </w:num>
  <w:num w:numId="8" w16cid:durableId="412432639">
    <w:abstractNumId w:val="6"/>
  </w:num>
  <w:num w:numId="9" w16cid:durableId="2127037888">
    <w:abstractNumId w:val="13"/>
  </w:num>
  <w:num w:numId="10" w16cid:durableId="2115782729">
    <w:abstractNumId w:val="12"/>
  </w:num>
  <w:num w:numId="11" w16cid:durableId="1866938724">
    <w:abstractNumId w:val="16"/>
  </w:num>
  <w:num w:numId="12" w16cid:durableId="275867878">
    <w:abstractNumId w:val="23"/>
  </w:num>
  <w:num w:numId="13" w16cid:durableId="1479876569">
    <w:abstractNumId w:val="14"/>
  </w:num>
  <w:num w:numId="14" w16cid:durableId="1486236758">
    <w:abstractNumId w:val="0"/>
  </w:num>
  <w:num w:numId="15" w16cid:durableId="1673490789">
    <w:abstractNumId w:val="8"/>
  </w:num>
  <w:num w:numId="16" w16cid:durableId="1149052073">
    <w:abstractNumId w:val="20"/>
  </w:num>
  <w:num w:numId="17" w16cid:durableId="1548444507">
    <w:abstractNumId w:val="5"/>
  </w:num>
  <w:num w:numId="18" w16cid:durableId="1420561072">
    <w:abstractNumId w:val="21"/>
  </w:num>
  <w:num w:numId="19" w16cid:durableId="506210240">
    <w:abstractNumId w:val="7"/>
  </w:num>
  <w:num w:numId="20" w16cid:durableId="1668244392">
    <w:abstractNumId w:val="18"/>
  </w:num>
  <w:num w:numId="21" w16cid:durableId="2063021922">
    <w:abstractNumId w:val="19"/>
  </w:num>
  <w:num w:numId="22" w16cid:durableId="1598446825">
    <w:abstractNumId w:val="15"/>
  </w:num>
  <w:num w:numId="23" w16cid:durableId="182744421">
    <w:abstractNumId w:val="10"/>
  </w:num>
  <w:num w:numId="24" w16cid:durableId="1294363384">
    <w:abstractNumId w:val="17"/>
  </w:num>
  <w:num w:numId="25" w16cid:durableId="10409797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2"/>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01C2"/>
    <w:rsid w:val="00014BAB"/>
    <w:rsid w:val="000164F6"/>
    <w:rsid w:val="000279E3"/>
    <w:rsid w:val="0004167C"/>
    <w:rsid w:val="00044845"/>
    <w:rsid w:val="000517C8"/>
    <w:rsid w:val="000B03ED"/>
    <w:rsid w:val="00171C84"/>
    <w:rsid w:val="00177A39"/>
    <w:rsid w:val="00182AA1"/>
    <w:rsid w:val="00186D80"/>
    <w:rsid w:val="00190E46"/>
    <w:rsid w:val="001978F5"/>
    <w:rsid w:val="001C395D"/>
    <w:rsid w:val="001D5FDA"/>
    <w:rsid w:val="001E47AA"/>
    <w:rsid w:val="00221B9B"/>
    <w:rsid w:val="00221EEE"/>
    <w:rsid w:val="00226633"/>
    <w:rsid w:val="0024680A"/>
    <w:rsid w:val="002473F6"/>
    <w:rsid w:val="00251BD2"/>
    <w:rsid w:val="002555E7"/>
    <w:rsid w:val="002C036E"/>
    <w:rsid w:val="002E3F81"/>
    <w:rsid w:val="002E4BF5"/>
    <w:rsid w:val="00306032"/>
    <w:rsid w:val="00360F66"/>
    <w:rsid w:val="00387317"/>
    <w:rsid w:val="00396C4F"/>
    <w:rsid w:val="003B0578"/>
    <w:rsid w:val="00402D19"/>
    <w:rsid w:val="004058BF"/>
    <w:rsid w:val="004215B2"/>
    <w:rsid w:val="0042363F"/>
    <w:rsid w:val="00443A50"/>
    <w:rsid w:val="00446E8E"/>
    <w:rsid w:val="004746C7"/>
    <w:rsid w:val="00492734"/>
    <w:rsid w:val="004A0F82"/>
    <w:rsid w:val="004C733D"/>
    <w:rsid w:val="00514D40"/>
    <w:rsid w:val="00541FE7"/>
    <w:rsid w:val="00553981"/>
    <w:rsid w:val="00560C22"/>
    <w:rsid w:val="005A5DD8"/>
    <w:rsid w:val="005B1846"/>
    <w:rsid w:val="005D68ED"/>
    <w:rsid w:val="0060729A"/>
    <w:rsid w:val="00615E1E"/>
    <w:rsid w:val="00644C6E"/>
    <w:rsid w:val="00646953"/>
    <w:rsid w:val="0067348B"/>
    <w:rsid w:val="00680775"/>
    <w:rsid w:val="00694197"/>
    <w:rsid w:val="006C4839"/>
    <w:rsid w:val="006D7A3D"/>
    <w:rsid w:val="006E4F94"/>
    <w:rsid w:val="00707B73"/>
    <w:rsid w:val="00755A68"/>
    <w:rsid w:val="00762723"/>
    <w:rsid w:val="007C2C81"/>
    <w:rsid w:val="007C392E"/>
    <w:rsid w:val="007D438F"/>
    <w:rsid w:val="007D5855"/>
    <w:rsid w:val="007E76EB"/>
    <w:rsid w:val="008065CE"/>
    <w:rsid w:val="00822475"/>
    <w:rsid w:val="0083503F"/>
    <w:rsid w:val="0085657E"/>
    <w:rsid w:val="00861BF2"/>
    <w:rsid w:val="00891FB6"/>
    <w:rsid w:val="008B33ED"/>
    <w:rsid w:val="008C6207"/>
    <w:rsid w:val="008E71D9"/>
    <w:rsid w:val="008F2642"/>
    <w:rsid w:val="008F7C7A"/>
    <w:rsid w:val="0090164D"/>
    <w:rsid w:val="009070A4"/>
    <w:rsid w:val="009229E3"/>
    <w:rsid w:val="00922D7A"/>
    <w:rsid w:val="00932C37"/>
    <w:rsid w:val="00970881"/>
    <w:rsid w:val="00972963"/>
    <w:rsid w:val="00972C07"/>
    <w:rsid w:val="00977197"/>
    <w:rsid w:val="009A623E"/>
    <w:rsid w:val="009E5245"/>
    <w:rsid w:val="009F37BC"/>
    <w:rsid w:val="00A209D0"/>
    <w:rsid w:val="00A337C5"/>
    <w:rsid w:val="00A37389"/>
    <w:rsid w:val="00A62620"/>
    <w:rsid w:val="00A753D6"/>
    <w:rsid w:val="00AA2355"/>
    <w:rsid w:val="00AD0C04"/>
    <w:rsid w:val="00AD472A"/>
    <w:rsid w:val="00AE3540"/>
    <w:rsid w:val="00AF28FE"/>
    <w:rsid w:val="00B07BED"/>
    <w:rsid w:val="00B227B7"/>
    <w:rsid w:val="00B27FB3"/>
    <w:rsid w:val="00B415E0"/>
    <w:rsid w:val="00B53F42"/>
    <w:rsid w:val="00BE2C27"/>
    <w:rsid w:val="00BE74F5"/>
    <w:rsid w:val="00C23C00"/>
    <w:rsid w:val="00C258D8"/>
    <w:rsid w:val="00C30FAA"/>
    <w:rsid w:val="00C420EE"/>
    <w:rsid w:val="00C501C2"/>
    <w:rsid w:val="00C6637D"/>
    <w:rsid w:val="00C92D65"/>
    <w:rsid w:val="00CC1B79"/>
    <w:rsid w:val="00CE1036"/>
    <w:rsid w:val="00CE4B18"/>
    <w:rsid w:val="00D067BC"/>
    <w:rsid w:val="00D4681C"/>
    <w:rsid w:val="00D55394"/>
    <w:rsid w:val="00D75050"/>
    <w:rsid w:val="00D816BC"/>
    <w:rsid w:val="00D845F0"/>
    <w:rsid w:val="00D90B0E"/>
    <w:rsid w:val="00DB0997"/>
    <w:rsid w:val="00DC319D"/>
    <w:rsid w:val="00DD0AF4"/>
    <w:rsid w:val="00DD1FE6"/>
    <w:rsid w:val="00DF7FC1"/>
    <w:rsid w:val="00E61302"/>
    <w:rsid w:val="00E6581B"/>
    <w:rsid w:val="00E9659B"/>
    <w:rsid w:val="00EC027E"/>
    <w:rsid w:val="00ED4919"/>
    <w:rsid w:val="00F11AD3"/>
    <w:rsid w:val="00F2509A"/>
    <w:rsid w:val="00F5372E"/>
    <w:rsid w:val="00F56303"/>
    <w:rsid w:val="00FA09CD"/>
    <w:rsid w:val="00FB73E7"/>
    <w:rsid w:val="00FD0B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3B424A"/>
  <w15:chartTrackingRefBased/>
  <w15:docId w15:val="{978F6F6B-3B79-4CD9-9FD1-FE608C64C0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501C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501C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501C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501C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501C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501C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501C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501C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501C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01C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501C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501C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501C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501C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501C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501C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501C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501C2"/>
    <w:rPr>
      <w:rFonts w:eastAsiaTheme="majorEastAsia" w:cstheme="majorBidi"/>
      <w:color w:val="272727" w:themeColor="text1" w:themeTint="D8"/>
    </w:rPr>
  </w:style>
  <w:style w:type="paragraph" w:styleId="Title">
    <w:name w:val="Title"/>
    <w:basedOn w:val="Normal"/>
    <w:next w:val="Normal"/>
    <w:link w:val="TitleChar"/>
    <w:uiPriority w:val="10"/>
    <w:qFormat/>
    <w:rsid w:val="00C501C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501C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501C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501C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501C2"/>
    <w:pPr>
      <w:spacing w:before="160"/>
      <w:jc w:val="center"/>
    </w:pPr>
    <w:rPr>
      <w:i/>
      <w:iCs/>
      <w:color w:val="404040" w:themeColor="text1" w:themeTint="BF"/>
    </w:rPr>
  </w:style>
  <w:style w:type="character" w:customStyle="1" w:styleId="QuoteChar">
    <w:name w:val="Quote Char"/>
    <w:basedOn w:val="DefaultParagraphFont"/>
    <w:link w:val="Quote"/>
    <w:uiPriority w:val="29"/>
    <w:rsid w:val="00C501C2"/>
    <w:rPr>
      <w:i/>
      <w:iCs/>
      <w:color w:val="404040" w:themeColor="text1" w:themeTint="BF"/>
    </w:rPr>
  </w:style>
  <w:style w:type="paragraph" w:styleId="ListParagraph">
    <w:name w:val="List Paragraph"/>
    <w:basedOn w:val="Normal"/>
    <w:uiPriority w:val="34"/>
    <w:qFormat/>
    <w:rsid w:val="00C501C2"/>
    <w:pPr>
      <w:ind w:left="720"/>
      <w:contextualSpacing/>
    </w:pPr>
  </w:style>
  <w:style w:type="character" w:styleId="IntenseEmphasis">
    <w:name w:val="Intense Emphasis"/>
    <w:basedOn w:val="DefaultParagraphFont"/>
    <w:uiPriority w:val="21"/>
    <w:qFormat/>
    <w:rsid w:val="00C501C2"/>
    <w:rPr>
      <w:i/>
      <w:iCs/>
      <w:color w:val="0F4761" w:themeColor="accent1" w:themeShade="BF"/>
    </w:rPr>
  </w:style>
  <w:style w:type="paragraph" w:styleId="IntenseQuote">
    <w:name w:val="Intense Quote"/>
    <w:basedOn w:val="Normal"/>
    <w:next w:val="Normal"/>
    <w:link w:val="IntenseQuoteChar"/>
    <w:uiPriority w:val="30"/>
    <w:qFormat/>
    <w:rsid w:val="00C501C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501C2"/>
    <w:rPr>
      <w:i/>
      <w:iCs/>
      <w:color w:val="0F4761" w:themeColor="accent1" w:themeShade="BF"/>
    </w:rPr>
  </w:style>
  <w:style w:type="character" w:styleId="IntenseReference">
    <w:name w:val="Intense Reference"/>
    <w:basedOn w:val="DefaultParagraphFont"/>
    <w:uiPriority w:val="32"/>
    <w:qFormat/>
    <w:rsid w:val="00C501C2"/>
    <w:rPr>
      <w:b/>
      <w:bCs/>
      <w:smallCaps/>
      <w:color w:val="0F4761" w:themeColor="accent1" w:themeShade="BF"/>
      <w:spacing w:val="5"/>
    </w:rPr>
  </w:style>
  <w:style w:type="paragraph" w:customStyle="1" w:styleId="Body">
    <w:name w:val="Body"/>
    <w:rsid w:val="00C501C2"/>
    <w:pPr>
      <w:pBdr>
        <w:top w:val="nil"/>
        <w:left w:val="nil"/>
        <w:bottom w:val="nil"/>
        <w:right w:val="nil"/>
        <w:between w:val="nil"/>
        <w:bar w:val="nil"/>
      </w:pBdr>
      <w:spacing w:after="0"/>
    </w:pPr>
    <w:rPr>
      <w:rFonts w:ascii="Arial" w:eastAsia="Arial" w:hAnsi="Arial" w:cs="Arial"/>
      <w:color w:val="000000"/>
      <w:kern w:val="0"/>
      <w:u w:color="000000"/>
      <w:bdr w:val="nil"/>
      <w:lang w:eastAsia="en-GB"/>
      <w14:textOutline w14:w="0" w14:cap="flat" w14:cmpd="sng" w14:algn="ctr">
        <w14:noFill/>
        <w14:prstDash w14:val="solid"/>
        <w14:bevel/>
      </w14:textOutline>
      <w14:ligatures w14:val="none"/>
    </w:rPr>
  </w:style>
  <w:style w:type="paragraph" w:customStyle="1" w:styleId="Listparag">
    <w:name w:val="List parag"/>
    <w:rsid w:val="00C501C2"/>
    <w:pPr>
      <w:pBdr>
        <w:top w:val="nil"/>
        <w:left w:val="nil"/>
        <w:bottom w:val="nil"/>
        <w:right w:val="nil"/>
        <w:between w:val="nil"/>
        <w:bar w:val="nil"/>
      </w:pBdr>
      <w:spacing w:after="120" w:line="264" w:lineRule="auto"/>
    </w:pPr>
    <w:rPr>
      <w:rFonts w:ascii="Arial" w:eastAsia="Arial Unicode MS" w:hAnsi="Arial" w:cs="Arial Unicode MS"/>
      <w:color w:val="000000"/>
      <w:kern w:val="0"/>
      <w:u w:color="000000"/>
      <w:bdr w:val="nil"/>
      <w:lang w:val="en-US" w:eastAsia="en-GB"/>
      <w14:ligatures w14:val="none"/>
    </w:rPr>
  </w:style>
  <w:style w:type="character" w:styleId="Hyperlink">
    <w:name w:val="Hyperlink"/>
    <w:basedOn w:val="DefaultParagraphFont"/>
    <w:uiPriority w:val="99"/>
    <w:unhideWhenUsed/>
    <w:rsid w:val="00644C6E"/>
    <w:rPr>
      <w:color w:val="467886" w:themeColor="hyperlink"/>
      <w:u w:val="single"/>
    </w:rPr>
  </w:style>
  <w:style w:type="character" w:styleId="UnresolvedMention">
    <w:name w:val="Unresolved Mention"/>
    <w:basedOn w:val="DefaultParagraphFont"/>
    <w:uiPriority w:val="99"/>
    <w:semiHidden/>
    <w:unhideWhenUsed/>
    <w:rsid w:val="00644C6E"/>
    <w:rPr>
      <w:color w:val="605E5C"/>
      <w:shd w:val="clear" w:color="auto" w:fill="E1DFDD"/>
    </w:rPr>
  </w:style>
  <w:style w:type="character" w:styleId="Strong">
    <w:name w:val="Strong"/>
    <w:basedOn w:val="DefaultParagraphFont"/>
    <w:uiPriority w:val="22"/>
    <w:qFormat/>
    <w:rsid w:val="00A62620"/>
    <w:rPr>
      <w:b/>
      <w:bCs/>
    </w:rPr>
  </w:style>
  <w:style w:type="paragraph" w:styleId="Header">
    <w:name w:val="header"/>
    <w:basedOn w:val="Normal"/>
    <w:link w:val="HeaderChar"/>
    <w:uiPriority w:val="99"/>
    <w:unhideWhenUsed/>
    <w:rsid w:val="005A5D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5DD8"/>
  </w:style>
  <w:style w:type="paragraph" w:styleId="Footer">
    <w:name w:val="footer"/>
    <w:basedOn w:val="Normal"/>
    <w:link w:val="FooterChar"/>
    <w:uiPriority w:val="99"/>
    <w:unhideWhenUsed/>
    <w:rsid w:val="005A5D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5D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8894768">
      <w:bodyDiv w:val="1"/>
      <w:marLeft w:val="0"/>
      <w:marRight w:val="0"/>
      <w:marTop w:val="0"/>
      <w:marBottom w:val="0"/>
      <w:divBdr>
        <w:top w:val="none" w:sz="0" w:space="0" w:color="auto"/>
        <w:left w:val="none" w:sz="0" w:space="0" w:color="auto"/>
        <w:bottom w:val="none" w:sz="0" w:space="0" w:color="auto"/>
        <w:right w:val="none" w:sz="0" w:space="0" w:color="auto"/>
      </w:divBdr>
    </w:div>
    <w:div w:id="418599721">
      <w:bodyDiv w:val="1"/>
      <w:marLeft w:val="0"/>
      <w:marRight w:val="0"/>
      <w:marTop w:val="0"/>
      <w:marBottom w:val="0"/>
      <w:divBdr>
        <w:top w:val="none" w:sz="0" w:space="0" w:color="auto"/>
        <w:left w:val="none" w:sz="0" w:space="0" w:color="auto"/>
        <w:bottom w:val="none" w:sz="0" w:space="0" w:color="auto"/>
        <w:right w:val="none" w:sz="0" w:space="0" w:color="auto"/>
      </w:divBdr>
    </w:div>
    <w:div w:id="477378867">
      <w:bodyDiv w:val="1"/>
      <w:marLeft w:val="0"/>
      <w:marRight w:val="0"/>
      <w:marTop w:val="0"/>
      <w:marBottom w:val="0"/>
      <w:divBdr>
        <w:top w:val="none" w:sz="0" w:space="0" w:color="auto"/>
        <w:left w:val="none" w:sz="0" w:space="0" w:color="auto"/>
        <w:bottom w:val="none" w:sz="0" w:space="0" w:color="auto"/>
        <w:right w:val="none" w:sz="0" w:space="0" w:color="auto"/>
      </w:divBdr>
    </w:div>
    <w:div w:id="500513606">
      <w:bodyDiv w:val="1"/>
      <w:marLeft w:val="0"/>
      <w:marRight w:val="0"/>
      <w:marTop w:val="0"/>
      <w:marBottom w:val="0"/>
      <w:divBdr>
        <w:top w:val="none" w:sz="0" w:space="0" w:color="auto"/>
        <w:left w:val="none" w:sz="0" w:space="0" w:color="auto"/>
        <w:bottom w:val="none" w:sz="0" w:space="0" w:color="auto"/>
        <w:right w:val="none" w:sz="0" w:space="0" w:color="auto"/>
      </w:divBdr>
    </w:div>
    <w:div w:id="536091163">
      <w:bodyDiv w:val="1"/>
      <w:marLeft w:val="0"/>
      <w:marRight w:val="0"/>
      <w:marTop w:val="0"/>
      <w:marBottom w:val="0"/>
      <w:divBdr>
        <w:top w:val="none" w:sz="0" w:space="0" w:color="auto"/>
        <w:left w:val="none" w:sz="0" w:space="0" w:color="auto"/>
        <w:bottom w:val="none" w:sz="0" w:space="0" w:color="auto"/>
        <w:right w:val="none" w:sz="0" w:space="0" w:color="auto"/>
      </w:divBdr>
    </w:div>
    <w:div w:id="547768215">
      <w:bodyDiv w:val="1"/>
      <w:marLeft w:val="0"/>
      <w:marRight w:val="0"/>
      <w:marTop w:val="0"/>
      <w:marBottom w:val="0"/>
      <w:divBdr>
        <w:top w:val="none" w:sz="0" w:space="0" w:color="auto"/>
        <w:left w:val="none" w:sz="0" w:space="0" w:color="auto"/>
        <w:bottom w:val="none" w:sz="0" w:space="0" w:color="auto"/>
        <w:right w:val="none" w:sz="0" w:space="0" w:color="auto"/>
      </w:divBdr>
    </w:div>
    <w:div w:id="570041860">
      <w:bodyDiv w:val="1"/>
      <w:marLeft w:val="0"/>
      <w:marRight w:val="0"/>
      <w:marTop w:val="0"/>
      <w:marBottom w:val="0"/>
      <w:divBdr>
        <w:top w:val="none" w:sz="0" w:space="0" w:color="auto"/>
        <w:left w:val="none" w:sz="0" w:space="0" w:color="auto"/>
        <w:bottom w:val="none" w:sz="0" w:space="0" w:color="auto"/>
        <w:right w:val="none" w:sz="0" w:space="0" w:color="auto"/>
      </w:divBdr>
    </w:div>
    <w:div w:id="1114863070">
      <w:bodyDiv w:val="1"/>
      <w:marLeft w:val="0"/>
      <w:marRight w:val="0"/>
      <w:marTop w:val="0"/>
      <w:marBottom w:val="0"/>
      <w:divBdr>
        <w:top w:val="none" w:sz="0" w:space="0" w:color="auto"/>
        <w:left w:val="none" w:sz="0" w:space="0" w:color="auto"/>
        <w:bottom w:val="none" w:sz="0" w:space="0" w:color="auto"/>
        <w:right w:val="none" w:sz="0" w:space="0" w:color="auto"/>
      </w:divBdr>
    </w:div>
    <w:div w:id="1119714873">
      <w:bodyDiv w:val="1"/>
      <w:marLeft w:val="0"/>
      <w:marRight w:val="0"/>
      <w:marTop w:val="0"/>
      <w:marBottom w:val="0"/>
      <w:divBdr>
        <w:top w:val="none" w:sz="0" w:space="0" w:color="auto"/>
        <w:left w:val="none" w:sz="0" w:space="0" w:color="auto"/>
        <w:bottom w:val="none" w:sz="0" w:space="0" w:color="auto"/>
        <w:right w:val="none" w:sz="0" w:space="0" w:color="auto"/>
      </w:divBdr>
    </w:div>
    <w:div w:id="1180654414">
      <w:bodyDiv w:val="1"/>
      <w:marLeft w:val="0"/>
      <w:marRight w:val="0"/>
      <w:marTop w:val="0"/>
      <w:marBottom w:val="0"/>
      <w:divBdr>
        <w:top w:val="none" w:sz="0" w:space="0" w:color="auto"/>
        <w:left w:val="none" w:sz="0" w:space="0" w:color="auto"/>
        <w:bottom w:val="none" w:sz="0" w:space="0" w:color="auto"/>
        <w:right w:val="none" w:sz="0" w:space="0" w:color="auto"/>
      </w:divBdr>
    </w:div>
    <w:div w:id="1351495943">
      <w:bodyDiv w:val="1"/>
      <w:marLeft w:val="0"/>
      <w:marRight w:val="0"/>
      <w:marTop w:val="0"/>
      <w:marBottom w:val="0"/>
      <w:divBdr>
        <w:top w:val="none" w:sz="0" w:space="0" w:color="auto"/>
        <w:left w:val="none" w:sz="0" w:space="0" w:color="auto"/>
        <w:bottom w:val="none" w:sz="0" w:space="0" w:color="auto"/>
        <w:right w:val="none" w:sz="0" w:space="0" w:color="auto"/>
      </w:divBdr>
    </w:div>
    <w:div w:id="1381325929">
      <w:bodyDiv w:val="1"/>
      <w:marLeft w:val="0"/>
      <w:marRight w:val="0"/>
      <w:marTop w:val="0"/>
      <w:marBottom w:val="0"/>
      <w:divBdr>
        <w:top w:val="none" w:sz="0" w:space="0" w:color="auto"/>
        <w:left w:val="none" w:sz="0" w:space="0" w:color="auto"/>
        <w:bottom w:val="none" w:sz="0" w:space="0" w:color="auto"/>
        <w:right w:val="none" w:sz="0" w:space="0" w:color="auto"/>
      </w:divBdr>
    </w:div>
    <w:div w:id="1438253980">
      <w:bodyDiv w:val="1"/>
      <w:marLeft w:val="0"/>
      <w:marRight w:val="0"/>
      <w:marTop w:val="0"/>
      <w:marBottom w:val="0"/>
      <w:divBdr>
        <w:top w:val="none" w:sz="0" w:space="0" w:color="auto"/>
        <w:left w:val="none" w:sz="0" w:space="0" w:color="auto"/>
        <w:bottom w:val="none" w:sz="0" w:space="0" w:color="auto"/>
        <w:right w:val="none" w:sz="0" w:space="0" w:color="auto"/>
      </w:divBdr>
    </w:div>
    <w:div w:id="1462915678">
      <w:bodyDiv w:val="1"/>
      <w:marLeft w:val="0"/>
      <w:marRight w:val="0"/>
      <w:marTop w:val="0"/>
      <w:marBottom w:val="0"/>
      <w:divBdr>
        <w:top w:val="none" w:sz="0" w:space="0" w:color="auto"/>
        <w:left w:val="none" w:sz="0" w:space="0" w:color="auto"/>
        <w:bottom w:val="none" w:sz="0" w:space="0" w:color="auto"/>
        <w:right w:val="none" w:sz="0" w:space="0" w:color="auto"/>
      </w:divBdr>
      <w:divsChild>
        <w:div w:id="271280968">
          <w:marLeft w:val="0"/>
          <w:marRight w:val="0"/>
          <w:marTop w:val="0"/>
          <w:marBottom w:val="0"/>
          <w:divBdr>
            <w:top w:val="none" w:sz="0" w:space="0" w:color="auto"/>
            <w:left w:val="none" w:sz="0" w:space="0" w:color="auto"/>
            <w:bottom w:val="none" w:sz="0" w:space="0" w:color="auto"/>
            <w:right w:val="none" w:sz="0" w:space="0" w:color="auto"/>
          </w:divBdr>
          <w:divsChild>
            <w:div w:id="1433741368">
              <w:marLeft w:val="0"/>
              <w:marRight w:val="0"/>
              <w:marTop w:val="0"/>
              <w:marBottom w:val="0"/>
              <w:divBdr>
                <w:top w:val="none" w:sz="0" w:space="0" w:color="auto"/>
                <w:left w:val="none" w:sz="0" w:space="0" w:color="auto"/>
                <w:bottom w:val="none" w:sz="0" w:space="0" w:color="auto"/>
                <w:right w:val="none" w:sz="0" w:space="0" w:color="auto"/>
              </w:divBdr>
              <w:divsChild>
                <w:div w:id="1937863467">
                  <w:marLeft w:val="480"/>
                  <w:marRight w:val="0"/>
                  <w:marTop w:val="0"/>
                  <w:marBottom w:val="0"/>
                  <w:divBdr>
                    <w:top w:val="none" w:sz="0" w:space="0" w:color="auto"/>
                    <w:left w:val="none" w:sz="0" w:space="0" w:color="auto"/>
                    <w:bottom w:val="none" w:sz="0" w:space="0" w:color="auto"/>
                    <w:right w:val="none" w:sz="0" w:space="0" w:color="auto"/>
                  </w:divBdr>
                  <w:divsChild>
                    <w:div w:id="1952469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8299984">
      <w:bodyDiv w:val="1"/>
      <w:marLeft w:val="0"/>
      <w:marRight w:val="0"/>
      <w:marTop w:val="0"/>
      <w:marBottom w:val="0"/>
      <w:divBdr>
        <w:top w:val="none" w:sz="0" w:space="0" w:color="auto"/>
        <w:left w:val="none" w:sz="0" w:space="0" w:color="auto"/>
        <w:bottom w:val="none" w:sz="0" w:space="0" w:color="auto"/>
        <w:right w:val="none" w:sz="0" w:space="0" w:color="auto"/>
      </w:divBdr>
    </w:div>
    <w:div w:id="1592929864">
      <w:bodyDiv w:val="1"/>
      <w:marLeft w:val="0"/>
      <w:marRight w:val="0"/>
      <w:marTop w:val="0"/>
      <w:marBottom w:val="0"/>
      <w:divBdr>
        <w:top w:val="none" w:sz="0" w:space="0" w:color="auto"/>
        <w:left w:val="none" w:sz="0" w:space="0" w:color="auto"/>
        <w:bottom w:val="none" w:sz="0" w:space="0" w:color="auto"/>
        <w:right w:val="none" w:sz="0" w:space="0" w:color="auto"/>
      </w:divBdr>
    </w:div>
    <w:div w:id="1838185793">
      <w:bodyDiv w:val="1"/>
      <w:marLeft w:val="0"/>
      <w:marRight w:val="0"/>
      <w:marTop w:val="0"/>
      <w:marBottom w:val="0"/>
      <w:divBdr>
        <w:top w:val="none" w:sz="0" w:space="0" w:color="auto"/>
        <w:left w:val="none" w:sz="0" w:space="0" w:color="auto"/>
        <w:bottom w:val="none" w:sz="0" w:space="0" w:color="auto"/>
        <w:right w:val="none" w:sz="0" w:space="0" w:color="auto"/>
      </w:divBdr>
    </w:div>
    <w:div w:id="1886259727">
      <w:bodyDiv w:val="1"/>
      <w:marLeft w:val="0"/>
      <w:marRight w:val="0"/>
      <w:marTop w:val="0"/>
      <w:marBottom w:val="0"/>
      <w:divBdr>
        <w:top w:val="none" w:sz="0" w:space="0" w:color="auto"/>
        <w:left w:val="none" w:sz="0" w:space="0" w:color="auto"/>
        <w:bottom w:val="none" w:sz="0" w:space="0" w:color="auto"/>
        <w:right w:val="none" w:sz="0" w:space="0" w:color="auto"/>
      </w:divBdr>
      <w:divsChild>
        <w:div w:id="773326791">
          <w:marLeft w:val="0"/>
          <w:marRight w:val="0"/>
          <w:marTop w:val="0"/>
          <w:marBottom w:val="0"/>
          <w:divBdr>
            <w:top w:val="none" w:sz="0" w:space="0" w:color="auto"/>
            <w:left w:val="none" w:sz="0" w:space="0" w:color="auto"/>
            <w:bottom w:val="none" w:sz="0" w:space="0" w:color="auto"/>
            <w:right w:val="none" w:sz="0" w:space="0" w:color="auto"/>
          </w:divBdr>
          <w:divsChild>
            <w:div w:id="1808621095">
              <w:marLeft w:val="0"/>
              <w:marRight w:val="0"/>
              <w:marTop w:val="0"/>
              <w:marBottom w:val="0"/>
              <w:divBdr>
                <w:top w:val="none" w:sz="0" w:space="0" w:color="auto"/>
                <w:left w:val="none" w:sz="0" w:space="0" w:color="auto"/>
                <w:bottom w:val="none" w:sz="0" w:space="0" w:color="auto"/>
                <w:right w:val="none" w:sz="0" w:space="0" w:color="auto"/>
              </w:divBdr>
              <w:divsChild>
                <w:div w:id="1410885242">
                  <w:marLeft w:val="480"/>
                  <w:marRight w:val="0"/>
                  <w:marTop w:val="0"/>
                  <w:marBottom w:val="0"/>
                  <w:divBdr>
                    <w:top w:val="none" w:sz="0" w:space="0" w:color="auto"/>
                    <w:left w:val="none" w:sz="0" w:space="0" w:color="auto"/>
                    <w:bottom w:val="none" w:sz="0" w:space="0" w:color="auto"/>
                    <w:right w:val="none" w:sz="0" w:space="0" w:color="auto"/>
                  </w:divBdr>
                  <w:divsChild>
                    <w:div w:id="1172601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9435691">
      <w:bodyDiv w:val="1"/>
      <w:marLeft w:val="0"/>
      <w:marRight w:val="0"/>
      <w:marTop w:val="0"/>
      <w:marBottom w:val="0"/>
      <w:divBdr>
        <w:top w:val="none" w:sz="0" w:space="0" w:color="auto"/>
        <w:left w:val="none" w:sz="0" w:space="0" w:color="auto"/>
        <w:bottom w:val="none" w:sz="0" w:space="0" w:color="auto"/>
        <w:right w:val="none" w:sz="0" w:space="0" w:color="auto"/>
      </w:divBdr>
    </w:div>
    <w:div w:id="2062896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cas.org.uk/your-maternity-leave-pay-and-other-rights/taking-maternity-leave" TargetMode="External"/><Relationship Id="rId18" Type="http://schemas.openxmlformats.org/officeDocument/2006/relationships/hyperlink" Target="https://www.cipd.org/uk/about/public-policy/our-calls-for-action/calculating-fairer-holiday-entitlement-flexible-workers/" TargetMode="External"/><Relationship Id="rId26" Type="http://schemas.openxmlformats.org/officeDocument/2006/relationships/hyperlink" Target="https://www.gov.uk/redundancy-your-rights/redundancy-pay" TargetMode="External"/><Relationship Id="rId3" Type="http://schemas.openxmlformats.org/officeDocument/2006/relationships/styles" Target="styles.xml"/><Relationship Id="rId21" Type="http://schemas.openxmlformats.org/officeDocument/2006/relationships/hyperlink" Target="https://www.cipd.org/uk/knowledge/employment-law/redundancy/" TargetMode="External"/><Relationship Id="rId34" Type="http://schemas.openxmlformats.org/officeDocument/2006/relationships/hyperlink" Target="https://www.gov.uk/government/news/shared-parental-leave-among-new-regulations-coming-into-force" TargetMode="External"/><Relationship Id="rId7" Type="http://schemas.openxmlformats.org/officeDocument/2006/relationships/endnotes" Target="endnotes.xml"/><Relationship Id="rId12" Type="http://schemas.openxmlformats.org/officeDocument/2006/relationships/hyperlink" Target="https://www.acas.org.uk/dismissals/constructive-dismissal" TargetMode="External"/><Relationship Id="rId17" Type="http://schemas.openxmlformats.org/officeDocument/2006/relationships/hyperlink" Target="https://www.cipd.org/uk/knowledge/guides/annual-leave/" TargetMode="External"/><Relationship Id="rId25" Type="http://schemas.openxmlformats.org/officeDocument/2006/relationships/hyperlink" Target="https://www.personneltoday.com/hr/flexible-working-requests-what-is-an-employers-obligation/" TargetMode="External"/><Relationship Id="rId33" Type="http://schemas.openxmlformats.org/officeDocument/2006/relationships/hyperlink" Target="https://www.peoplemanagement.co.uk/article/1901051/employment-law-expect-2025" TargetMode="External"/><Relationship Id="rId2" Type="http://schemas.openxmlformats.org/officeDocument/2006/relationships/numbering" Target="numbering.xml"/><Relationship Id="rId16" Type="http://schemas.openxmlformats.org/officeDocument/2006/relationships/hyperlink" Target="https://www.acas.org.uk/inform-and-consult-staff-in-a-tupe-transfer" TargetMode="External"/><Relationship Id="rId20" Type="http://schemas.openxmlformats.org/officeDocument/2006/relationships/hyperlink" Target="https://www.cipd.org/uk/knowledge/employment-law/maternity-paternity-rights" TargetMode="External"/><Relationship Id="rId29" Type="http://schemas.openxmlformats.org/officeDocument/2006/relationships/hyperlink" Target="https://doi.org/10.1111/gwao.1289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cas.org.uk/hiring-someone/using-protected-characteristics" TargetMode="External"/><Relationship Id="rId24" Type="http://schemas.openxmlformats.org/officeDocument/2006/relationships/hyperlink" Target="https://www.equalityhumanrights.com/guidance/equal-pay/equal-work" TargetMode="External"/><Relationship Id="rId32" Type="http://schemas.openxmlformats.org/officeDocument/2006/relationships/hyperlink" Target="https://www.pinsentmasons.com/out-law/guides/basic-guide-to-tupe" TargetMode="External"/><Relationship Id="rId5" Type="http://schemas.openxmlformats.org/officeDocument/2006/relationships/webSettings" Target="webSettings.xml"/><Relationship Id="rId15" Type="http://schemas.openxmlformats.org/officeDocument/2006/relationships/hyperlink" Target="https://www.acas.org.uk/manage-staff-redundancies/tell-employees" TargetMode="External"/><Relationship Id="rId23" Type="http://schemas.openxmlformats.org/officeDocument/2006/relationships/hyperlink" Target="https://www.cipd.org/uk/knowledge/factsheets/tupe-factsheet/" TargetMode="External"/><Relationship Id="rId28" Type="http://schemas.openxmlformats.org/officeDocument/2006/relationships/hyperlink" Target="https://www.thehrconsultants.co.uk/what-is-employment-law-why-is-it-important/" TargetMode="External"/><Relationship Id="rId36" Type="http://schemas.openxmlformats.org/officeDocument/2006/relationships/theme" Target="theme/theme1.xml"/><Relationship Id="rId10" Type="http://schemas.openxmlformats.org/officeDocument/2006/relationships/hyperlink" Target="https://www.acas.org.uk/tupe/advice-for-employers-and-employees/transferring-to-your-new-employer" TargetMode="External"/><Relationship Id="rId19" Type="http://schemas.openxmlformats.org/officeDocument/2006/relationships/hyperlink" Target="https://www.cipd.org/uk/knowledge/employment-law/equal-pay/" TargetMode="External"/><Relationship Id="rId31" Type="http://schemas.openxmlformats.org/officeDocument/2006/relationships/hyperlink" Target="https://www.menzieslaw.co.uk/the-new-day-1-employment-rights/" TargetMode="External"/><Relationship Id="rId4" Type="http://schemas.openxmlformats.org/officeDocument/2006/relationships/settings" Target="settings.xml"/><Relationship Id="rId9" Type="http://schemas.openxmlformats.org/officeDocument/2006/relationships/hyperlink" Target="https://www.acas.org.uk/irregular-hours-and-part-year-workers/rolled-up-holiday-pay" TargetMode="External"/><Relationship Id="rId14" Type="http://schemas.openxmlformats.org/officeDocument/2006/relationships/hyperlink" Target="https://www.acas.org.uk/manage-staff-redundancies/select-employees-for-redundancy" TargetMode="External"/><Relationship Id="rId22" Type="http://schemas.openxmlformats.org/officeDocument/2006/relationships/hyperlink" Target="https://www.cipd.org/uk/knowledge/employment-law/uk-employment-law-eu/" TargetMode="External"/><Relationship Id="rId27" Type="http://schemas.openxmlformats.org/officeDocument/2006/relationships/hyperlink" Target="https://factorialhr.co.uk/blog/voluntary-redundancy/" TargetMode="External"/><Relationship Id="rId30" Type="http://schemas.openxmlformats.org/officeDocument/2006/relationships/hyperlink" Target="https://www.livingwage.org.uk/what-real-living-wage" TargetMode="External"/><Relationship Id="rId35" Type="http://schemas.openxmlformats.org/officeDocument/2006/relationships/fontTable" Target="fontTable.xml"/><Relationship Id="rId8" Type="http://schemas.openxmlformats.org/officeDocument/2006/relationships/hyperlink" Target="https://www.acas.org.uk/acas-code-of-practice-on-flexible-working-reques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BE8B30-B29D-43D4-A429-3F172083D0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4913</Words>
  <Characters>28005</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Gardner</dc:creator>
  <cp:keywords/>
  <dc:description/>
  <cp:lastModifiedBy>Chloe Gardner</cp:lastModifiedBy>
  <cp:revision>3</cp:revision>
  <dcterms:created xsi:type="dcterms:W3CDTF">2025-03-17T11:18:00Z</dcterms:created>
  <dcterms:modified xsi:type="dcterms:W3CDTF">2025-03-17T11:23:00Z</dcterms:modified>
</cp:coreProperties>
</file>