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196DB" w14:textId="77777777" w:rsidR="007430F8" w:rsidRDefault="007430F8" w:rsidP="007430F8">
      <w:pPr>
        <w:jc w:val="center"/>
        <w:rPr>
          <w:b/>
          <w:bCs/>
          <w:sz w:val="32"/>
          <w:szCs w:val="32"/>
        </w:rPr>
      </w:pPr>
    </w:p>
    <w:p w14:paraId="76EA73D3" w14:textId="77777777" w:rsidR="007430F8" w:rsidRDefault="007430F8" w:rsidP="007430F8">
      <w:pPr>
        <w:jc w:val="center"/>
        <w:rPr>
          <w:b/>
          <w:bCs/>
          <w:sz w:val="32"/>
          <w:szCs w:val="32"/>
        </w:rPr>
      </w:pPr>
    </w:p>
    <w:p w14:paraId="6B2A64AC" w14:textId="7B15304A" w:rsidR="007430F8" w:rsidRDefault="007430F8" w:rsidP="007430F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Assessment One</w:t>
      </w:r>
    </w:p>
    <w:p w14:paraId="07BF2754" w14:textId="0FD2BFC4" w:rsidR="007430F8" w:rsidRDefault="007430F8" w:rsidP="007430F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Discussion Paper</w:t>
      </w:r>
    </w:p>
    <w:p w14:paraId="1821F339" w14:textId="6EBD90E9" w:rsidR="00CF5E46" w:rsidRPr="00CF5E46" w:rsidRDefault="00CF5E46" w:rsidP="00CF5E46">
      <w:pPr>
        <w:jc w:val="center"/>
        <w:rPr>
          <w:b/>
          <w:bCs/>
          <w:sz w:val="32"/>
          <w:szCs w:val="32"/>
        </w:rPr>
      </w:pPr>
      <w:r w:rsidRPr="00CF5E46">
        <w:rPr>
          <w:b/>
          <w:bCs/>
          <w:sz w:val="32"/>
          <w:szCs w:val="32"/>
        </w:rPr>
        <w:t xml:space="preserve"> Is</w:t>
      </w:r>
      <w:r w:rsidRPr="00CF5E46">
        <w:rPr>
          <w:b/>
          <w:bCs/>
          <w:sz w:val="32"/>
          <w:szCs w:val="32"/>
        </w:rPr>
        <w:t xml:space="preserve"> Semiotic and Structural Analysis Enough to Understand the Meretseger Statuette</w:t>
      </w:r>
      <w:r w:rsidR="00934001">
        <w:rPr>
          <w:b/>
          <w:bCs/>
          <w:sz w:val="32"/>
          <w:szCs w:val="32"/>
        </w:rPr>
        <w:t>?</w:t>
      </w:r>
    </w:p>
    <w:p w14:paraId="79AB9010" w14:textId="77777777" w:rsidR="00EA78B9" w:rsidRDefault="00EA78B9" w:rsidP="007430F8">
      <w:pPr>
        <w:jc w:val="center"/>
        <w:rPr>
          <w:b/>
          <w:bCs/>
          <w:sz w:val="32"/>
          <w:szCs w:val="32"/>
        </w:rPr>
      </w:pPr>
    </w:p>
    <w:p w14:paraId="0525039C" w14:textId="77777777" w:rsidR="00F62A13" w:rsidRDefault="008A4A49" w:rsidP="00F62A13">
      <w:pPr>
        <w:keepNext/>
        <w:jc w:val="center"/>
      </w:pPr>
      <w:r w:rsidRPr="008A4A49">
        <w:rPr>
          <w:b/>
          <w:bCs/>
          <w:noProof/>
          <w:sz w:val="32"/>
          <w:szCs w:val="32"/>
        </w:rPr>
        <w:drawing>
          <wp:inline distT="0" distB="0" distL="0" distR="0" wp14:anchorId="0B08FC8A" wp14:editId="43E7A29B">
            <wp:extent cx="2294793" cy="3008557"/>
            <wp:effectExtent l="0" t="0" r="0" b="1905"/>
            <wp:docPr id="6064344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43448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5994" cy="302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1A023" w14:textId="2E77CE42" w:rsidR="007430F8" w:rsidRDefault="00F62A13" w:rsidP="00F62A13">
      <w:pPr>
        <w:pStyle w:val="Caption"/>
        <w:jc w:val="center"/>
        <w:rPr>
          <w:b/>
          <w:bCs/>
          <w:sz w:val="32"/>
          <w:szCs w:val="32"/>
        </w:rPr>
      </w:pPr>
      <w:r>
        <w:t>Statuette of Meretseg</w:t>
      </w:r>
      <w:r w:rsidR="00930DBB">
        <w:t>e</w:t>
      </w:r>
      <w:r>
        <w:t xml:space="preserve">r </w:t>
      </w:r>
      <w:r w:rsidR="00DC5A22">
        <w:t>Brooklyn Museum</w:t>
      </w:r>
    </w:p>
    <w:p w14:paraId="530229C2" w14:textId="2DEB203E" w:rsidR="007430F8" w:rsidRDefault="007430F8" w:rsidP="007430F8">
      <w:pPr>
        <w:jc w:val="center"/>
        <w:rPr>
          <w:b/>
          <w:bCs/>
          <w:sz w:val="32"/>
          <w:szCs w:val="32"/>
        </w:rPr>
      </w:pPr>
    </w:p>
    <w:p w14:paraId="5BACC10A" w14:textId="794A0794" w:rsidR="007430F8" w:rsidRDefault="007430F8" w:rsidP="007430F8">
      <w:pPr>
        <w:jc w:val="center"/>
        <w:rPr>
          <w:b/>
          <w:bCs/>
          <w:sz w:val="32"/>
          <w:szCs w:val="32"/>
        </w:rPr>
      </w:pPr>
    </w:p>
    <w:p w14:paraId="14C2D099" w14:textId="689640CE" w:rsidR="007430F8" w:rsidRDefault="007430F8" w:rsidP="007430F8">
      <w:pPr>
        <w:jc w:val="center"/>
        <w:rPr>
          <w:b/>
          <w:bCs/>
          <w:sz w:val="32"/>
          <w:szCs w:val="32"/>
        </w:rPr>
      </w:pPr>
    </w:p>
    <w:p w14:paraId="7CC404B7" w14:textId="77777777" w:rsidR="007430F8" w:rsidRDefault="007430F8" w:rsidP="007430F8">
      <w:pPr>
        <w:spacing w:after="0"/>
        <w:jc w:val="right"/>
        <w:rPr>
          <w:b/>
          <w:bCs/>
          <w:sz w:val="20"/>
          <w:szCs w:val="20"/>
        </w:rPr>
      </w:pPr>
    </w:p>
    <w:p w14:paraId="6D2E87FC" w14:textId="77777777" w:rsidR="002D1C84" w:rsidRDefault="002D1C84" w:rsidP="007430F8">
      <w:pPr>
        <w:spacing w:after="0"/>
        <w:jc w:val="right"/>
        <w:rPr>
          <w:b/>
          <w:bCs/>
          <w:sz w:val="20"/>
          <w:szCs w:val="20"/>
        </w:rPr>
      </w:pPr>
    </w:p>
    <w:p w14:paraId="29F6582D" w14:textId="77777777" w:rsidR="002D1C84" w:rsidRDefault="002D1C84" w:rsidP="008A4A49">
      <w:pPr>
        <w:spacing w:after="0"/>
        <w:rPr>
          <w:b/>
          <w:bCs/>
          <w:sz w:val="20"/>
          <w:szCs w:val="20"/>
        </w:rPr>
      </w:pPr>
    </w:p>
    <w:p w14:paraId="7E9FBDDD" w14:textId="77777777" w:rsidR="00CF5E46" w:rsidRDefault="00CF5E46" w:rsidP="007430F8">
      <w:pPr>
        <w:spacing w:after="0"/>
        <w:jc w:val="right"/>
        <w:rPr>
          <w:b/>
          <w:bCs/>
          <w:sz w:val="20"/>
          <w:szCs w:val="20"/>
        </w:rPr>
      </w:pPr>
    </w:p>
    <w:p w14:paraId="31AD481F" w14:textId="77777777" w:rsidR="00CF5E46" w:rsidRDefault="00CF5E46" w:rsidP="007430F8">
      <w:pPr>
        <w:spacing w:after="0"/>
        <w:jc w:val="right"/>
        <w:rPr>
          <w:b/>
          <w:bCs/>
          <w:sz w:val="20"/>
          <w:szCs w:val="20"/>
        </w:rPr>
      </w:pPr>
    </w:p>
    <w:p w14:paraId="2F9E0C14" w14:textId="77777777" w:rsidR="00CF5E46" w:rsidRDefault="00CF5E46" w:rsidP="007430F8">
      <w:pPr>
        <w:spacing w:after="0"/>
        <w:jc w:val="right"/>
        <w:rPr>
          <w:b/>
          <w:bCs/>
          <w:sz w:val="20"/>
          <w:szCs w:val="20"/>
        </w:rPr>
      </w:pPr>
    </w:p>
    <w:p w14:paraId="55789646" w14:textId="5D4218B5" w:rsidR="007430F8" w:rsidRDefault="007430F8" w:rsidP="007430F8">
      <w:pPr>
        <w:spacing w:after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1450605 Alyson Greening</w:t>
      </w:r>
    </w:p>
    <w:p w14:paraId="53CBE75E" w14:textId="6C3FE2D1" w:rsidR="007430F8" w:rsidRDefault="007430F8" w:rsidP="007430F8">
      <w:pPr>
        <w:spacing w:after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HPAH7015</w:t>
      </w:r>
    </w:p>
    <w:p w14:paraId="7407AA56" w14:textId="372EBC67" w:rsidR="002B48DE" w:rsidRDefault="007430F8" w:rsidP="00F62A13">
      <w:pPr>
        <w:spacing w:after="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Ancient Egyptian Religions</w:t>
      </w:r>
    </w:p>
    <w:p w14:paraId="351DFCB6" w14:textId="4F8754D9" w:rsidR="00CC5FDF" w:rsidRDefault="00E80A61" w:rsidP="004158E6">
      <w:pPr>
        <w:pStyle w:val="NormalWeb"/>
        <w:spacing w:line="480" w:lineRule="auto"/>
        <w:rPr>
          <w:rFonts w:eastAsiaTheme="minorHAnsi"/>
          <w:kern w:val="2"/>
          <w:lang w:eastAsia="en-US"/>
          <w14:ligatures w14:val="standardContextual"/>
        </w:rPr>
      </w:pPr>
      <w:r w:rsidRPr="00E80A61">
        <w:rPr>
          <w:rFonts w:eastAsiaTheme="minorHAnsi"/>
          <w:kern w:val="2"/>
          <w:lang w:eastAsia="en-US"/>
          <w14:ligatures w14:val="standardContextual"/>
        </w:rPr>
        <w:lastRenderedPageBreak/>
        <w:t xml:space="preserve">Meretseger, "She Who Loves Silence," served as the formidable divine guardian of the Theban Necropolis, her identity inseparable from the pyramid-shaped peak of </w:t>
      </w:r>
      <w:proofErr w:type="spellStart"/>
      <w:r w:rsidRPr="00E80A61">
        <w:rPr>
          <w:rFonts w:eastAsiaTheme="minorHAnsi"/>
          <w:kern w:val="2"/>
          <w:lang w:eastAsia="en-US"/>
          <w14:ligatures w14:val="standardContextual"/>
        </w:rPr>
        <w:t>el-Qurn</w:t>
      </w:r>
      <w:proofErr w:type="spellEnd"/>
      <w:r w:rsidRPr="00E80A61">
        <w:rPr>
          <w:rFonts w:eastAsiaTheme="minorHAnsi"/>
          <w:kern w:val="2"/>
          <w:lang w:eastAsia="en-US"/>
          <w14:ligatures w14:val="standardContextual"/>
        </w:rPr>
        <w:t>. As a locali</w:t>
      </w:r>
      <w:r w:rsidR="00D95D04">
        <w:rPr>
          <w:rFonts w:eastAsiaTheme="minorHAnsi"/>
          <w:kern w:val="2"/>
          <w:lang w:eastAsia="en-US"/>
          <w14:ligatures w14:val="standardContextual"/>
        </w:rPr>
        <w:t>s</w:t>
      </w:r>
      <w:r w:rsidRPr="00E80A61">
        <w:rPr>
          <w:rFonts w:eastAsiaTheme="minorHAnsi"/>
          <w:kern w:val="2"/>
          <w:lang w:eastAsia="en-US"/>
          <w14:ligatures w14:val="standardContextual"/>
        </w:rPr>
        <w:t xml:space="preserve">ed deity of Deir </w:t>
      </w:r>
      <w:proofErr w:type="spellStart"/>
      <w:r w:rsidRPr="00E80A61">
        <w:rPr>
          <w:rFonts w:eastAsiaTheme="minorHAnsi"/>
          <w:kern w:val="2"/>
          <w:lang w:eastAsia="en-US"/>
          <w14:ligatures w14:val="standardContextual"/>
        </w:rPr>
        <w:t>el</w:t>
      </w:r>
      <w:proofErr w:type="spellEnd"/>
      <w:r w:rsidRPr="00E80A61">
        <w:rPr>
          <w:rFonts w:eastAsiaTheme="minorHAnsi"/>
          <w:kern w:val="2"/>
          <w:lang w:eastAsia="en-US"/>
          <w14:ligatures w14:val="standardContextual"/>
        </w:rPr>
        <w:t xml:space="preserve">-Medina, she embodied a </w:t>
      </w:r>
      <w:r w:rsidR="006137A4" w:rsidRPr="00E80A61">
        <w:rPr>
          <w:rFonts w:eastAsiaTheme="minorHAnsi"/>
          <w:kern w:val="2"/>
          <w:lang w:eastAsia="en-US"/>
          <w14:ligatures w14:val="standardContextual"/>
        </w:rPr>
        <w:t>powerful</w:t>
      </w:r>
      <w:r w:rsidRPr="00E80A61">
        <w:rPr>
          <w:rFonts w:eastAsiaTheme="minorHAnsi"/>
          <w:kern w:val="2"/>
          <w:lang w:eastAsia="en-US"/>
          <w14:ligatures w14:val="standardContextual"/>
        </w:rPr>
        <w:t xml:space="preserve"> </w:t>
      </w:r>
      <w:r w:rsidR="006137A4" w:rsidRPr="00E80A61">
        <w:rPr>
          <w:rFonts w:eastAsiaTheme="minorHAnsi"/>
          <w:kern w:val="2"/>
          <w:lang w:eastAsia="en-US"/>
          <w14:ligatures w14:val="standardContextual"/>
        </w:rPr>
        <w:t>dualism</w:t>
      </w:r>
      <w:r w:rsidRPr="00E80A61">
        <w:rPr>
          <w:rFonts w:eastAsiaTheme="minorHAnsi"/>
          <w:kern w:val="2"/>
          <w:lang w:eastAsia="en-US"/>
          <w14:ligatures w14:val="standardContextual"/>
        </w:rPr>
        <w:t>: a</w:t>
      </w:r>
      <w:r w:rsidR="00FD00EE">
        <w:rPr>
          <w:rFonts w:eastAsiaTheme="minorHAnsi"/>
          <w:kern w:val="2"/>
          <w:lang w:eastAsia="en-US"/>
          <w14:ligatures w14:val="standardContextual"/>
        </w:rPr>
        <w:t>s</w:t>
      </w:r>
      <w:r w:rsidRPr="00E80A61">
        <w:rPr>
          <w:rFonts w:eastAsiaTheme="minorHAnsi"/>
          <w:kern w:val="2"/>
          <w:lang w:eastAsia="en-US"/>
          <w14:ligatures w14:val="standardContextual"/>
        </w:rPr>
        <w:t xml:space="preserve"> nurturing protector </w:t>
      </w:r>
      <w:r w:rsidR="00FD00EE" w:rsidRPr="00E80A61">
        <w:rPr>
          <w:rFonts w:eastAsiaTheme="minorHAnsi"/>
          <w:kern w:val="2"/>
          <w:lang w:eastAsia="en-US"/>
          <w14:ligatures w14:val="standardContextual"/>
        </w:rPr>
        <w:t>analogous</w:t>
      </w:r>
      <w:r w:rsidRPr="00E80A61">
        <w:rPr>
          <w:rFonts w:eastAsiaTheme="minorHAnsi"/>
          <w:kern w:val="2"/>
          <w:lang w:eastAsia="en-US"/>
          <w14:ligatures w14:val="standardContextual"/>
        </w:rPr>
        <w:t xml:space="preserve"> to Renenutet and a punitive force capable of striking transgressors with blindness. This paper examines a sandstone statuette of Meretseger from the Brooklyn Museum to explore how her hybrid iconography functioned within the village’s </w:t>
      </w:r>
      <w:r w:rsidR="00896450">
        <w:rPr>
          <w:rFonts w:eastAsiaTheme="minorHAnsi"/>
          <w:kern w:val="2"/>
          <w:lang w:eastAsia="en-US"/>
          <w14:ligatures w14:val="standardContextual"/>
        </w:rPr>
        <w:t>religious life</w:t>
      </w:r>
      <w:r w:rsidRPr="00E80A61">
        <w:rPr>
          <w:rFonts w:eastAsiaTheme="minorHAnsi"/>
          <w:kern w:val="2"/>
          <w:lang w:eastAsia="en-US"/>
          <w14:ligatures w14:val="standardContextual"/>
        </w:rPr>
        <w:t xml:space="preserve">. By applying a </w:t>
      </w:r>
      <w:r w:rsidRPr="00CC5FDF">
        <w:rPr>
          <w:rFonts w:eastAsiaTheme="minorHAnsi"/>
          <w:kern w:val="2"/>
          <w:lang w:eastAsia="en-US"/>
          <w14:ligatures w14:val="standardContextual"/>
        </w:rPr>
        <w:t xml:space="preserve">structuralist </w:t>
      </w:r>
      <w:r w:rsidRPr="00E80A61">
        <w:rPr>
          <w:rFonts w:eastAsiaTheme="minorHAnsi"/>
          <w:kern w:val="2"/>
          <w:lang w:eastAsia="en-US"/>
          <w14:ligatures w14:val="standardContextual"/>
        </w:rPr>
        <w:t>analysis of her symbolic attributes</w:t>
      </w:r>
      <w:r w:rsidR="00FD00EE">
        <w:rPr>
          <w:rFonts w:eastAsiaTheme="minorHAnsi"/>
          <w:kern w:val="2"/>
          <w:lang w:eastAsia="en-US"/>
          <w14:ligatures w14:val="standardContextual"/>
        </w:rPr>
        <w:t xml:space="preserve"> </w:t>
      </w:r>
      <w:r w:rsidRPr="00E80A61">
        <w:rPr>
          <w:rFonts w:eastAsiaTheme="minorHAnsi"/>
          <w:kern w:val="2"/>
          <w:lang w:eastAsia="en-US"/>
          <w14:ligatures w14:val="standardContextual"/>
        </w:rPr>
        <w:t>alongsid</w:t>
      </w:r>
      <w:r w:rsidRPr="00CC5FDF">
        <w:rPr>
          <w:rFonts w:eastAsiaTheme="minorHAnsi"/>
          <w:kern w:val="2"/>
          <w:lang w:eastAsia="en-US"/>
          <w14:ligatures w14:val="standardContextual"/>
        </w:rPr>
        <w:t xml:space="preserve">e Foucauldian </w:t>
      </w:r>
      <w:r w:rsidRPr="00E80A61">
        <w:rPr>
          <w:rFonts w:eastAsiaTheme="minorHAnsi"/>
          <w:kern w:val="2"/>
          <w:lang w:eastAsia="en-US"/>
          <w14:ligatures w14:val="standardContextual"/>
        </w:rPr>
        <w:t>theories of power and "docile bodies," this study argues that the sculpture was not merely a passive object of devotion. Rather, it acted as a "machine" of social control, internali</w:t>
      </w:r>
      <w:r w:rsidR="00A50506">
        <w:rPr>
          <w:rFonts w:eastAsiaTheme="minorHAnsi"/>
          <w:kern w:val="2"/>
          <w:lang w:eastAsia="en-US"/>
          <w14:ligatures w14:val="standardContextual"/>
        </w:rPr>
        <w:t>s</w:t>
      </w:r>
      <w:r w:rsidRPr="00E80A61">
        <w:rPr>
          <w:rFonts w:eastAsiaTheme="minorHAnsi"/>
          <w:kern w:val="2"/>
          <w:lang w:eastAsia="en-US"/>
          <w14:ligatures w14:val="standardContextual"/>
        </w:rPr>
        <w:t>ing divine surveillance and enforcing the moral order of the royal tomb-builders.</w:t>
      </w:r>
      <w:r w:rsidR="005E7105">
        <w:rPr>
          <w:rFonts w:eastAsiaTheme="minorHAnsi"/>
          <w:kern w:val="2"/>
          <w:lang w:eastAsia="en-US"/>
          <w14:ligatures w14:val="standardContextual"/>
        </w:rPr>
        <w:t xml:space="preserve"> Further work will expand on these theories </w:t>
      </w:r>
      <w:r w:rsidR="006F765D">
        <w:rPr>
          <w:rFonts w:eastAsiaTheme="minorHAnsi"/>
          <w:kern w:val="2"/>
          <w:lang w:eastAsia="en-US"/>
          <w14:ligatures w14:val="standardContextual"/>
        </w:rPr>
        <w:t xml:space="preserve">and </w:t>
      </w:r>
      <w:r w:rsidR="00FA33D2">
        <w:rPr>
          <w:rFonts w:eastAsiaTheme="minorHAnsi"/>
          <w:kern w:val="2"/>
          <w:lang w:eastAsia="en-US"/>
          <w14:ligatures w14:val="standardContextual"/>
        </w:rPr>
        <w:t>further discuss the notion of agency and New Materialism</w:t>
      </w:r>
      <w:r w:rsidR="00396ABC">
        <w:rPr>
          <w:rFonts w:eastAsiaTheme="minorHAnsi"/>
          <w:kern w:val="2"/>
          <w:lang w:eastAsia="en-US"/>
          <w14:ligatures w14:val="standardContextual"/>
        </w:rPr>
        <w:t xml:space="preserve"> within the context of </w:t>
      </w:r>
      <w:r w:rsidR="00937177">
        <w:rPr>
          <w:rFonts w:eastAsiaTheme="minorHAnsi"/>
          <w:kern w:val="2"/>
          <w:lang w:eastAsia="en-US"/>
          <w14:ligatures w14:val="standardContextual"/>
        </w:rPr>
        <w:t xml:space="preserve">the village of </w:t>
      </w:r>
      <w:r w:rsidR="00396ABC">
        <w:rPr>
          <w:rFonts w:eastAsiaTheme="minorHAnsi"/>
          <w:kern w:val="2"/>
          <w:lang w:eastAsia="en-US"/>
          <w14:ligatures w14:val="standardContextual"/>
        </w:rPr>
        <w:t xml:space="preserve">Deir </w:t>
      </w:r>
      <w:proofErr w:type="spellStart"/>
      <w:r w:rsidR="00396ABC">
        <w:rPr>
          <w:rFonts w:eastAsiaTheme="minorHAnsi"/>
          <w:kern w:val="2"/>
          <w:lang w:eastAsia="en-US"/>
          <w14:ligatures w14:val="standardContextual"/>
        </w:rPr>
        <w:t>el</w:t>
      </w:r>
      <w:proofErr w:type="spellEnd"/>
      <w:r w:rsidR="00396ABC">
        <w:rPr>
          <w:rFonts w:eastAsiaTheme="minorHAnsi"/>
          <w:kern w:val="2"/>
          <w:lang w:eastAsia="en-US"/>
          <w14:ligatures w14:val="standardContextual"/>
        </w:rPr>
        <w:t>-Medina</w:t>
      </w:r>
      <w:r w:rsidR="00937177">
        <w:rPr>
          <w:rFonts w:eastAsiaTheme="minorHAnsi"/>
          <w:kern w:val="2"/>
          <w:lang w:eastAsia="en-US"/>
          <w14:ligatures w14:val="standardContextual"/>
        </w:rPr>
        <w:t xml:space="preserve">. </w:t>
      </w:r>
    </w:p>
    <w:p w14:paraId="0FF4BEE7" w14:textId="6BAB9A2F" w:rsidR="009F3629" w:rsidRDefault="005658AD" w:rsidP="004158E6">
      <w:pPr>
        <w:pStyle w:val="NormalWeb"/>
        <w:spacing w:line="480" w:lineRule="auto"/>
      </w:pPr>
      <w:r w:rsidRPr="005658AD">
        <w:t xml:space="preserve">Meretseger occupied a fundamental </w:t>
      </w:r>
      <w:r w:rsidR="006A4450" w:rsidRPr="005658AD">
        <w:t>position</w:t>
      </w:r>
      <w:r w:rsidRPr="005658AD">
        <w:t xml:space="preserve"> within the sacred landscape of the Theban Necropolis. Her identity was </w:t>
      </w:r>
      <w:r w:rsidR="006A4450" w:rsidRPr="005658AD">
        <w:t>inherently</w:t>
      </w:r>
      <w:r w:rsidRPr="005658AD">
        <w:t xml:space="preserve"> linked to the limestone topography of the region, specifically the natural</w:t>
      </w:r>
      <w:r w:rsidR="00D34EE1">
        <w:t xml:space="preserve"> peak</w:t>
      </w:r>
      <w:r w:rsidRPr="005658AD">
        <w:t xml:space="preserve"> of </w:t>
      </w:r>
      <w:proofErr w:type="spellStart"/>
      <w:r w:rsidRPr="006A4450">
        <w:t>el-Qurn</w:t>
      </w:r>
      <w:proofErr w:type="spellEnd"/>
      <w:r w:rsidRPr="006A4450">
        <w:t>.</w:t>
      </w:r>
      <w:r w:rsidRPr="005658AD">
        <w:t xml:space="preserve"> This mountain dominates the Valley of the Kings and was believed to </w:t>
      </w:r>
      <w:r w:rsidR="007050EB">
        <w:t xml:space="preserve">Meretseger’s </w:t>
      </w:r>
      <w:r w:rsidR="007050EB" w:rsidRPr="005658AD">
        <w:t>primary</w:t>
      </w:r>
      <w:r w:rsidRPr="005658AD">
        <w:t xml:space="preserve"> residence, earning her the </w:t>
      </w:r>
      <w:r w:rsidR="006A4450" w:rsidRPr="005658AD">
        <w:t>description</w:t>
      </w:r>
      <w:r w:rsidRPr="005658AD">
        <w:t xml:space="preserve"> ‘The Goddess of the Peak.’ </w:t>
      </w:r>
      <w:r w:rsidR="00D54988">
        <w:t xml:space="preserve"> She </w:t>
      </w:r>
      <w:r w:rsidR="00905292">
        <w:t>can be associated</w:t>
      </w:r>
      <w:r w:rsidR="00A92991">
        <w:t xml:space="preserve"> with the goddess </w:t>
      </w:r>
      <w:r w:rsidR="002B24AD" w:rsidRPr="002B24AD">
        <w:t>Renenutet</w:t>
      </w:r>
      <w:r w:rsidR="002B24AD">
        <w:t xml:space="preserve">, who </w:t>
      </w:r>
      <w:r w:rsidR="00F70E4B">
        <w:t xml:space="preserve">also maintains a cobra identity </w:t>
      </w:r>
      <w:r w:rsidR="00DC672E">
        <w:t xml:space="preserve">and is </w:t>
      </w:r>
      <w:r w:rsidR="00651CD0">
        <w:t>identified</w:t>
      </w:r>
      <w:r w:rsidR="00B16B1F">
        <w:t xml:space="preserve"> with</w:t>
      </w:r>
      <w:r w:rsidR="00DC672E">
        <w:t xml:space="preserve"> fertility and harvest</w:t>
      </w:r>
      <w:r w:rsidR="00052A2B">
        <w:t>.</w:t>
      </w:r>
      <w:r w:rsidR="00DC672E">
        <w:rPr>
          <w:rStyle w:val="FootnoteReference"/>
        </w:rPr>
        <w:footnoteReference w:id="1"/>
      </w:r>
      <w:r w:rsidR="00B16B1F">
        <w:t xml:space="preserve"> Unlike </w:t>
      </w:r>
      <w:r w:rsidR="00145F62">
        <w:t xml:space="preserve">Meretseger whose cobra </w:t>
      </w:r>
      <w:r w:rsidR="00566EC0">
        <w:t xml:space="preserve">self is </w:t>
      </w:r>
      <w:r w:rsidR="004F7F00">
        <w:t>recognised</w:t>
      </w:r>
      <w:r w:rsidR="00566EC0">
        <w:t xml:space="preserve"> with </w:t>
      </w:r>
      <w:r w:rsidR="004F7F00">
        <w:t>punishment and vengeance as well as protection of the tombs,</w:t>
      </w:r>
      <w:r w:rsidR="00EF6D2A">
        <w:t xml:space="preserve"> </w:t>
      </w:r>
      <w:r w:rsidR="00EF6D2A" w:rsidRPr="002B24AD">
        <w:t>Renenutet</w:t>
      </w:r>
      <w:r w:rsidR="00EF6D2A">
        <w:t xml:space="preserve"> is known as the ‘</w:t>
      </w:r>
      <w:r w:rsidR="00EF6D2A" w:rsidRPr="00EF6D2A">
        <w:t>snake who nourishes</w:t>
      </w:r>
      <w:r w:rsidR="00EF6D2A">
        <w:t>’</w:t>
      </w:r>
      <w:r w:rsidR="00B765D3">
        <w:t>.</w:t>
      </w:r>
      <w:r w:rsidR="00AD15FF">
        <w:rPr>
          <w:rStyle w:val="FootnoteReference"/>
        </w:rPr>
        <w:footnoteReference w:id="2"/>
      </w:r>
      <w:r w:rsidR="00E04992">
        <w:t xml:space="preserve"> </w:t>
      </w:r>
      <w:r w:rsidR="0029522D" w:rsidRPr="0029522D">
        <w:t xml:space="preserve">The opposing roles of Meretseger and Renenutet illustrate the ultimate duality of the Egyptian cobra </w:t>
      </w:r>
      <w:r w:rsidR="000F14DF">
        <w:t>who also represents</w:t>
      </w:r>
      <w:r w:rsidR="0029522D" w:rsidRPr="0029522D">
        <w:t xml:space="preserve"> the Solar Eye,</w:t>
      </w:r>
      <w:r w:rsidR="0029522D">
        <w:t xml:space="preserve"> </w:t>
      </w:r>
      <w:r w:rsidR="000F14DF">
        <w:t>and</w:t>
      </w:r>
      <w:r w:rsidR="0029522D">
        <w:t xml:space="preserve"> </w:t>
      </w:r>
      <w:r w:rsidR="005754C0">
        <w:t xml:space="preserve">functions </w:t>
      </w:r>
      <w:r w:rsidR="0029522D">
        <w:t>both as</w:t>
      </w:r>
      <w:r w:rsidR="00FB3C40">
        <w:t xml:space="preserve"> </w:t>
      </w:r>
      <w:r w:rsidR="0029522D" w:rsidRPr="0029522D">
        <w:t xml:space="preserve">a </w:t>
      </w:r>
      <w:r w:rsidR="0029522D" w:rsidRPr="00FB3C40">
        <w:t>punitive guardian of sacred silence</w:t>
      </w:r>
      <w:r w:rsidR="0029522D" w:rsidRPr="0029522D">
        <w:t xml:space="preserve"> </w:t>
      </w:r>
      <w:r w:rsidR="00FB3C40">
        <w:t xml:space="preserve">who strikes down </w:t>
      </w:r>
      <w:r w:rsidR="00FB3C40">
        <w:lastRenderedPageBreak/>
        <w:t>transgressors</w:t>
      </w:r>
      <w:r w:rsidR="005754C0">
        <w:t xml:space="preserve"> </w:t>
      </w:r>
      <w:r w:rsidR="0029522D" w:rsidRPr="0029522D">
        <w:t>in the necropolis and a</w:t>
      </w:r>
      <w:r w:rsidR="005754C0">
        <w:t xml:space="preserve">s </w:t>
      </w:r>
      <w:r w:rsidR="00E10405">
        <w:t>a nurturing presence who protects</w:t>
      </w:r>
      <w:r w:rsidR="0029522D" w:rsidRPr="0029522D">
        <w:t xml:space="preserve"> </w:t>
      </w:r>
      <w:r w:rsidR="00B62AA3">
        <w:t>food sources</w:t>
      </w:r>
      <w:r w:rsidR="00AC5285">
        <w:t xml:space="preserve">, thereby ensuring food </w:t>
      </w:r>
      <w:r w:rsidR="00B65BB2">
        <w:t xml:space="preserve">sources are </w:t>
      </w:r>
      <w:r w:rsidR="00963DD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7D7E69" wp14:editId="2ABB3318">
                <wp:simplePos x="0" y="0"/>
                <wp:positionH relativeFrom="column">
                  <wp:posOffset>-43815</wp:posOffset>
                </wp:positionH>
                <wp:positionV relativeFrom="paragraph">
                  <wp:posOffset>5586730</wp:posOffset>
                </wp:positionV>
                <wp:extent cx="2003425" cy="635"/>
                <wp:effectExtent l="0" t="0" r="0" b="0"/>
                <wp:wrapSquare wrapText="bothSides"/>
                <wp:docPr id="9998709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34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2D26782" w14:textId="2EDBBFDA" w:rsidR="00963DD3" w:rsidRPr="00731A68" w:rsidRDefault="00963DD3" w:rsidP="00963DD3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kern w:val="0"/>
                                <w14:ligatures w14:val="none"/>
                              </w:rPr>
                            </w:pPr>
                            <w:r w:rsidRPr="00526789">
                              <w:t>Statuette of the goddess Renenutet</w:t>
                            </w:r>
                            <w:r w:rsidR="00EC4758">
                              <w:t xml:space="preserve">  Egypt Museum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7D7E6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.45pt;margin-top:439.9pt;width:157.75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xrFQIAADgEAAAOAAAAZHJzL2Uyb0RvYy54bWysU8Fu2zAMvQ/YPwi6L07StRiMOEWWIsOA&#10;oC2QDj0rshQbkEWNUmJnXz9KtpOt22nYRaZF6lF872lx3zWGnRT6GmzBZ5MpZ8pKKGt7KPi3l82H&#10;T5z5IGwpDFhV8LPy/H75/t2idbmaQwWmVMgIxPq8dQWvQnB5lnlZqUb4CThlKakBGxHoFw9ZiaIl&#10;9MZk8+n0LmsBS4cglfe0+9An+TLha61keNLaq8BMweluIa2Y1n1cs+VC5AcUrqrlcA3xD7doRG2p&#10;6QXqQQTBjlj/AdXUEsGDDhMJTQZa11KlGWia2fTNNLtKOJVmIXK8u9Dk/x+sfDzt3DOy0H2GjgSM&#10;hLTO55424zydxiZ+6aaM8kTh+UKb6gKTtEk63Hyc33ImKXd3cxsxsutRhz58UdCwGBQcSZNElTht&#10;fehLx5LYyYOpy01tTPyJibVBdhKkX1vVQQ3gv1UZG2stxFM9YNzJrnPEKHT7bhhuD+WZZkbo7eCd&#10;3NTUaCt8eBZI+tOY5OnwRIs20BYchoizCvDH3/ZjPclCWc5a8lPB/fejQMWZ+WpJsGi+McAx2I+B&#10;PTZroBFn9FqcTCEdwGDGUCM0r2T1VexCKWEl9Sp4GMN16F1NT0Wq1SoVkcWcCFu7czJCj4S+dK8C&#10;3SBHIBUfYXSayN+o0tcmXdzqGIjiJFkktGdx4JnsmUQfnlL0/6//qer64Jc/AQAA//8DAFBLAwQU&#10;AAYACAAAACEArm5pOOEAAAAKAQAADwAAAGRycy9kb3ducmV2LnhtbEyPsU7DMBCGdyTewTokFtQ6&#10;0CokaZyqqmCApSJ0YXPja5wS25HttOHtOVhgvLtP/31/uZ5Mz87oQ+esgPt5Agxt41RnWwH79+dZ&#10;BixEaZXsnUUBXxhgXV1flbJQ7mLf8FzHllGIDYUUoGMcCs5Do9HIMHcDWrodnTcy0uhbrry8ULjp&#10;+UOSpNzIztIHLQfcamw+69EI2C0/dvpuPD69bpYL/7Ift+mprYW4vZk2K2ARp/gHw48+qUNFTgc3&#10;WhVYL2CW5kQKyB5zqkDAIslSYIffTQ68Kvn/CtU3AAAA//8DAFBLAQItABQABgAIAAAAIQC2gziS&#10;/gAAAOEBAAATAAAAAAAAAAAAAAAAAAAAAABbQ29udGVudF9UeXBlc10ueG1sUEsBAi0AFAAGAAgA&#10;AAAhADj9If/WAAAAlAEAAAsAAAAAAAAAAAAAAAAALwEAAF9yZWxzLy5yZWxzUEsBAi0AFAAGAAgA&#10;AAAhACFlPGsVAgAAOAQAAA4AAAAAAAAAAAAAAAAALgIAAGRycy9lMm9Eb2MueG1sUEsBAi0AFAAG&#10;AAgAAAAhAK5uaTjhAAAACgEAAA8AAAAAAAAAAAAAAAAAbwQAAGRycy9kb3ducmV2LnhtbFBLBQYA&#10;AAAABAAEAPMAAAB9BQAAAAA=&#10;" stroked="f">
                <v:textbox style="mso-fit-shape-to-text:t" inset="0,0,0,0">
                  <w:txbxContent>
                    <w:p w14:paraId="02D26782" w14:textId="2EDBBFDA" w:rsidR="00963DD3" w:rsidRPr="00731A68" w:rsidRDefault="00963DD3" w:rsidP="00963DD3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kern w:val="0"/>
                          <w14:ligatures w14:val="none"/>
                        </w:rPr>
                      </w:pPr>
                      <w:r w:rsidRPr="00526789">
                        <w:t>Statuette of the goddess Renenutet</w:t>
                      </w:r>
                      <w:r w:rsidR="00EC4758">
                        <w:t xml:space="preserve">  Egypt Museum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3DD3">
        <w:rPr>
          <w:noProof/>
        </w:rPr>
        <w:drawing>
          <wp:anchor distT="0" distB="0" distL="114300" distR="114300" simplePos="0" relativeHeight="251666432" behindDoc="0" locked="0" layoutInCell="1" allowOverlap="1" wp14:anchorId="34D0523F" wp14:editId="2119E874">
            <wp:simplePos x="0" y="0"/>
            <wp:positionH relativeFrom="column">
              <wp:posOffset>-43962</wp:posOffset>
            </wp:positionH>
            <wp:positionV relativeFrom="paragraph">
              <wp:posOffset>2523393</wp:posOffset>
            </wp:positionV>
            <wp:extent cx="2004054" cy="3006969"/>
            <wp:effectExtent l="0" t="0" r="0" b="3175"/>
            <wp:wrapSquare wrapText="bothSides"/>
            <wp:docPr id="687272644" name="Picture 2" descr="Statuette of the goddess Renenut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uette of the goddess Renenute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54" cy="300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5BB2">
        <w:t>maintained</w:t>
      </w:r>
      <w:r w:rsidR="00B62AA3">
        <w:t>.</w:t>
      </w:r>
      <w:r w:rsidR="00B65BB2">
        <w:rPr>
          <w:rStyle w:val="FootnoteReference"/>
        </w:rPr>
        <w:footnoteReference w:id="3"/>
      </w:r>
    </w:p>
    <w:p w14:paraId="7D7686F6" w14:textId="6FF454C9" w:rsidR="002045F9" w:rsidRDefault="00B62AA3" w:rsidP="00C60E0B">
      <w:pPr>
        <w:pStyle w:val="NormalWeb"/>
        <w:spacing w:line="480" w:lineRule="auto"/>
      </w:pPr>
      <w:r>
        <w:t xml:space="preserve"> </w:t>
      </w:r>
      <w:r w:rsidR="00262E2A">
        <w:t>Meretseger’s</w:t>
      </w:r>
      <w:r w:rsidR="00EB0741">
        <w:t xml:space="preserve"> </w:t>
      </w:r>
      <w:r w:rsidR="005658AD" w:rsidRPr="005658AD">
        <w:t xml:space="preserve"> presence extended across the funerary landscape to include the Valley of the Queens, where she was thought to inhabit the subterranean caves, effectively positioning her as a </w:t>
      </w:r>
      <w:r w:rsidR="00E658FB">
        <w:t>primary pr</w:t>
      </w:r>
      <w:r w:rsidR="00004DCC">
        <w:t>ot</w:t>
      </w:r>
      <w:r w:rsidR="00E658FB">
        <w:t>ector</w:t>
      </w:r>
      <w:r w:rsidR="005658AD" w:rsidRPr="005658AD">
        <w:t xml:space="preserve"> of the royal dead</w:t>
      </w:r>
      <w:r w:rsidR="00F36A61">
        <w:t xml:space="preserve"> </w:t>
      </w:r>
      <w:r w:rsidR="00485E9A">
        <w:rPr>
          <w:rStyle w:val="FootnoteReference"/>
        </w:rPr>
        <w:footnoteReference w:id="4"/>
      </w:r>
      <w:r w:rsidR="00342631">
        <w:rPr>
          <w:rStyle w:val="FootnoteReference"/>
        </w:rPr>
        <w:footnoteReference w:id="5"/>
      </w:r>
      <w:r w:rsidR="00E95CC7">
        <w:t xml:space="preserve"> </w:t>
      </w:r>
      <w:r w:rsidR="00C166BC">
        <w:t xml:space="preserve"> </w:t>
      </w:r>
      <w:r w:rsidR="00EB0741">
        <w:t>and</w:t>
      </w:r>
      <w:r w:rsidR="00E66DD1">
        <w:t xml:space="preserve"> </w:t>
      </w:r>
      <w:r w:rsidR="00EB0741">
        <w:t>a</w:t>
      </w:r>
      <w:r w:rsidR="00EC0107">
        <w:t xml:space="preserve">long </w:t>
      </w:r>
      <w:r w:rsidR="00D84002">
        <w:t>with Hathor</w:t>
      </w:r>
      <w:r w:rsidR="00806706">
        <w:t xml:space="preserve"> and Amenophis I, she </w:t>
      </w:r>
      <w:r w:rsidR="006B7DF2">
        <w:t>served as a central figure for votive rituals</w:t>
      </w:r>
      <w:r w:rsidR="00774C79">
        <w:t xml:space="preserve"> of the craftsmen</w:t>
      </w:r>
      <w:r w:rsidR="00E67D2D">
        <w:t xml:space="preserve"> </w:t>
      </w:r>
      <w:r w:rsidR="00774C79">
        <w:t>building the royal tombs</w:t>
      </w:r>
      <w:r w:rsidR="00E67D2D">
        <w:t>;</w:t>
      </w:r>
      <w:r w:rsidR="00060DF7">
        <w:t xml:space="preserve"> some of which</w:t>
      </w:r>
      <w:r w:rsidR="002A52C0">
        <w:t xml:space="preserve"> also adopted the </w:t>
      </w:r>
      <w:r w:rsidR="00E45156">
        <w:t xml:space="preserve">responsibilities </w:t>
      </w:r>
      <w:r w:rsidR="006A2D65">
        <w:t>of priests</w:t>
      </w:r>
      <w:r w:rsidR="00E160AB">
        <w:t>.</w:t>
      </w:r>
      <w:r w:rsidR="00E160AB">
        <w:rPr>
          <w:rStyle w:val="FootnoteReference"/>
        </w:rPr>
        <w:footnoteReference w:id="6"/>
      </w:r>
      <w:r w:rsidR="00E160AB">
        <w:t xml:space="preserve"> </w:t>
      </w:r>
      <w:r w:rsidR="00EC0107">
        <w:t xml:space="preserve"> </w:t>
      </w:r>
      <w:r w:rsidR="00C166BC" w:rsidRPr="00CB2A96">
        <w:t> </w:t>
      </w:r>
      <w:r w:rsidR="007B3E6B">
        <w:t>Meretseger was</w:t>
      </w:r>
      <w:r w:rsidR="00FB7E81">
        <w:t xml:space="preserve"> both protector and punisher, particularly </w:t>
      </w:r>
      <w:r w:rsidR="00402E8A">
        <w:t>associated with sins against the tombs of the kings.</w:t>
      </w:r>
      <w:r w:rsidR="00944D41">
        <w:t xml:space="preserve"> </w:t>
      </w:r>
      <w:r w:rsidR="006A2D65">
        <w:t xml:space="preserve"> </w:t>
      </w:r>
      <w:r w:rsidR="008A4D32">
        <w:t xml:space="preserve">Unusually, she is </w:t>
      </w:r>
      <w:r w:rsidR="009F3629">
        <w:t>also associated</w:t>
      </w:r>
      <w:r w:rsidR="008A4D32">
        <w:t xml:space="preserve"> </w:t>
      </w:r>
      <w:r w:rsidR="008725F6">
        <w:t>with confessional</w:t>
      </w:r>
      <w:r w:rsidR="00FE1F4C">
        <w:t xml:space="preserve"> rituals</w:t>
      </w:r>
      <w:r w:rsidR="008A4D32">
        <w:t xml:space="preserve"> </w:t>
      </w:r>
      <w:r w:rsidR="00AA4165">
        <w:t xml:space="preserve">and </w:t>
      </w:r>
      <w:r w:rsidR="001969E5">
        <w:t>forgiveness of sins</w:t>
      </w:r>
      <w:r w:rsidR="008A4D32">
        <w:t xml:space="preserve">, </w:t>
      </w:r>
      <w:r w:rsidR="00944D41">
        <w:t>as attested</w:t>
      </w:r>
      <w:r w:rsidR="003929B9">
        <w:t xml:space="preserve"> by the stela</w:t>
      </w:r>
      <w:r w:rsidR="00723399">
        <w:t xml:space="preserve"> of Nefer-</w:t>
      </w:r>
      <w:proofErr w:type="spellStart"/>
      <w:r w:rsidR="00723399">
        <w:t>abu</w:t>
      </w:r>
      <w:proofErr w:type="spellEnd"/>
      <w:r w:rsidR="00FE1F4C">
        <w:t xml:space="preserve">. </w:t>
      </w:r>
      <w:r w:rsidR="00723399">
        <w:t>where</w:t>
      </w:r>
      <w:r w:rsidR="00774BF5">
        <w:t xml:space="preserve"> he is struck blind for his </w:t>
      </w:r>
      <w:r w:rsidR="00774BF5">
        <w:lastRenderedPageBreak/>
        <w:t>transgression but has his sight restored</w:t>
      </w:r>
      <w:r w:rsidR="00DB4A1A">
        <w:t xml:space="preserve"> when he repents</w:t>
      </w:r>
      <w:r w:rsidR="002476D7">
        <w:t>.</w:t>
      </w:r>
      <w:r w:rsidR="00C60E0B">
        <w:t xml:space="preserve"> </w:t>
      </w:r>
      <w:r w:rsidR="00AB40D7">
        <w:rPr>
          <w:rStyle w:val="FootnoteReference"/>
        </w:rPr>
        <w:footnoteReference w:id="7"/>
      </w:r>
      <w:r w:rsidR="00406F45">
        <w:t xml:space="preserve"> </w:t>
      </w:r>
      <w:r w:rsidR="00527F1C">
        <w:t xml:space="preserve"> </w:t>
      </w:r>
      <w:r w:rsidR="002045F9">
        <w:rPr>
          <w:noProof/>
          <w14:ligatures w14:val="standardContextual"/>
        </w:rPr>
        <w:drawing>
          <wp:inline distT="0" distB="0" distL="0" distR="0" wp14:anchorId="49AF2840" wp14:editId="687A14E0">
            <wp:extent cx="5731510" cy="2461260"/>
            <wp:effectExtent l="0" t="0" r="2540" b="0"/>
            <wp:docPr id="6776135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613512" name="Picture 67761351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A6F04" w14:textId="342DA2A4" w:rsidR="00B22803" w:rsidRDefault="002045F9" w:rsidP="002045F9">
      <w:pPr>
        <w:pStyle w:val="Caption"/>
      </w:pPr>
      <w:r>
        <w:t>S</w:t>
      </w:r>
      <w:r w:rsidRPr="007B6F53">
        <w:t>tela of Nefer-</w:t>
      </w:r>
      <w:proofErr w:type="spellStart"/>
      <w:proofErr w:type="gramStart"/>
      <w:r w:rsidRPr="007B6F53">
        <w:t>abu</w:t>
      </w:r>
      <w:proofErr w:type="spellEnd"/>
      <w:r w:rsidRPr="007B6F53">
        <w:t xml:space="preserve">  </w:t>
      </w:r>
      <w:r w:rsidR="00FF3B2D">
        <w:t>with</w:t>
      </w:r>
      <w:proofErr w:type="gramEnd"/>
      <w:r w:rsidR="00FF3B2D">
        <w:t xml:space="preserve"> Meretseger on the </w:t>
      </w:r>
      <w:proofErr w:type="gramStart"/>
      <w:r w:rsidR="00FF3B2D">
        <w:t>right hand</w:t>
      </w:r>
      <w:proofErr w:type="gramEnd"/>
      <w:r w:rsidR="00FF3B2D">
        <w:t xml:space="preserve"> side.  </w:t>
      </w:r>
      <w:r w:rsidRPr="007B6F53">
        <w:t xml:space="preserve"> </w:t>
      </w:r>
      <w:proofErr w:type="spellStart"/>
      <w:r w:rsidRPr="007B6F53">
        <w:t>museo</w:t>
      </w:r>
      <w:proofErr w:type="spellEnd"/>
      <w:r w:rsidRPr="007B6F53">
        <w:t xml:space="preserve"> </w:t>
      </w:r>
      <w:r w:rsidR="00FF3B2D">
        <w:t xml:space="preserve">Egizio </w:t>
      </w:r>
    </w:p>
    <w:p w14:paraId="1A644DD2" w14:textId="7862037A" w:rsidR="00F90F3B" w:rsidRDefault="00C166BC" w:rsidP="004158E6">
      <w:pPr>
        <w:pStyle w:val="NormalWeb"/>
        <w:spacing w:line="480" w:lineRule="auto"/>
      </w:pPr>
      <w:r>
        <w:t xml:space="preserve">Meretseger is </w:t>
      </w:r>
      <w:r w:rsidR="00DA3F1F">
        <w:t>usually represented as</w:t>
      </w:r>
      <w:r>
        <w:t xml:space="preserve"> a cobra with a woman’s head, but she is also seen as a woman with a cobra’s head and very occasionally as a scorpion with a female head.</w:t>
      </w:r>
      <w:r>
        <w:rPr>
          <w:rStyle w:val="FootnoteReference"/>
        </w:rPr>
        <w:footnoteReference w:id="8"/>
      </w:r>
      <w:r>
        <w:t xml:space="preserve">  </w:t>
      </w:r>
      <w:r w:rsidR="006A2D65">
        <w:t>Ultimately, the cult of Meretseger</w:t>
      </w:r>
      <w:r w:rsidR="00865672">
        <w:t xml:space="preserve"> was lost when the v</w:t>
      </w:r>
      <w:r w:rsidR="006D20F8">
        <w:t xml:space="preserve">illage of Deir </w:t>
      </w:r>
      <w:proofErr w:type="spellStart"/>
      <w:r w:rsidR="006D20F8">
        <w:t>el</w:t>
      </w:r>
      <w:proofErr w:type="spellEnd"/>
      <w:r w:rsidR="006D20F8">
        <w:t xml:space="preserve">-Medina was abandoned in </w:t>
      </w:r>
      <w:r w:rsidR="00A8414A">
        <w:t xml:space="preserve">the later stages of the </w:t>
      </w:r>
      <w:r w:rsidR="00181FF8">
        <w:t>20</w:t>
      </w:r>
      <w:r w:rsidR="00181FF8" w:rsidRPr="00181FF8">
        <w:rPr>
          <w:vertAlign w:val="superscript"/>
        </w:rPr>
        <w:t>th</w:t>
      </w:r>
      <w:r w:rsidR="00181FF8">
        <w:t xml:space="preserve"> Dynasty at the end of the New Kingdom</w:t>
      </w:r>
      <w:r w:rsidR="001902DF">
        <w:t>.</w:t>
      </w:r>
      <w:r w:rsidR="00181FF8">
        <w:rPr>
          <w:rStyle w:val="FootnoteReference"/>
        </w:rPr>
        <w:footnoteReference w:id="9"/>
      </w:r>
      <w:r w:rsidR="00A05071">
        <w:t xml:space="preserve"> </w:t>
      </w:r>
    </w:p>
    <w:p w14:paraId="4E10FB81" w14:textId="6A5517C2" w:rsidR="00166273" w:rsidRDefault="00166273" w:rsidP="004158E6">
      <w:pPr>
        <w:pStyle w:val="NormalWeb"/>
        <w:spacing w:line="480" w:lineRule="auto"/>
      </w:pPr>
      <w:r>
        <w:t>The dual nature</w:t>
      </w:r>
      <w:r w:rsidR="00E8382F">
        <w:t xml:space="preserve"> ascribed to Meretseger</w:t>
      </w:r>
      <w:r w:rsidR="00A30FD9">
        <w:t xml:space="preserve"> </w:t>
      </w:r>
      <w:r w:rsidR="00B14E65">
        <w:t xml:space="preserve">facilitates </w:t>
      </w:r>
      <w:r w:rsidR="004343BD">
        <w:t>the interrogation of th</w:t>
      </w:r>
      <w:r w:rsidR="001B2F04">
        <w:t>is</w:t>
      </w:r>
      <w:r w:rsidR="004343BD">
        <w:t xml:space="preserve"> statue</w:t>
      </w:r>
      <w:r w:rsidR="005E49FD">
        <w:t xml:space="preserve"> </w:t>
      </w:r>
      <w:r w:rsidR="00EB5306">
        <w:t>using both structural and post structural lens</w:t>
      </w:r>
      <w:r w:rsidR="003D7023">
        <w:t xml:space="preserve"> and it is to this that this paper will now turn. </w:t>
      </w:r>
      <w:r w:rsidR="00684682">
        <w:t xml:space="preserve"> </w:t>
      </w:r>
    </w:p>
    <w:p w14:paraId="6487F1CA" w14:textId="5AF34314" w:rsidR="00F606D9" w:rsidRDefault="00960DCE" w:rsidP="005B342D">
      <w:pPr>
        <w:pStyle w:val="NormalWeb"/>
        <w:spacing w:line="480" w:lineRule="auto"/>
        <w:rPr>
          <w:noProof/>
        </w:rPr>
      </w:pPr>
      <w:r w:rsidRPr="00960DCE">
        <w:t>Structuralism</w:t>
      </w:r>
      <w:r>
        <w:t xml:space="preserve">, </w:t>
      </w:r>
      <w:r w:rsidR="001708CE">
        <w:rPr>
          <w:rStyle w:val="FootnoteReference"/>
        </w:rPr>
        <w:footnoteReference w:id="10"/>
      </w:r>
      <w:r w:rsidR="00BF6826">
        <w:t xml:space="preserve"> </w:t>
      </w:r>
      <w:r w:rsidR="00690576">
        <w:t xml:space="preserve"> </w:t>
      </w:r>
      <w:r w:rsidR="00B52898">
        <w:rPr>
          <w:rStyle w:val="FootnoteReference"/>
        </w:rPr>
        <w:footnoteReference w:id="11"/>
      </w:r>
      <w:r w:rsidR="00B52898">
        <w:t xml:space="preserve"> posits that </w:t>
      </w:r>
      <w:r w:rsidR="00350C0C">
        <w:t>meaning is not inherent but is produced through a stable system</w:t>
      </w:r>
      <w:r w:rsidR="00125CDD">
        <w:t xml:space="preserve"> which is formed </w:t>
      </w:r>
      <w:r w:rsidR="00B71765">
        <w:t xml:space="preserve">through </w:t>
      </w:r>
      <w:r w:rsidR="00444745">
        <w:t>a seque</w:t>
      </w:r>
      <w:r w:rsidR="000E4435">
        <w:t xml:space="preserve">nce of steps, which in the case of Meretseger are as follows: </w:t>
      </w:r>
      <w:r w:rsidR="00B71765">
        <w:t>‘</w:t>
      </w:r>
      <w:r w:rsidR="00125CDD">
        <w:t>the source of emission</w:t>
      </w:r>
      <w:r w:rsidR="0049051C">
        <w:t xml:space="preserve"> [the scul</w:t>
      </w:r>
      <w:r w:rsidR="00FC5311">
        <w:t>ptor]</w:t>
      </w:r>
      <w:r w:rsidR="00125CDD">
        <w:t>, a channel of transmission</w:t>
      </w:r>
      <w:r w:rsidR="00FC5311">
        <w:t xml:space="preserve"> [the sculpture itself</w:t>
      </w:r>
      <w:r w:rsidR="000D3C4E">
        <w:t xml:space="preserve">, </w:t>
      </w:r>
      <w:r w:rsidR="000D3C4E">
        <w:lastRenderedPageBreak/>
        <w:t>performance of ritual</w:t>
      </w:r>
      <w:r w:rsidR="00FC5311">
        <w:t xml:space="preserve">] </w:t>
      </w:r>
      <w:r w:rsidR="00125CDD">
        <w:t xml:space="preserve"> </w:t>
      </w:r>
      <w:r w:rsidR="00EE482C">
        <w:t>and a point of reception’</w:t>
      </w:r>
      <w:r w:rsidR="00FC5311">
        <w:t xml:space="preserve"> [the</w:t>
      </w:r>
      <w:r w:rsidR="000D3C4E">
        <w:t xml:space="preserve"> villagers of Deir </w:t>
      </w:r>
      <w:proofErr w:type="spellStart"/>
      <w:r w:rsidR="000D3C4E">
        <w:t>el</w:t>
      </w:r>
      <w:proofErr w:type="spellEnd"/>
      <w:r w:rsidR="000D3C4E">
        <w:t>-Medina</w:t>
      </w:r>
      <w:r w:rsidR="00DE55CC">
        <w:t>]</w:t>
      </w:r>
      <w:r w:rsidR="00EA7103">
        <w:t>.</w:t>
      </w:r>
      <w:r w:rsidR="00EE482C">
        <w:rPr>
          <w:rStyle w:val="FootnoteReference"/>
        </w:rPr>
        <w:footnoteReference w:id="12"/>
      </w:r>
      <w:r w:rsidR="0035173A">
        <w:t xml:space="preserve"> </w:t>
      </w:r>
      <w:r w:rsidR="00B71765">
        <w:t xml:space="preserve">    Barthes argues that the manner of emission and reception are rooted in anthropological study but that the message (including the method of transmission) is a self-contained system made up of the relationship of its component parts</w:t>
      </w:r>
      <w:r w:rsidR="003F191E">
        <w:t xml:space="preserve"> which includes </w:t>
      </w:r>
      <w:r w:rsidR="003F38A8">
        <w:t xml:space="preserve">signifiers what these signify. Thus, </w:t>
      </w:r>
      <w:r w:rsidR="008B6037">
        <w:t>meaning is contingent the rules governing the system</w:t>
      </w:r>
      <w:r w:rsidR="006A6371">
        <w:t xml:space="preserve">. </w:t>
      </w:r>
      <w:r w:rsidR="00EE16B8">
        <w:t>O</w:t>
      </w:r>
      <w:r w:rsidR="00EB7011">
        <w:t>ne</w:t>
      </w:r>
      <w:r w:rsidR="00B71765" w:rsidRPr="00F61D84">
        <w:t xml:space="preserve"> must </w:t>
      </w:r>
      <w:r w:rsidR="00EE16B8">
        <w:t xml:space="preserve">therefore </w:t>
      </w:r>
      <w:r w:rsidR="002A028B">
        <w:t>approach our understanding</w:t>
      </w:r>
      <w:r w:rsidR="00B71765" w:rsidRPr="00F61D84">
        <w:t xml:space="preserve"> through the lens of </w:t>
      </w:r>
      <w:r w:rsidR="006A6371">
        <w:t xml:space="preserve">the </w:t>
      </w:r>
      <w:r w:rsidR="00B71765" w:rsidRPr="00F61D84">
        <w:t xml:space="preserve">ancient Egyptian </w:t>
      </w:r>
      <w:r w:rsidR="004D28D2">
        <w:t>religious and cult system</w:t>
      </w:r>
      <w:r w:rsidR="00B71765" w:rsidRPr="00F61D84">
        <w:t xml:space="preserve"> rather than</w:t>
      </w:r>
      <w:r w:rsidR="004D28D2">
        <w:t xml:space="preserve"> employing </w:t>
      </w:r>
      <w:r w:rsidR="00B71765" w:rsidRPr="00F61D84">
        <w:t>modern aesthetic standards.</w:t>
      </w:r>
      <w:r w:rsidR="00B71765">
        <w:t xml:space="preserve"> </w:t>
      </w:r>
      <w:r w:rsidR="00032D86">
        <w:t xml:space="preserve">Whilst Barthes </w:t>
      </w:r>
      <w:r w:rsidR="003F2543">
        <w:t>situates Meretseger</w:t>
      </w:r>
      <w:r w:rsidR="004F0015">
        <w:t xml:space="preserve"> </w:t>
      </w:r>
      <w:r w:rsidR="00BC7462">
        <w:t xml:space="preserve">within a system of signs and signifiers, for Foucault, she </w:t>
      </w:r>
      <w:r w:rsidR="00B557A8">
        <w:t>is an</w:t>
      </w:r>
      <w:r w:rsidR="006D145F">
        <w:t xml:space="preserve"> element in the </w:t>
      </w:r>
      <w:r w:rsidR="00A87910">
        <w:t xml:space="preserve">‘machine’ </w:t>
      </w:r>
      <w:r w:rsidR="00C45D28">
        <w:t xml:space="preserve">that </w:t>
      </w:r>
      <w:r w:rsidR="00263C39">
        <w:t xml:space="preserve">exists to uphold </w:t>
      </w:r>
      <w:r w:rsidR="00CD1278">
        <w:t xml:space="preserve">the </w:t>
      </w:r>
      <w:r w:rsidR="00CD2040">
        <w:t xml:space="preserve">discursive </w:t>
      </w:r>
      <w:r w:rsidR="00263C39">
        <w:t xml:space="preserve">systems of power and control through her messaging </w:t>
      </w:r>
      <w:r w:rsidR="00CD2040">
        <w:t>as</w:t>
      </w:r>
      <w:r w:rsidR="00263C39">
        <w:t xml:space="preserve"> both </w:t>
      </w:r>
      <w:r w:rsidR="004E6079">
        <w:t>punisher and protector.</w:t>
      </w:r>
    </w:p>
    <w:p w14:paraId="1112776E" w14:textId="4243B252" w:rsidR="00157899" w:rsidRDefault="003456E7" w:rsidP="005B342D">
      <w:pPr>
        <w:pStyle w:val="NormalWeb"/>
        <w:spacing w:line="480" w:lineRule="auto"/>
      </w:pPr>
      <w:r w:rsidRPr="008A4A49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9BBCFA7" wp14:editId="428E6A37">
            <wp:simplePos x="0" y="0"/>
            <wp:positionH relativeFrom="column">
              <wp:posOffset>0</wp:posOffset>
            </wp:positionH>
            <wp:positionV relativeFrom="paragraph">
              <wp:posOffset>-3712</wp:posOffset>
            </wp:positionV>
            <wp:extent cx="2294793" cy="3008557"/>
            <wp:effectExtent l="0" t="0" r="0" b="1905"/>
            <wp:wrapSquare wrapText="bothSides"/>
            <wp:docPr id="121610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43448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793" cy="3008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166BC">
        <w:t>Th</w:t>
      </w:r>
      <w:r w:rsidR="00C45D28">
        <w:t>e</w:t>
      </w:r>
      <w:r w:rsidR="00C166BC">
        <w:t xml:space="preserve"> statue</w:t>
      </w:r>
      <w:r w:rsidR="00AC0330">
        <w:t>tte</w:t>
      </w:r>
      <w:r w:rsidR="00C166BC">
        <w:t xml:space="preserve"> of Meretseger </w:t>
      </w:r>
      <w:r w:rsidR="004357BA">
        <w:t xml:space="preserve">is made of </w:t>
      </w:r>
      <w:r w:rsidR="00BF344B">
        <w:t xml:space="preserve">yellow </w:t>
      </w:r>
      <w:r w:rsidR="00E13AA4">
        <w:t>sandstone, is</w:t>
      </w:r>
      <w:r w:rsidR="004357BA">
        <w:t xml:space="preserve"> </w:t>
      </w:r>
      <w:r w:rsidR="00590464">
        <w:t>approximately 35</w:t>
      </w:r>
      <w:r w:rsidR="00BC4B1A">
        <w:t xml:space="preserve">cms high by </w:t>
      </w:r>
      <w:r w:rsidR="008E2A33">
        <w:t xml:space="preserve">12cm deep and </w:t>
      </w:r>
      <w:r w:rsidR="00957F55">
        <w:t xml:space="preserve">22 </w:t>
      </w:r>
      <w:proofErr w:type="spellStart"/>
      <w:r w:rsidR="00957F55">
        <w:t>cms</w:t>
      </w:r>
      <w:proofErr w:type="spellEnd"/>
      <w:r w:rsidR="00957F55">
        <w:t xml:space="preserve"> long</w:t>
      </w:r>
      <w:r w:rsidR="002F3668">
        <w:t xml:space="preserve"> and i</w:t>
      </w:r>
      <w:r w:rsidR="00C83C59">
        <w:t xml:space="preserve">t is thought that she </w:t>
      </w:r>
      <w:r w:rsidR="00054ED8">
        <w:t>dates from between 1479 and 1400 B.C.E</w:t>
      </w:r>
      <w:r w:rsidR="00673620">
        <w:t xml:space="preserve">. </w:t>
      </w:r>
      <w:r w:rsidR="005B342D">
        <w:t>She is set on a rectangular plinth</w:t>
      </w:r>
      <w:r w:rsidR="009767F1">
        <w:t xml:space="preserve"> and seen from the side one can see her cobra body as two loops</w:t>
      </w:r>
      <w:r w:rsidR="00B92315">
        <w:t>,</w:t>
      </w:r>
      <w:r w:rsidR="0081053F">
        <w:t xml:space="preserve"> </w:t>
      </w:r>
      <w:r w:rsidR="00B92315">
        <w:t>enabling</w:t>
      </w:r>
      <w:r w:rsidR="0081053F">
        <w:t xml:space="preserve"> </w:t>
      </w:r>
      <w:r w:rsidR="00B92315">
        <w:t xml:space="preserve">a deep sense of </w:t>
      </w:r>
      <w:r w:rsidR="0081053F">
        <w:t xml:space="preserve">movement. </w:t>
      </w:r>
      <w:r w:rsidR="00443EA1">
        <w:t xml:space="preserve"> She is represented wearing </w:t>
      </w:r>
      <w:r w:rsidR="00506735">
        <w:t>a tripartite</w:t>
      </w:r>
      <w:r w:rsidR="000D49B4">
        <w:t xml:space="preserve"> wig </w:t>
      </w:r>
      <w:r w:rsidR="006609EB">
        <w:t xml:space="preserve">and a </w:t>
      </w:r>
      <w:r w:rsidR="006773F9">
        <w:t xml:space="preserve">crown </w:t>
      </w:r>
      <w:r w:rsidR="004D5551">
        <w:t>which encompasses</w:t>
      </w:r>
      <w:r w:rsidR="006609EB">
        <w:t xml:space="preserve"> a solar disk.</w:t>
      </w:r>
      <w:r w:rsidR="00E95654">
        <w:t xml:space="preserve"> </w:t>
      </w:r>
      <w:r w:rsidR="006609EB">
        <w:t xml:space="preserve">  </w:t>
      </w:r>
      <w:r w:rsidR="007912CB">
        <w:t>There are remnants of red paint on the front of the statue.</w:t>
      </w:r>
      <w:r w:rsidR="00516A91">
        <w:t xml:space="preserve"> </w:t>
      </w:r>
      <w:r w:rsidR="00CD7976">
        <w:t xml:space="preserve">This is not a smooth </w:t>
      </w:r>
      <w:r w:rsidR="00961FB9">
        <w:t>sculpture,</w:t>
      </w:r>
      <w:r w:rsidR="00CD7976">
        <w:t xml:space="preserve"> and the sandstone can be seen to be pitted in </w:t>
      </w:r>
      <w:r w:rsidR="00B557A8">
        <w:t>places,</w:t>
      </w:r>
      <w:r w:rsidR="003A52A6">
        <w:t xml:space="preserve"> an indicator of </w:t>
      </w:r>
      <w:r w:rsidR="00DC370D">
        <w:t xml:space="preserve">engagement with the statue, possibly </w:t>
      </w:r>
      <w:r w:rsidR="004D5551">
        <w:t>because of</w:t>
      </w:r>
      <w:r w:rsidR="00866B9E">
        <w:t xml:space="preserve"> ritual</w:t>
      </w:r>
      <w:r w:rsidR="00DC370D">
        <w:t xml:space="preserve"> handling</w:t>
      </w:r>
      <w:r w:rsidR="00866B9E">
        <w:t>.</w:t>
      </w:r>
      <w:r w:rsidR="00CD7976">
        <w:t xml:space="preserve"> </w:t>
      </w:r>
      <w:r w:rsidR="00046D80">
        <w:t xml:space="preserve"> The area behind her crown and above the coils</w:t>
      </w:r>
      <w:r w:rsidR="005D1281">
        <w:t xml:space="preserve"> are left uncarved</w:t>
      </w:r>
      <w:r w:rsidR="003237B3">
        <w:t xml:space="preserve">, </w:t>
      </w:r>
      <w:r w:rsidR="00650F9C">
        <w:t xml:space="preserve">resulting in a </w:t>
      </w:r>
      <w:r w:rsidR="00851D25">
        <w:t xml:space="preserve">form which is planar and </w:t>
      </w:r>
      <w:r w:rsidR="00F43F7D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5E8CFAC5" wp14:editId="02D685C9">
            <wp:simplePos x="0" y="0"/>
            <wp:positionH relativeFrom="column">
              <wp:posOffset>635</wp:posOffset>
            </wp:positionH>
            <wp:positionV relativeFrom="paragraph">
              <wp:posOffset>421103</wp:posOffset>
            </wp:positionV>
            <wp:extent cx="3322320" cy="2725420"/>
            <wp:effectExtent l="0" t="0" r="0" b="0"/>
            <wp:wrapSquare wrapText="bothSides"/>
            <wp:docPr id="21452702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1D25">
        <w:t xml:space="preserve">lacking in </w:t>
      </w:r>
      <w:r w:rsidR="00D11DFF">
        <w:t>three-dimensional</w:t>
      </w:r>
      <w:r w:rsidR="00851D25">
        <w:t xml:space="preserve"> depth</w:t>
      </w:r>
      <w:r w:rsidR="00DB5B8C">
        <w:t xml:space="preserve"> unlike </w:t>
      </w:r>
      <w:r w:rsidR="00F43F7D">
        <w:t xml:space="preserve">other </w:t>
      </w:r>
      <w:r w:rsidR="00DB5B8C">
        <w:t>sculpture</w:t>
      </w:r>
      <w:r w:rsidR="00F43F7D">
        <w:t>s</w:t>
      </w:r>
      <w:r w:rsidR="00DB5B8C">
        <w:t xml:space="preserve"> of </w:t>
      </w:r>
      <w:r w:rsidR="00544C40">
        <w:t>Meretseger</w:t>
      </w:r>
      <w:r w:rsidR="00B64F61">
        <w:rPr>
          <w:rStyle w:val="FootnoteReference"/>
        </w:rPr>
        <w:footnoteReference w:id="13"/>
      </w:r>
      <w:r w:rsidR="00A7250E">
        <w:t xml:space="preserve"> </w:t>
      </w:r>
      <w:r w:rsidR="00DB5B8C">
        <w:t>(left)</w:t>
      </w:r>
      <w:r w:rsidR="00A7250E">
        <w:t xml:space="preserve"> whose outstretched arms and curved cobra body </w:t>
      </w:r>
      <w:r w:rsidR="00D768F4">
        <w:t>draw</w:t>
      </w:r>
      <w:r w:rsidR="005A4D07">
        <w:t>s</w:t>
      </w:r>
      <w:r w:rsidR="00D768F4">
        <w:t xml:space="preserve"> the </w:t>
      </w:r>
      <w:r w:rsidR="005A4D07">
        <w:t xml:space="preserve">eye of the </w:t>
      </w:r>
      <w:r w:rsidR="00D768F4">
        <w:t>viewer into a more intimate space.</w:t>
      </w:r>
      <w:r w:rsidR="0019125F">
        <w:t xml:space="preserve"> </w:t>
      </w:r>
      <w:r w:rsidR="00157899">
        <w:t xml:space="preserve"> </w:t>
      </w:r>
    </w:p>
    <w:p w14:paraId="3D022C5A" w14:textId="740DEFEC" w:rsidR="00DD3878" w:rsidRDefault="00F606D9" w:rsidP="005B342D">
      <w:pPr>
        <w:pStyle w:val="NormalWeb"/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33CECA" wp14:editId="762BB96C">
                <wp:simplePos x="0" y="0"/>
                <wp:positionH relativeFrom="column">
                  <wp:posOffset>-635</wp:posOffset>
                </wp:positionH>
                <wp:positionV relativeFrom="paragraph">
                  <wp:posOffset>1691737</wp:posOffset>
                </wp:positionV>
                <wp:extent cx="3322955" cy="210820"/>
                <wp:effectExtent l="0" t="0" r="0" b="0"/>
                <wp:wrapSquare wrapText="bothSides"/>
                <wp:docPr id="154180142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955" cy="2108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8D9B2A" w14:textId="77777777" w:rsidR="00F606D9" w:rsidRPr="003E0403" w:rsidRDefault="00F606D9" w:rsidP="00F606D9">
                            <w:pPr>
                              <w:pStyle w:val="Caption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t>Statue of the protective goddess Meretseger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3CECA" id="_x0000_s1027" type="#_x0000_t202" style="position:absolute;margin-left:-.05pt;margin-top:133.2pt;width:261.65pt;height:16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mvXHQIAAEIEAAAOAAAAZHJzL2Uyb0RvYy54bWysU8Fu2zAMvQ/YPwi6L05cdOiMOEWWIsOA&#10;oC2QFj0rshQLkEWNUmJ3Xz/KjpOu22nYRaZFiuR7fJzfdo1lR4XBgCv5bDLlTDkJlXH7kj8/rT/d&#10;cBaicJWw4FTJX1Xgt4uPH+atL1QONdhKIaMkLhStL3kdoy+yLMhaNSJMwCtHTg3YiEi/uM8qFC1l&#10;b2yWT6efsxaw8ghShUC3d4OTL/r8WisZH7QOKjJbcuot9if25y6d2WIuij0KXxt5akP8QxeNMI6K&#10;nlPdiSjYAc0fqRojEQLoOJHQZKC1karHQGhm03dotrXwqsdC5AR/pin8v7Ty/rj1j8hi9xU6GmAi&#10;pPWhCHSZ8HQam/SlThn5icLXM22qi0zS5dVVnn+5vuZMki+fTW/yntfs8tpjiN8UNCwZJUcaS8+W&#10;OG5CpIoUOoakYgGsqdbG2vSTHCuL7ChohG1toko90ovfoqxLsQ7Sq8GdbrILlGTFbtcxU72BuYPq&#10;ldAjDMIIXq4N1duIEB8FkhIIMKk7PtChLbQlh5PFWQ3482/3KZ4GRF7OWlJWycOPg0DFmf3uaHRJ&#10;hqOBo7EbDXdoVkBIZ7Q3XvYmPcBoR1MjNC8k+mWqQi7hJNUqeRzNVRz0TUsj1XLZB5HYvIgbt/Uy&#10;pR55fepeBPrTVCLN8x5GzYni3XCG2IHl5SGCNv3kEq8Diye6Saj9eE5LlTbh7X8fdVn9xS8AAAD/&#10;/wMAUEsDBBQABgAIAAAAIQCrA6na3wAAAAkBAAAPAAAAZHJzL2Rvd25yZXYueG1sTI/BTsMwEETv&#10;SPyDtUhcUOvUgEVDnApauJVDS9WzG5skIl5HttOkf89yguPsjGbeFqvJdexsQ2w9KljMM2AWK29a&#10;rBUcPt9nT8Bi0mh059EquNgIq/L6qtC58SPu7HmfakYlGHOtoEmpzzmPVWOdjnPfWyTvywenE8lQ&#10;cxP0SOWu4yLLJHe6RVpodG/Xja2+94NTIDdhGHe4vtsc3rb6o6/F8fVyVOr2Znp5BpbslP7C8ItP&#10;6FAS08kPaCLrFMwWFFQgpHwARv6juBfATnRZLiXwsuD/Pyh/AAAA//8DAFBLAQItABQABgAIAAAA&#10;IQC2gziS/gAAAOEBAAATAAAAAAAAAAAAAAAAAAAAAABbQ29udGVudF9UeXBlc10ueG1sUEsBAi0A&#10;FAAGAAgAAAAhADj9If/WAAAAlAEAAAsAAAAAAAAAAAAAAAAALwEAAF9yZWxzLy5yZWxzUEsBAi0A&#10;FAAGAAgAAAAhAEBqa9cdAgAAQgQAAA4AAAAAAAAAAAAAAAAALgIAAGRycy9lMm9Eb2MueG1sUEsB&#10;Ai0AFAAGAAgAAAAhAKsDqdrfAAAACQEAAA8AAAAAAAAAAAAAAAAAdwQAAGRycy9kb3ducmV2Lnht&#10;bFBLBQYAAAAABAAEAPMAAACDBQAAAAA=&#10;" stroked="f">
                <v:textbox inset="0,0,0,0">
                  <w:txbxContent>
                    <w:p w14:paraId="6C8D9B2A" w14:textId="77777777" w:rsidR="00F606D9" w:rsidRPr="003E0403" w:rsidRDefault="00F606D9" w:rsidP="00F606D9">
                      <w:pPr>
                        <w:pStyle w:val="Caption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kern w:val="0"/>
                          <w:sz w:val="32"/>
                          <w:szCs w:val="32"/>
                          <w14:ligatures w14:val="none"/>
                        </w:rPr>
                      </w:pPr>
                      <w:r>
                        <w:t>Statue of the protective goddess Meretseger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4567">
        <w:t>The translation of Meretseger’s</w:t>
      </w:r>
      <w:r w:rsidR="00157899">
        <w:t xml:space="preserve"> </w:t>
      </w:r>
      <w:r w:rsidR="004D4567">
        <w:t xml:space="preserve">name merits </w:t>
      </w:r>
      <w:r w:rsidR="00446640">
        <w:t>important consideration</w:t>
      </w:r>
      <w:r w:rsidR="00663703">
        <w:t>. Interpretated as</w:t>
      </w:r>
      <w:r w:rsidR="00663703" w:rsidRPr="00663703">
        <w:t xml:space="preserve"> "She Who Loves Silence," </w:t>
      </w:r>
      <w:r w:rsidR="00663703">
        <w:t>there are profound</w:t>
      </w:r>
      <w:r w:rsidR="000D60AA">
        <w:t xml:space="preserve"> relationships </w:t>
      </w:r>
      <w:r w:rsidR="005B4F36">
        <w:t>between the</w:t>
      </w:r>
      <w:r w:rsidR="004C419C">
        <w:t xml:space="preserve"> personification of Meretseger</w:t>
      </w:r>
      <w:r w:rsidR="000D60AA">
        <w:t xml:space="preserve"> and </w:t>
      </w:r>
      <w:r w:rsidR="00717B9C">
        <w:t xml:space="preserve">the </w:t>
      </w:r>
      <w:r w:rsidR="00717B9C" w:rsidRPr="00663703">
        <w:t>silent</w:t>
      </w:r>
      <w:r w:rsidR="00663703" w:rsidRPr="00663703">
        <w:t xml:space="preserve">, stealthy movement of </w:t>
      </w:r>
      <w:r w:rsidR="000D60AA">
        <w:t xml:space="preserve">snakes </w:t>
      </w:r>
      <w:r w:rsidR="00663703" w:rsidRPr="00663703">
        <w:t>within the limestone landscape</w:t>
      </w:r>
      <w:r w:rsidR="004C419C">
        <w:t xml:space="preserve"> which in turn </w:t>
      </w:r>
      <w:r w:rsidR="000D60AA" w:rsidRPr="00663703">
        <w:t>represent</w:t>
      </w:r>
      <w:r w:rsidR="00663703" w:rsidRPr="00663703">
        <w:t xml:space="preserve"> a quiet but </w:t>
      </w:r>
      <w:r w:rsidR="00245BA1" w:rsidRPr="00663703">
        <w:t>deadly</w:t>
      </w:r>
      <w:r w:rsidR="00663703" w:rsidRPr="00663703">
        <w:t xml:space="preserve"> vigilance over the necropolis.</w:t>
      </w:r>
      <w:r w:rsidR="00663703">
        <w:t xml:space="preserve"> </w:t>
      </w:r>
      <w:r w:rsidR="00ED6878">
        <w:t xml:space="preserve"> </w:t>
      </w:r>
      <w:r w:rsidR="00717B9C">
        <w:t xml:space="preserve">In addition, </w:t>
      </w:r>
      <w:r w:rsidR="00E959A0" w:rsidRPr="00F10319">
        <w:t>the</w:t>
      </w:r>
      <w:r w:rsidR="00F10319" w:rsidRPr="00F10319">
        <w:t xml:space="preserve"> biological reality of Meretseger’s cobra form establishe</w:t>
      </w:r>
      <w:r w:rsidR="00F10319">
        <w:t>s</w:t>
      </w:r>
      <w:r w:rsidR="00F10319" w:rsidRPr="00F10319">
        <w:t xml:space="preserve"> a symbiotic relationship between the villagers and the sacred landscape; while the community remained acutely aware of the mountain’s divine authority, their participation in ritual </w:t>
      </w:r>
      <w:r w:rsidR="00F10319">
        <w:t>ensures that she becomes</w:t>
      </w:r>
      <w:r w:rsidR="00254455">
        <w:t xml:space="preserve"> a power for the protection of the community. </w:t>
      </w:r>
      <w:r w:rsidR="00E959A0">
        <w:t xml:space="preserve"> Moreover, as previously</w:t>
      </w:r>
      <w:r w:rsidR="00D54793">
        <w:t xml:space="preserve"> discussed</w:t>
      </w:r>
      <w:r w:rsidR="00C4626F">
        <w:t xml:space="preserve">, she is capable of both formidable retribution and great mercy. </w:t>
      </w:r>
      <w:r w:rsidR="00254455">
        <w:t xml:space="preserve"> </w:t>
      </w:r>
      <w:r w:rsidR="0017744E">
        <w:t xml:space="preserve">The elements represented </w:t>
      </w:r>
      <w:r w:rsidR="00671F75">
        <w:t>in</w:t>
      </w:r>
      <w:r w:rsidR="007C3014">
        <w:t xml:space="preserve"> Meretseger’s </w:t>
      </w:r>
      <w:r w:rsidR="00E15C13">
        <w:t xml:space="preserve">crown are also significant.  </w:t>
      </w:r>
      <w:r w:rsidR="001F6CC1" w:rsidRPr="002824BE">
        <w:t>Her horned crown connects her to Hathor</w:t>
      </w:r>
      <w:r w:rsidR="007B177B" w:rsidRPr="002824BE">
        <w:t xml:space="preserve"> who is the primary goddess of Thebes </w:t>
      </w:r>
      <w:r w:rsidR="009B0A21" w:rsidRPr="002824BE">
        <w:t xml:space="preserve">whilst </w:t>
      </w:r>
      <w:r w:rsidR="00262DB1" w:rsidRPr="002824BE">
        <w:t xml:space="preserve">the </w:t>
      </w:r>
      <w:proofErr w:type="spellStart"/>
      <w:r w:rsidR="00262DB1" w:rsidRPr="002824BE">
        <w:t>shuti</w:t>
      </w:r>
      <w:proofErr w:type="spellEnd"/>
      <w:r w:rsidR="00262DB1" w:rsidRPr="002824BE">
        <w:t xml:space="preserve"> represent the concept of Maat</w:t>
      </w:r>
      <w:r w:rsidR="009A0F0B" w:rsidRPr="002824BE">
        <w:t>, serving to remind</w:t>
      </w:r>
      <w:r w:rsidR="008644EC" w:rsidRPr="002824BE">
        <w:t xml:space="preserve"> her worshippers that she is a deity of order and justice. </w:t>
      </w:r>
      <w:r w:rsidR="00E05EEA" w:rsidRPr="002824BE">
        <w:t>The sun disk</w:t>
      </w:r>
      <w:r w:rsidR="00DE3AFF" w:rsidRPr="002824BE">
        <w:t xml:space="preserve"> embodies her connection with Ra</w:t>
      </w:r>
      <w:r w:rsidR="004F74BA" w:rsidRPr="002824BE">
        <w:t xml:space="preserve"> and the creation of life</w:t>
      </w:r>
      <w:r w:rsidR="00C45090" w:rsidRPr="002824BE">
        <w:t xml:space="preserve"> as well as her role as protector of the tombs</w:t>
      </w:r>
      <w:r w:rsidR="00A80C9C" w:rsidRPr="002824BE">
        <w:t>. Her tripartite wig may serve practical as well as spiritual functions</w:t>
      </w:r>
      <w:r w:rsidR="00371C10" w:rsidRPr="002824BE">
        <w:t xml:space="preserve">, including where her hair serves to blur the separation between her human and cobra form. </w:t>
      </w:r>
      <w:r w:rsidR="00A80C9C" w:rsidRPr="002824BE">
        <w:t xml:space="preserve"> </w:t>
      </w:r>
      <w:r w:rsidR="009A0F0B" w:rsidRPr="0047542B">
        <w:rPr>
          <w:color w:val="3A7C22" w:themeColor="accent6" w:themeShade="BF"/>
        </w:rPr>
        <w:t xml:space="preserve"> </w:t>
      </w:r>
      <w:r w:rsidR="009A0F0B">
        <w:t xml:space="preserve"> </w:t>
      </w:r>
      <w:r w:rsidR="007B177B">
        <w:t xml:space="preserve"> </w:t>
      </w:r>
      <w:r w:rsidR="000447A5">
        <w:t>Finally, the traces of red paint on the figure</w:t>
      </w:r>
      <w:r w:rsidR="00CC140B">
        <w:t xml:space="preserve"> demonstrates how </w:t>
      </w:r>
      <w:r w:rsidR="00CC140B">
        <w:lastRenderedPageBreak/>
        <w:t>colour is also highly symbolic</w:t>
      </w:r>
      <w:r w:rsidR="005F3551">
        <w:t xml:space="preserve">. </w:t>
      </w:r>
      <w:r w:rsidR="00BC107A">
        <w:t xml:space="preserve"> </w:t>
      </w:r>
      <w:r w:rsidR="005F3551" w:rsidRPr="005F3551">
        <w:t xml:space="preserve">Red was the </w:t>
      </w:r>
      <w:r w:rsidR="00B80BC7" w:rsidRPr="005F3551">
        <w:t>colour</w:t>
      </w:r>
      <w:r w:rsidR="005F3551" w:rsidRPr="005F3551">
        <w:t xml:space="preserve"> of the desert, a place of chaos and danger.</w:t>
      </w:r>
      <w:r w:rsidR="00626343">
        <w:rPr>
          <w:rStyle w:val="FootnoteReference"/>
        </w:rPr>
        <w:footnoteReference w:id="14"/>
      </w:r>
      <w:r w:rsidR="005F3551" w:rsidRPr="005F3551">
        <w:t xml:space="preserve"> Since Meretseger was the "Mistress of the West</w:t>
      </w:r>
      <w:r w:rsidR="00103822" w:rsidRPr="005F3551">
        <w:t>” the</w:t>
      </w:r>
      <w:r w:rsidR="005F3551" w:rsidRPr="005F3551">
        <w:t xml:space="preserve"> </w:t>
      </w:r>
      <w:r w:rsidR="00B80BC7" w:rsidRPr="005F3551">
        <w:t>colour</w:t>
      </w:r>
      <w:r w:rsidR="005F3551" w:rsidRPr="005F3551">
        <w:t xml:space="preserve"> red </w:t>
      </w:r>
      <w:r w:rsidR="00B80BC7">
        <w:t>associates</w:t>
      </w:r>
      <w:r w:rsidR="005F3551" w:rsidRPr="005F3551">
        <w:t xml:space="preserve"> her</w:t>
      </w:r>
      <w:r w:rsidR="00B77AE1">
        <w:t xml:space="preserve"> with</w:t>
      </w:r>
      <w:r w:rsidR="005F3551" w:rsidRPr="005F3551">
        <w:t xml:space="preserve"> the harsh, unforgiving nature of th</w:t>
      </w:r>
      <w:r w:rsidR="00B77AE1">
        <w:t>e landscape</w:t>
      </w:r>
      <w:r w:rsidR="005F3551" w:rsidRPr="005F3551">
        <w:t>.</w:t>
      </w:r>
      <w:r w:rsidR="00B77AE1">
        <w:t xml:space="preserve"> </w:t>
      </w:r>
      <w:r w:rsidR="00FC467C">
        <w:t xml:space="preserve">The red paint may also </w:t>
      </w:r>
      <w:r w:rsidR="00D46EF5">
        <w:t>symbolise personal</w:t>
      </w:r>
      <w:r w:rsidR="00FC467C">
        <w:t xml:space="preserve"> danger through her anger and wrath.  </w:t>
      </w:r>
      <w:r w:rsidR="001056D8">
        <w:t xml:space="preserve">However, it may also suggest </w:t>
      </w:r>
      <w:r w:rsidR="00840C02">
        <w:t xml:space="preserve">rejuvenation and energy thus again </w:t>
      </w:r>
      <w:r w:rsidR="00A14166">
        <w:t>reinforcing the</w:t>
      </w:r>
      <w:r w:rsidR="006D5A46">
        <w:t xml:space="preserve"> </w:t>
      </w:r>
      <w:r w:rsidR="00840C02">
        <w:t>dual aspects</w:t>
      </w:r>
      <w:r w:rsidR="006D5A46">
        <w:t xml:space="preserve"> Meretseger’s personality</w:t>
      </w:r>
      <w:r w:rsidR="00840C02">
        <w:t xml:space="preserve">.  </w:t>
      </w:r>
    </w:p>
    <w:p w14:paraId="55D481F8" w14:textId="429D81CA" w:rsidR="00036B8A" w:rsidRDefault="00895F63" w:rsidP="00D84359">
      <w:pPr>
        <w:pStyle w:val="NormalWeb"/>
        <w:spacing w:line="480" w:lineRule="auto"/>
      </w:pPr>
      <w:r>
        <w:t>Perhaps one of the most important</w:t>
      </w:r>
      <w:r w:rsidR="00DD3878">
        <w:t xml:space="preserve"> elements of the figure</w:t>
      </w:r>
      <w:r w:rsidR="00DF0901">
        <w:t xml:space="preserve"> </w:t>
      </w:r>
      <w:r>
        <w:t>is her ka</w:t>
      </w:r>
      <w:r w:rsidR="00291385">
        <w:t xml:space="preserve"> which is</w:t>
      </w:r>
      <w:r w:rsidR="00DF0901">
        <w:t xml:space="preserve"> embodied in the actual statue.  </w:t>
      </w:r>
      <w:r w:rsidR="009C6F3B" w:rsidRPr="009C6F3B">
        <w:t xml:space="preserve">By mimicking the natural geometry of the 'Peak of the West,' the figure’s planar form functions as a calculated semiotic device; it transforms </w:t>
      </w:r>
      <w:r w:rsidR="009C6F3B">
        <w:t>her</w:t>
      </w:r>
      <w:r w:rsidR="009C6F3B" w:rsidRPr="009C6F3B">
        <w:t xml:space="preserve"> from a mere representation into a localized extension of divine authority and surveillance</w:t>
      </w:r>
      <w:r w:rsidR="004966A6">
        <w:t xml:space="preserve">. </w:t>
      </w:r>
      <w:r w:rsidR="00436703">
        <w:t xml:space="preserve"> </w:t>
      </w:r>
      <w:r w:rsidR="000D30D6">
        <w:t xml:space="preserve"> </w:t>
      </w:r>
      <w:r w:rsidR="00E2628F">
        <w:t xml:space="preserve"> </w:t>
      </w:r>
      <w:r w:rsidR="000838CA">
        <w:t>Furthermore, the</w:t>
      </w:r>
      <w:r w:rsidR="00E2628F">
        <w:t xml:space="preserve"> way in which</w:t>
      </w:r>
      <w:r w:rsidR="00E2628F" w:rsidRPr="00E2628F">
        <w:t xml:space="preserve"> </w:t>
      </w:r>
      <w:r w:rsidR="00245322">
        <w:t xml:space="preserve">the </w:t>
      </w:r>
      <w:r w:rsidR="00E2628F" w:rsidRPr="00E2628F">
        <w:t xml:space="preserve">carving </w:t>
      </w:r>
      <w:r w:rsidR="00245322">
        <w:t>has been sculpted</w:t>
      </w:r>
      <w:r w:rsidR="000838CA">
        <w:t>,</w:t>
      </w:r>
      <w:r w:rsidR="00245322">
        <w:t xml:space="preserve"> </w:t>
      </w:r>
      <w:r w:rsidR="00C168B8">
        <w:t>with</w:t>
      </w:r>
      <w:r w:rsidR="00E2628F" w:rsidRPr="00E2628F">
        <w:t xml:space="preserve"> her undulating </w:t>
      </w:r>
      <w:r w:rsidR="00265967" w:rsidRPr="00E2628F">
        <w:t>coils</w:t>
      </w:r>
      <w:r w:rsidR="00265967">
        <w:t xml:space="preserve">, </w:t>
      </w:r>
      <w:r w:rsidR="00265967" w:rsidRPr="00E2628F">
        <w:t>creates</w:t>
      </w:r>
      <w:r w:rsidR="00E2628F" w:rsidRPr="00E2628F">
        <w:t xml:space="preserve"> a sense of </w:t>
      </w:r>
      <w:r w:rsidR="00C168B8" w:rsidRPr="00E2628F">
        <w:t>dynamic</w:t>
      </w:r>
      <w:r w:rsidR="00E2628F" w:rsidRPr="00E2628F">
        <w:t xml:space="preserve"> energy, implying </w:t>
      </w:r>
      <w:r w:rsidR="00C168B8">
        <w:t xml:space="preserve">that she is </w:t>
      </w:r>
      <w:r w:rsidR="00E2628F" w:rsidRPr="00E2628F">
        <w:t>in constant, watchful motion</w:t>
      </w:r>
      <w:r w:rsidR="00B542C7">
        <w:t xml:space="preserve">. </w:t>
      </w:r>
      <w:r w:rsidR="002321AA">
        <w:t xml:space="preserve"> </w:t>
      </w:r>
      <w:r w:rsidR="0077623C">
        <w:t xml:space="preserve">Overall, this </w:t>
      </w:r>
      <w:r w:rsidR="00FB620E">
        <w:t>means that engaging with the</w:t>
      </w:r>
      <w:r w:rsidR="00DA5632">
        <w:t xml:space="preserve"> ka of</w:t>
      </w:r>
      <w:r w:rsidR="005E0DF4">
        <w:t xml:space="preserve"> the</w:t>
      </w:r>
      <w:r w:rsidR="00FB620E">
        <w:t xml:space="preserve"> figure was to engage with</w:t>
      </w:r>
      <w:r w:rsidR="005E0DF4">
        <w:t xml:space="preserve"> Meretseger and</w:t>
      </w:r>
      <w:r w:rsidR="00FB620E">
        <w:t xml:space="preserve"> the mountain itself.</w:t>
      </w:r>
      <w:r w:rsidR="0077623C">
        <w:t xml:space="preserve">  </w:t>
      </w:r>
      <w:r w:rsidR="00C609D9">
        <w:t xml:space="preserve"> </w:t>
      </w:r>
    </w:p>
    <w:p w14:paraId="35D86967" w14:textId="18295EC8" w:rsidR="005F7F60" w:rsidRPr="005F7F60" w:rsidRDefault="005F7F60" w:rsidP="005F7F60">
      <w:pPr>
        <w:pStyle w:val="NormalWeb"/>
        <w:spacing w:line="480" w:lineRule="auto"/>
      </w:pPr>
      <w:r w:rsidRPr="005F7F60">
        <w:t xml:space="preserve">The Brooklyn Museum statuette of Meretseger functions as more than a passive religious </w:t>
      </w:r>
      <w:r w:rsidR="00A12F46">
        <w:t>figurine</w:t>
      </w:r>
      <w:r w:rsidRPr="005F7F60">
        <w:t xml:space="preserve">; it is a </w:t>
      </w:r>
      <w:r w:rsidR="00A12F46" w:rsidRPr="005F7F60">
        <w:t>substantive</w:t>
      </w:r>
      <w:r w:rsidRPr="005F7F60">
        <w:t xml:space="preserve"> participant in the complex discursive systems of power that </w:t>
      </w:r>
      <w:r w:rsidR="00A12F46">
        <w:t>ruled the villagers of</w:t>
      </w:r>
      <w:r w:rsidRPr="005F7F60">
        <w:t xml:space="preserve"> Deir </w:t>
      </w:r>
      <w:proofErr w:type="spellStart"/>
      <w:r w:rsidRPr="005F7F60">
        <w:t>el</w:t>
      </w:r>
      <w:proofErr w:type="spellEnd"/>
      <w:r w:rsidRPr="005F7F60">
        <w:t xml:space="preserve">-Medina. While structuralist frameworks effectively </w:t>
      </w:r>
      <w:r w:rsidR="00A12F46" w:rsidRPr="005F7F60">
        <w:t>classify</w:t>
      </w:r>
      <w:r w:rsidRPr="005F7F60">
        <w:t xml:space="preserve"> her iconography—the tripartite wig and the </w:t>
      </w:r>
      <w:r w:rsidRPr="005F7F60">
        <w:rPr>
          <w:i/>
          <w:iCs/>
        </w:rPr>
        <w:t>ka</w:t>
      </w:r>
      <w:r w:rsidRPr="005F7F60">
        <w:t xml:space="preserve"> crown—as signs of divine authority, Foucault’s </w:t>
      </w:r>
      <w:r w:rsidR="001E2211">
        <w:t>perspective argues that</w:t>
      </w:r>
      <w:r w:rsidR="000D778D">
        <w:t xml:space="preserve"> she is </w:t>
      </w:r>
      <w:r w:rsidRPr="005F7F60">
        <w:t xml:space="preserve">a </w:t>
      </w:r>
      <w:r w:rsidR="002A2BA7" w:rsidRPr="005F7F60">
        <w:t>crucial</w:t>
      </w:r>
      <w:r w:rsidRPr="005F7F60">
        <w:t xml:space="preserve"> </w:t>
      </w:r>
      <w:r w:rsidR="002A2BA7" w:rsidRPr="005F7F60">
        <w:t>element</w:t>
      </w:r>
      <w:r w:rsidRPr="005F7F60">
        <w:t xml:space="preserve"> in a "machine" of social control and internalized discipline. The presence of this deity, capable of striking a </w:t>
      </w:r>
      <w:r w:rsidR="002A2BA7" w:rsidRPr="005F7F60">
        <w:t>labourer</w:t>
      </w:r>
      <w:r w:rsidRPr="005F7F60">
        <w:t xml:space="preserve"> like Nefer</w:t>
      </w:r>
      <w:r w:rsidR="002A2BA7">
        <w:t>-</w:t>
      </w:r>
      <w:proofErr w:type="spellStart"/>
      <w:r w:rsidRPr="005F7F60">
        <w:t>abu</w:t>
      </w:r>
      <w:proofErr w:type="spellEnd"/>
      <w:r w:rsidRPr="005F7F60">
        <w:t xml:space="preserve"> blind for a "sickness in the heart," suggests a localized panopticism</w:t>
      </w:r>
      <w:r w:rsidR="007E4823">
        <w:rPr>
          <w:rStyle w:val="FootnoteReference"/>
        </w:rPr>
        <w:footnoteReference w:id="15"/>
      </w:r>
      <w:r w:rsidRPr="005F7F60">
        <w:t xml:space="preserve"> where the boundary between private conscience and state-monitored </w:t>
      </w:r>
      <w:r w:rsidR="002A2BA7" w:rsidRPr="005F7F60">
        <w:t>labour</w:t>
      </w:r>
      <w:r w:rsidRPr="005F7F60">
        <w:t xml:space="preserve"> is entirely dissolved</w:t>
      </w:r>
      <w:r w:rsidR="00F95803">
        <w:t xml:space="preserve">; a concept which will be explored in greater detail in </w:t>
      </w:r>
      <w:r w:rsidR="00A35286">
        <w:t>the forthcoming thesis.</w:t>
      </w:r>
    </w:p>
    <w:p w14:paraId="4A505E99" w14:textId="616A6ABA" w:rsidR="005F7F60" w:rsidRPr="005F7F60" w:rsidRDefault="005F7F60" w:rsidP="005F7F60">
      <w:pPr>
        <w:pStyle w:val="NormalWeb"/>
        <w:spacing w:line="480" w:lineRule="auto"/>
      </w:pPr>
      <w:r w:rsidRPr="005F7F60">
        <w:lastRenderedPageBreak/>
        <w:t>However, the "pitted" sandstone and remnants of red paint suggest a "vibrant" history of ritual handling that exceeds simple semiotic representation</w:t>
      </w:r>
      <w:r w:rsidR="00A35286">
        <w:t xml:space="preserve"> and</w:t>
      </w:r>
      <w:r w:rsidR="00EB77C2">
        <w:t xml:space="preserve"> is also deserving of further investigation</w:t>
      </w:r>
      <w:r w:rsidR="001F775B">
        <w:t xml:space="preserve">: </w:t>
      </w:r>
      <w:r w:rsidRPr="005F7F60">
        <w:t xml:space="preserve"> did the material presence of Meretseger merely represent authority, or did her physical form, as a "planar" extension of the limestone mountain </w:t>
      </w:r>
      <w:proofErr w:type="spellStart"/>
      <w:r w:rsidRPr="005F7F60">
        <w:t>el-Qurn</w:t>
      </w:r>
      <w:proofErr w:type="spellEnd"/>
      <w:r w:rsidRPr="005F7F60">
        <w:t>, actively co-construct the "docile bodies"</w:t>
      </w:r>
      <w:r w:rsidR="001F775B">
        <w:rPr>
          <w:rStyle w:val="FootnoteReference"/>
        </w:rPr>
        <w:footnoteReference w:id="16"/>
      </w:r>
      <w:r w:rsidRPr="005F7F60">
        <w:t xml:space="preserve"> required for the Pharaoh’s service?</w:t>
      </w:r>
      <w:r w:rsidR="005C09DE">
        <w:t xml:space="preserve"> </w:t>
      </w:r>
      <w:r w:rsidRPr="005F7F60">
        <w:t xml:space="preserve"> Exploring </w:t>
      </w:r>
      <w:r w:rsidR="005C09DE">
        <w:t>Meretseger</w:t>
      </w:r>
      <w:r w:rsidR="00EC5A49">
        <w:t xml:space="preserve">’s own </w:t>
      </w:r>
      <w:r w:rsidRPr="005F7F60">
        <w:t xml:space="preserve">agency </w:t>
      </w:r>
      <w:r w:rsidR="00EC5A49">
        <w:t xml:space="preserve">will offer a </w:t>
      </w:r>
      <w:r w:rsidR="005E0DF4">
        <w:t xml:space="preserve">connection </w:t>
      </w:r>
      <w:r w:rsidR="005E0DF4" w:rsidRPr="005F7F60">
        <w:t>to</w:t>
      </w:r>
      <w:r w:rsidRPr="005F7F60">
        <w:t xml:space="preserve"> a wider investigation into how Egyptian material culture did not just reflect </w:t>
      </w:r>
      <w:r w:rsidR="00D46EF5" w:rsidRPr="005F7F60">
        <w:t>belief but</w:t>
      </w:r>
      <w:r w:rsidRPr="005F7F60">
        <w:t xml:space="preserve"> fundamentally enforced the social and moral order of the Theban necropolis</w:t>
      </w:r>
      <w:r w:rsidR="00EC5A49">
        <w:t xml:space="preserve"> and the village of Deir </w:t>
      </w:r>
      <w:proofErr w:type="spellStart"/>
      <w:r w:rsidR="00EC5A49">
        <w:t>el</w:t>
      </w:r>
      <w:proofErr w:type="spellEnd"/>
      <w:r w:rsidR="00EC5A49">
        <w:t>-Medina</w:t>
      </w:r>
      <w:r w:rsidRPr="005F7F60">
        <w:t>.</w:t>
      </w:r>
    </w:p>
    <w:p w14:paraId="59538AF7" w14:textId="77777777" w:rsidR="005F7F60" w:rsidRDefault="005F7F60" w:rsidP="00D84359">
      <w:pPr>
        <w:pStyle w:val="NormalWeb"/>
        <w:spacing w:line="480" w:lineRule="auto"/>
        <w:rPr>
          <w:b/>
          <w:bCs/>
          <w:sz w:val="28"/>
          <w:szCs w:val="28"/>
        </w:rPr>
      </w:pPr>
    </w:p>
    <w:p w14:paraId="6D8B1203" w14:textId="690C9A76" w:rsidR="00036B8A" w:rsidRDefault="00036B8A">
      <w:pPr>
        <w:pStyle w:val="NormalWeb"/>
        <w:spacing w:line="480" w:lineRule="auto"/>
        <w:ind w:left="450" w:hanging="450"/>
        <w:rPr>
          <w:b/>
          <w:bCs/>
          <w:sz w:val="28"/>
          <w:szCs w:val="28"/>
        </w:rPr>
      </w:pPr>
    </w:p>
    <w:p w14:paraId="09D5C004" w14:textId="4EDA0A49" w:rsidR="00036B8A" w:rsidRDefault="00036B8A">
      <w:pPr>
        <w:pStyle w:val="NormalWeb"/>
        <w:spacing w:line="480" w:lineRule="auto"/>
        <w:ind w:left="450" w:hanging="450"/>
        <w:rPr>
          <w:b/>
          <w:bCs/>
          <w:sz w:val="28"/>
          <w:szCs w:val="28"/>
        </w:rPr>
      </w:pPr>
    </w:p>
    <w:p w14:paraId="2EE6C363" w14:textId="68636665" w:rsidR="00036B8A" w:rsidRDefault="00036B8A">
      <w:pPr>
        <w:pStyle w:val="NormalWeb"/>
        <w:spacing w:line="480" w:lineRule="auto"/>
        <w:ind w:left="450" w:hanging="450"/>
        <w:rPr>
          <w:b/>
          <w:bCs/>
          <w:sz w:val="28"/>
          <w:szCs w:val="28"/>
        </w:rPr>
      </w:pPr>
    </w:p>
    <w:p w14:paraId="3A862A9C" w14:textId="77777777" w:rsidR="00036B8A" w:rsidRDefault="00036B8A">
      <w:pPr>
        <w:rPr>
          <w:rFonts w:ascii="Times New Roman" w:eastAsiaTheme="minorEastAsia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>
        <w:rPr>
          <w:b/>
          <w:bCs/>
          <w:sz w:val="28"/>
          <w:szCs w:val="28"/>
        </w:rPr>
        <w:br w:type="page"/>
      </w:r>
    </w:p>
    <w:p w14:paraId="1D5CD51A" w14:textId="65E26D40" w:rsidR="00511EBD" w:rsidRPr="00E8248B" w:rsidRDefault="00E8248B">
      <w:pPr>
        <w:pStyle w:val="NormalWeb"/>
        <w:spacing w:line="480" w:lineRule="auto"/>
        <w:ind w:left="450" w:hanging="450"/>
      </w:pPr>
      <w:r w:rsidRPr="00E8248B">
        <w:rPr>
          <w:b/>
          <w:bCs/>
          <w:sz w:val="28"/>
          <w:szCs w:val="28"/>
        </w:rPr>
        <w:lastRenderedPageBreak/>
        <w:t>Bibliography</w:t>
      </w:r>
      <w:r w:rsidR="00511EBD" w:rsidRPr="00E8248B">
        <w:br/>
      </w:r>
    </w:p>
    <w:sdt>
      <w:sdt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ag w:val="rw.bWnCOutputStyleIdiblio"/>
        <w:id w:val="-1448460263"/>
        <w:placeholder>
          <w:docPart w:val="2020BE7A06884305B94E83A1EB6F5C66"/>
        </w:placeholder>
      </w:sdtPr>
      <w:sdtContent>
        <w:p w14:paraId="5A9CD0DE" w14:textId="1DE11441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Statue of the Protective Goddess Meretseger</w:t>
          </w:r>
          <w:r>
            <w:rPr>
              <w:rFonts w:ascii="Aptos" w:hAnsi="Aptos"/>
              <w:color w:val="000000"/>
              <w:sz w:val="20"/>
              <w:szCs w:val="20"/>
            </w:rPr>
            <w:t>2026 vols ) &lt;</w:t>
          </w:r>
          <w:hyperlink r:id="rId16" w:history="1">
            <w:r w:rsidR="00350748" w:rsidRPr="002136C5">
              <w:rPr>
                <w:rStyle w:val="Hyperlink"/>
                <w:rFonts w:ascii="Aptos" w:hAnsi="Aptos"/>
                <w:sz w:val="20"/>
                <w:szCs w:val="20"/>
              </w:rPr>
              <w:t>https://egypt-museum.com/statue-of-the-protective-goddess-meretseger/</w:t>
            </w:r>
          </w:hyperlink>
          <w:r>
            <w:rPr>
              <w:rFonts w:ascii="Aptos" w:hAnsi="Aptos"/>
              <w:color w:val="000000"/>
              <w:sz w:val="20"/>
              <w:szCs w:val="20"/>
            </w:rPr>
            <w:t>&gt; [accessed 11/03/2026]</w:t>
          </w:r>
        </w:p>
        <w:p w14:paraId="4D05AF16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A.G. McDowell,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Village Life in Ancient Egypt: Laundry Lists and Love Songs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(Oxford: Oxford University Press, 1999)</w:t>
          </w:r>
        </w:p>
        <w:p w14:paraId="6E1AC20B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anon,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 xml:space="preserve">Statuette of the Goddess Renenutet, </w:t>
          </w:r>
          <w:r>
            <w:rPr>
              <w:rFonts w:ascii="Aptos" w:hAnsi="Aptos"/>
              <w:color w:val="000000"/>
              <w:sz w:val="20"/>
              <w:szCs w:val="20"/>
            </w:rPr>
            <w:t>2026 vols ) &lt;</w:t>
          </w:r>
          <w:hyperlink r:id="rId17" w:tgtFrame="_blank" w:history="1">
            <w:r>
              <w:rPr>
                <w:rStyle w:val="Hyperlink"/>
                <w:rFonts w:ascii="Aptos" w:hAnsi="Aptos"/>
                <w:sz w:val="20"/>
                <w:szCs w:val="20"/>
              </w:rPr>
              <w:t>https://egypt-museum.com/statuette-of-the-goddess-renenutet/</w:t>
            </w:r>
          </w:hyperlink>
          <w:r>
            <w:rPr>
              <w:rFonts w:ascii="Aptos" w:hAnsi="Aptos"/>
              <w:color w:val="000000"/>
              <w:sz w:val="20"/>
              <w:szCs w:val="20"/>
            </w:rPr>
            <w:t>&gt; [accessed 18/03/2026]</w:t>
          </w:r>
        </w:p>
        <w:p w14:paraId="13932526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Badcock, C. R.,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Levi-Strauss: Structuralism and Sociological Theory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(London: Hutchinson and Co. Limited, 1977)</w:t>
          </w:r>
        </w:p>
        <w:p w14:paraId="0F04CDBE" w14:textId="77777777" w:rsidR="00EF4ECE" w:rsidRDefault="00EF4ECE" w:rsidP="00DA4967">
          <w:pPr>
            <w:pStyle w:val="NormalWeb"/>
            <w:ind w:left="450" w:hanging="450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Barthes, Roland,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Music Image Text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(London: Fontana Press, 1977)</w:t>
          </w:r>
        </w:p>
        <w:p w14:paraId="4655A892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Brooklyn Museum,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 xml:space="preserve">Meretseger, </w:t>
          </w:r>
          <w:r>
            <w:rPr>
              <w:rFonts w:ascii="Aptos" w:hAnsi="Aptos"/>
              <w:color w:val="000000"/>
              <w:sz w:val="20"/>
              <w:szCs w:val="20"/>
            </w:rPr>
            <w:t>2026 vols 2025) &lt;</w:t>
          </w:r>
          <w:hyperlink r:id="rId18" w:tgtFrame="_blank" w:history="1">
            <w:r>
              <w:rPr>
                <w:rStyle w:val="Hyperlink"/>
                <w:rFonts w:ascii="Aptos" w:hAnsi="Aptos"/>
                <w:sz w:val="20"/>
                <w:szCs w:val="20"/>
              </w:rPr>
              <w:t>https://www.brooklynmuseum.org/en-GB/objects/4178</w:t>
            </w:r>
          </w:hyperlink>
          <w:r>
            <w:rPr>
              <w:rFonts w:ascii="Aptos" w:hAnsi="Aptos"/>
              <w:color w:val="000000"/>
              <w:sz w:val="20"/>
              <w:szCs w:val="20"/>
            </w:rPr>
            <w:t>&gt; [accessed 10/03/2026]</w:t>
          </w:r>
        </w:p>
        <w:p w14:paraId="5F30CBDE" w14:textId="77777777" w:rsidR="00EF4ECE" w:rsidRDefault="00EF4ECE" w:rsidP="00DA4967">
          <w:pPr>
            <w:pStyle w:val="NormalWeb"/>
            <w:ind w:left="450" w:hanging="450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Foucault, Michel,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Discipline and Punish: The Birth of the Prison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(Penguin, 1977)</w:t>
          </w:r>
        </w:p>
        <w:p w14:paraId="6E09F3E3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John Romer,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 xml:space="preserve">Ancient Lives. the Story of the Pharaohs </w:t>
          </w:r>
          <w:proofErr w:type="spellStart"/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Tombmakers</w:t>
          </w:r>
          <w:proofErr w:type="spellEnd"/>
          <w:r>
            <w:rPr>
              <w:rFonts w:ascii="Aptos" w:hAnsi="Aptos"/>
              <w:color w:val="000000"/>
              <w:sz w:val="20"/>
              <w:szCs w:val="20"/>
            </w:rPr>
            <w:t xml:space="preserve"> (London: George Weidenfeld &amp; Nicolson Ltd, 1984)</w:t>
          </w:r>
        </w:p>
        <w:p w14:paraId="0EDE4F6B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Museo Egizio,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 xml:space="preserve">Stela of </w:t>
          </w:r>
          <w:proofErr w:type="spellStart"/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Neferabu</w:t>
          </w:r>
          <w:proofErr w:type="spellEnd"/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 xml:space="preserve">, </w:t>
          </w:r>
          <w:r>
            <w:rPr>
              <w:rFonts w:ascii="Aptos" w:hAnsi="Aptos"/>
              <w:color w:val="000000"/>
              <w:sz w:val="20"/>
              <w:szCs w:val="20"/>
            </w:rPr>
            <w:t>2026 vols ) &lt;</w:t>
          </w:r>
          <w:hyperlink r:id="rId19" w:tgtFrame="_blank" w:history="1">
            <w:r>
              <w:rPr>
                <w:rStyle w:val="Hyperlink"/>
                <w:rFonts w:ascii="Aptos" w:hAnsi="Aptos"/>
                <w:sz w:val="20"/>
                <w:szCs w:val="20"/>
              </w:rPr>
              <w:t>https://collezioni.museoegizio.it/en-GB/material/Cat_1593</w:t>
            </w:r>
          </w:hyperlink>
          <w:r>
            <w:rPr>
              <w:rFonts w:ascii="Aptos" w:hAnsi="Aptos"/>
              <w:color w:val="000000"/>
              <w:sz w:val="20"/>
              <w:szCs w:val="20"/>
            </w:rPr>
            <w:t>&gt; [accessed 18/03/2026]</w:t>
          </w:r>
        </w:p>
        <w:p w14:paraId="01996A68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Pinch, Geraldine,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Egyptian Mythology: A Guide to the Gods, Goddesses, and Traditions of Ancient Egypt.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(Oxford: Oxford University Press, 2004)</w:t>
          </w:r>
        </w:p>
        <w:p w14:paraId="7593C389" w14:textId="77777777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Richard H. Wilkinson,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The Complete Gods and Goddesses of Ancient Egypt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(New York: Thames Hudson, 2003)</w:t>
          </w:r>
        </w:p>
        <w:p w14:paraId="40C161F8" w14:textId="716B357B" w:rsidR="00EF4ECE" w:rsidRDefault="00EF4ECE" w:rsidP="00DA4967">
          <w:pPr>
            <w:pStyle w:val="NormalWeb"/>
            <w:rPr>
              <w:rFonts w:ascii="Aptos" w:hAnsi="Aptos"/>
              <w:color w:val="000000"/>
              <w:sz w:val="20"/>
              <w:szCs w:val="20"/>
            </w:rPr>
          </w:pPr>
          <w:proofErr w:type="spellStart"/>
          <w:r>
            <w:rPr>
              <w:rFonts w:ascii="Aptos" w:hAnsi="Aptos"/>
              <w:color w:val="000000"/>
              <w:sz w:val="20"/>
              <w:szCs w:val="20"/>
            </w:rPr>
            <w:t>Szpakowska</w:t>
          </w:r>
          <w:proofErr w:type="spellEnd"/>
          <w:r>
            <w:rPr>
              <w:rFonts w:ascii="Aptos" w:hAnsi="Aptos"/>
              <w:color w:val="000000"/>
              <w:sz w:val="20"/>
              <w:szCs w:val="20"/>
            </w:rPr>
            <w:t>, Kasia, 'Religion in Society:</w:t>
          </w:r>
          <w:r>
            <w:rPr>
              <w:rFonts w:ascii="Aptos" w:hAnsi="Aptos"/>
              <w:color w:val="000000"/>
              <w:sz w:val="20"/>
              <w:szCs w:val="20"/>
            </w:rPr>
            <w:br/>
            <w:t xml:space="preserve">Pharaonic', in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A Companion to Ancient Egypt</w:t>
          </w:r>
          <w:r>
            <w:rPr>
              <w:rFonts w:ascii="Aptos" w:hAnsi="Aptos"/>
              <w:color w:val="000000"/>
              <w:sz w:val="20"/>
              <w:szCs w:val="20"/>
            </w:rPr>
            <w:t>, ed. by Alan B. Lloyd</w:t>
          </w:r>
          <w:r w:rsidR="00DA4967">
            <w:rPr>
              <w:rFonts w:ascii="Aptos" w:hAnsi="Aptos"/>
              <w:color w:val="000000"/>
              <w:sz w:val="20"/>
              <w:szCs w:val="20"/>
            </w:rPr>
            <w:t xml:space="preserve"> </w:t>
          </w:r>
          <w:r>
            <w:rPr>
              <w:rFonts w:ascii="Aptos" w:hAnsi="Aptos"/>
              <w:color w:val="000000"/>
              <w:sz w:val="20"/>
              <w:szCs w:val="20"/>
            </w:rPr>
            <w:t>(Wiley-Blackwell, 2010)</w:t>
          </w:r>
        </w:p>
        <w:p w14:paraId="55D84E92" w14:textId="77777777" w:rsidR="00EF4ECE" w:rsidRDefault="00EF4ECE" w:rsidP="00DA4967">
          <w:pPr>
            <w:pStyle w:val="NormalWeb"/>
            <w:ind w:left="450" w:hanging="450"/>
            <w:rPr>
              <w:rFonts w:ascii="Aptos" w:hAnsi="Aptos"/>
              <w:color w:val="000000"/>
              <w:sz w:val="20"/>
              <w:szCs w:val="20"/>
            </w:rPr>
          </w:pPr>
          <w:r>
            <w:rPr>
              <w:rFonts w:ascii="Aptos" w:hAnsi="Aptos"/>
              <w:color w:val="000000"/>
              <w:sz w:val="20"/>
              <w:szCs w:val="20"/>
            </w:rPr>
            <w:t xml:space="preserve">Wilkinson, Richard H., </w:t>
          </w:r>
          <w:r>
            <w:rPr>
              <w:rFonts w:ascii="Aptos" w:hAnsi="Aptos"/>
              <w:i/>
              <w:iCs/>
              <w:color w:val="000000"/>
              <w:sz w:val="20"/>
              <w:szCs w:val="20"/>
            </w:rPr>
            <w:t>Symbol and Magic in Egyptian Art</w:t>
          </w:r>
          <w:r>
            <w:rPr>
              <w:rFonts w:ascii="Aptos" w:hAnsi="Aptos"/>
              <w:color w:val="000000"/>
              <w:sz w:val="20"/>
              <w:szCs w:val="20"/>
            </w:rPr>
            <w:t xml:space="preserve"> (New York: Thames Hudson, 1994)</w:t>
          </w:r>
        </w:p>
        <w:p w14:paraId="315BE5BF" w14:textId="664B0AF5" w:rsidR="00511EBD" w:rsidRDefault="00000000" w:rsidP="00F62A13">
          <w:pPr>
            <w:spacing w:after="0"/>
          </w:pPr>
        </w:p>
      </w:sdtContent>
    </w:sdt>
    <w:p w14:paraId="561BF305" w14:textId="21396171" w:rsidR="00BC424C" w:rsidRPr="00F24B2D" w:rsidRDefault="00BC424C" w:rsidP="00F62A13">
      <w:pPr>
        <w:spacing w:after="0"/>
      </w:pPr>
    </w:p>
    <w:sectPr w:rsidR="00BC424C" w:rsidRPr="00F24B2D" w:rsidSect="007430F8">
      <w:footerReference w:type="default" r:id="rId20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74674" w14:textId="77777777" w:rsidR="00BE49BB" w:rsidRDefault="00BE49BB" w:rsidP="007430F8">
      <w:pPr>
        <w:spacing w:after="0" w:line="240" w:lineRule="auto"/>
      </w:pPr>
      <w:r>
        <w:separator/>
      </w:r>
    </w:p>
  </w:endnote>
  <w:endnote w:type="continuationSeparator" w:id="0">
    <w:p w14:paraId="69A4FC5F" w14:textId="77777777" w:rsidR="00BE49BB" w:rsidRDefault="00BE49BB" w:rsidP="00743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63651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C5BB93" w14:textId="3393C1EC" w:rsidR="007430F8" w:rsidRDefault="007430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0B5CA3" w14:textId="77777777" w:rsidR="007430F8" w:rsidRDefault="007430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F774E" w14:textId="77777777" w:rsidR="00BE49BB" w:rsidRDefault="00BE49BB" w:rsidP="007430F8">
      <w:pPr>
        <w:spacing w:after="0" w:line="240" w:lineRule="auto"/>
      </w:pPr>
      <w:r>
        <w:separator/>
      </w:r>
    </w:p>
  </w:footnote>
  <w:footnote w:type="continuationSeparator" w:id="0">
    <w:p w14:paraId="69B0DCAD" w14:textId="77777777" w:rsidR="00BE49BB" w:rsidRDefault="00BE49BB" w:rsidP="007430F8">
      <w:pPr>
        <w:spacing w:after="0" w:line="240" w:lineRule="auto"/>
      </w:pPr>
      <w:r>
        <w:continuationSeparator/>
      </w:r>
    </w:p>
  </w:footnote>
  <w:footnote w:id="1">
    <w:p w14:paraId="3A349E30" w14:textId="069539D9" w:rsidR="00DC672E" w:rsidRDefault="00DC67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a93e7a1e1904921cb9239&quot;],&quot;referencesOptions&quot;:{&quot;doc:69ba93e7a1e1904921cb923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53889497,&quot;citationText&quot;:&quot;&lt;span style=\&quot;font-family:Aptos;font-size:13.333333333333332px;color:#000000\&quot;&gt;&amp;amp;nbsp Szpakowska and Kasia, 'Religion in Society:&lt;br/&gt;Pharaonic', in &lt;i&gt;A Companion to Ancient Egypt&lt;/i&gt;, ed. by Alan B. Lloyd (Wiley-Blackwell, 2010).&lt;/span&gt;&quot;}"/>
          <w:id w:val="153889497"/>
          <w:placeholder>
            <w:docPart w:val="E5B5E43F67C64141983CBE4E52FC1DC5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>&amp;</w:t>
          </w:r>
          <w:proofErr w:type="spellStart"/>
          <w:r w:rsidR="00EF4ECE">
            <w:rPr>
              <w:rFonts w:ascii="Aptos" w:eastAsia="Times New Roman" w:hAnsi="Aptos"/>
              <w:color w:val="000000"/>
            </w:rPr>
            <w:t>nbsp</w:t>
          </w:r>
          <w:proofErr w:type="spellEnd"/>
          <w:r w:rsidR="00EF4ECE">
            <w:rPr>
              <w:rFonts w:ascii="Aptos" w:eastAsia="Times New Roman" w:hAnsi="Aptos"/>
              <w:color w:val="000000"/>
            </w:rPr>
            <w:t xml:space="preserve"> </w:t>
          </w:r>
          <w:proofErr w:type="spellStart"/>
          <w:r w:rsidR="00EF4ECE">
            <w:rPr>
              <w:rFonts w:ascii="Aptos" w:eastAsia="Times New Roman" w:hAnsi="Aptos"/>
              <w:color w:val="000000"/>
            </w:rPr>
            <w:t>Szpakowska</w:t>
          </w:r>
          <w:proofErr w:type="spellEnd"/>
          <w:r w:rsidR="00EF4ECE">
            <w:rPr>
              <w:rFonts w:ascii="Aptos" w:eastAsia="Times New Roman" w:hAnsi="Aptos"/>
              <w:color w:val="000000"/>
            </w:rPr>
            <w:t xml:space="preserve"> and Kasia, 'Religion in Society:</w:t>
          </w:r>
          <w:r w:rsidR="00EF4ECE">
            <w:rPr>
              <w:rFonts w:ascii="Aptos" w:eastAsia="Times New Roman" w:hAnsi="Aptos"/>
              <w:color w:val="000000"/>
            </w:rPr>
            <w:br/>
            <w:t xml:space="preserve">Pharaonic', in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A Companion to Ancient Egypt</w:t>
          </w:r>
          <w:r w:rsidR="00EF4ECE">
            <w:rPr>
              <w:rFonts w:ascii="Aptos" w:eastAsia="Times New Roman" w:hAnsi="Aptos"/>
              <w:color w:val="000000"/>
            </w:rPr>
            <w:t>, ed. by Alan B. Lloyd (Wiley-Blackwell, 2010).</w:t>
          </w:r>
        </w:sdtContent>
      </w:sdt>
    </w:p>
  </w:footnote>
  <w:footnote w:id="2">
    <w:p w14:paraId="16F0A3C1" w14:textId="7A6EE12E" w:rsidR="00AD15FF" w:rsidRDefault="00AD15F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a96a1b8dfaa2ebaaec340&quot;],&quot;referencesOptions&quot;:{&quot;doc:69ba96a1b8dfaa2ebaaec34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19743867,&quot;citationText&quot;:&quot;&lt;span style=\&quot;font-family:Aptos;font-size:13.333333333333332px;color:#000000\&quot;&gt;anon, &lt;i&gt;Statuette of the Goddess Renenutet, &lt;/i&gt;2026 vols  &lt;&lt;a href='https://egypt-museum.com/statuette-of-the-goddess-renenutet/' target='_blank'&gt;https://egypt-museum.com/statuette-of-the-goddess-renenutet/&lt;/a&gt;&gt; [accessed 18/03/2026].&lt;/span&gt;&quot;}"/>
          <w:id w:val="119743867"/>
          <w:placeholder>
            <w:docPart w:val="37649730DDB5406A9937EBCACC9134AA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anon,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 xml:space="preserve">Statuette of the Goddess Renenutet, </w:t>
          </w:r>
          <w:r w:rsidR="00EF4ECE">
            <w:rPr>
              <w:rFonts w:ascii="Aptos" w:eastAsia="Times New Roman" w:hAnsi="Aptos"/>
              <w:color w:val="000000"/>
            </w:rPr>
            <w:t>2026 vols &lt;</w:t>
          </w:r>
          <w:hyperlink r:id="rId1" w:tgtFrame="_blank" w:history="1">
            <w:r w:rsidR="00EF4ECE">
              <w:rPr>
                <w:rStyle w:val="Hyperlink"/>
                <w:rFonts w:ascii="Aptos" w:eastAsia="Times New Roman" w:hAnsi="Aptos"/>
              </w:rPr>
              <w:t>https://egypt-museum.com/statuette-of-the-goddess-renenutet/</w:t>
            </w:r>
          </w:hyperlink>
          <w:r w:rsidR="00EF4ECE">
            <w:rPr>
              <w:rFonts w:ascii="Aptos" w:eastAsia="Times New Roman" w:hAnsi="Aptos"/>
              <w:color w:val="000000"/>
            </w:rPr>
            <w:t>&gt; [accessed 18/03/2026].</w:t>
          </w:r>
        </w:sdtContent>
      </w:sdt>
    </w:p>
  </w:footnote>
  <w:footnote w:id="3">
    <w:p w14:paraId="7ED58258" w14:textId="1AF7ACD7" w:rsidR="00B65BB2" w:rsidRDefault="00B65B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a9b9d278e9f4f42f98548&quot;],&quot;referencesOptions&quot;:{&quot;doc:69ba9b9d278e9f4f42f98548&quot;:{&quot;author&quot;:true,&quot;year&quot;:true,&quot;formatAuthorYear&quot;:false,&quot;pageReplace&quot;:&quot;&quot;,&quot;additionalField&quot;:&quot;Page&quot;,&quot;additionalValue&quot;:&quot;129&quot;,&quot;prefix&quot;:&quot;&quot;,&quot;suffix&quot;:&quot;&quot;}},&quot;hasBrokenReferences&quot;:false,&quot;hasManualEdits&quot;:false,&quot;isEmpty&quot;:false,&quot;citationType&quot;:&quot;note&quot;,&quot;id&quot;:-701323491,&quot;citationText&quot;:&quot;&lt;span style=\&quot;font-family:Aptos;font-size:13.333333333333332px;color:#000000\&quot;&gt;Geraldine Pinch, &lt;i&gt;Egyptian Mythology: A Guide to the Gods, Goddesses, and Traditions of Ancient Egypt.&lt;/i&gt; (Oxford: Oxford University Press, 2004), p. 129.&lt;/span&gt;&quot;}"/>
          <w:id w:val="-701323491"/>
          <w:placeholder>
            <w:docPart w:val="2483CA0794D34FD79DC4A4E87480AD70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Geraldine Pinch,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Egyptian Mythology: A Guide to the Gods, Goddesses, and Traditions of Ancient Egypt.</w:t>
          </w:r>
          <w:r w:rsidR="00EF4ECE">
            <w:rPr>
              <w:rFonts w:ascii="Aptos" w:eastAsia="Times New Roman" w:hAnsi="Aptos"/>
              <w:color w:val="000000"/>
            </w:rPr>
            <w:t xml:space="preserve"> (Oxford: Oxford University Press, 2004), p. 129.</w:t>
          </w:r>
        </w:sdtContent>
      </w:sdt>
    </w:p>
  </w:footnote>
  <w:footnote w:id="4">
    <w:p w14:paraId="6FFD17EB" w14:textId="736EACC3" w:rsidR="00485E9A" w:rsidRPr="00485E9A" w:rsidRDefault="00485E9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46aa1a16683b5102c1bd&quot;],&quot;referencesOptions&quot;:{&quot;doc:69b146aa1a16683b5102c1bd&quot;:{&quot;author&quot;:true,&quot;year&quot;:true,&quot;formatAuthorYear&quot;:false,&quot;pageReplace&quot;:&quot;&quot;,&quot;additionalField&quot;:&quot;Page&quot;,&quot;additionalValue&quot;:&quot;8&quot;,&quot;prefix&quot;:&quot;&quot;,&quot;suffix&quot;:&quot;&quot;}},&quot;hasBrokenReferences&quot;:false,&quot;hasManualEdits&quot;:false,&quot;isEmpty&quot;:false,&quot;citationType&quot;:&quot;note&quot;,&quot;id&quot;:1429626513,&quot;citationText&quot;:&quot;&lt;span style=\&quot;font-family:Aptos;font-size:13.333333333333332px;color:#000000\&quot;&gt;A.G. McDowell, &lt;i&gt;Village Life in Ancient Egypt: Laundry Lists and Love Songs&lt;/i&gt; (Oxford: Oxford University Press, 1999), p. 8.&lt;/span&gt;&quot;}"/>
          <w:id w:val="1429626513"/>
          <w:placeholder>
            <w:docPart w:val="4A6C56AA056844CBB39537745B37F186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A.G. McDowell,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Village Life in Ancient Egypt: Laundry Lists and Love Songs</w:t>
          </w:r>
          <w:r w:rsidR="00EF4ECE">
            <w:rPr>
              <w:rFonts w:ascii="Aptos" w:eastAsia="Times New Roman" w:hAnsi="Aptos"/>
              <w:color w:val="000000"/>
            </w:rPr>
            <w:t xml:space="preserve"> (Oxford: Oxford University Press, 1999), p. 8.</w:t>
          </w:r>
        </w:sdtContent>
      </w:sdt>
    </w:p>
  </w:footnote>
  <w:footnote w:id="5">
    <w:p w14:paraId="790705D3" w14:textId="4CD6BFCD" w:rsidR="00342631" w:rsidRDefault="003426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4b5f65fb3041e20f2136&quot;],&quot;referencesOptions&quot;:{&quot;doc:69b14b5f65fb3041e20f2136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note&quot;,&quot;id&quot;:1181008368,&quot;citationText&quot;:&quot;&lt;span style=\&quot;font-family:Aptos;font-size:13.333333333333332px;color:#000000\&quot;&gt;John Romer, &lt;i&gt;Ancient Lives. the Story of the Pharaohs Tombmakers&lt;/i&gt; (London: George Weidenfeld &amp;amp; Nicolson Ltd, 1984), p. 113.&lt;/span&gt;&quot;}"/>
          <w:id w:val="1181008368"/>
          <w:placeholder>
            <w:docPart w:val="C82359EBE2C247C287437010E94B127E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John Romer,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 xml:space="preserve">Ancient Lives. the Story of the Pharaohs </w:t>
          </w:r>
          <w:proofErr w:type="spellStart"/>
          <w:r w:rsidR="00EF4ECE">
            <w:rPr>
              <w:rFonts w:ascii="Aptos" w:eastAsia="Times New Roman" w:hAnsi="Aptos"/>
              <w:i/>
              <w:iCs/>
              <w:color w:val="000000"/>
            </w:rPr>
            <w:t>Tombmakers</w:t>
          </w:r>
          <w:proofErr w:type="spellEnd"/>
          <w:r w:rsidR="00EF4ECE">
            <w:rPr>
              <w:rFonts w:ascii="Aptos" w:eastAsia="Times New Roman" w:hAnsi="Aptos"/>
              <w:color w:val="000000"/>
            </w:rPr>
            <w:t xml:space="preserve"> (London: George Weidenfeld &amp; Nicolson Ltd, 1984), p. 113.</w:t>
          </w:r>
        </w:sdtContent>
      </w:sdt>
    </w:p>
  </w:footnote>
  <w:footnote w:id="6">
    <w:p w14:paraId="1EB18AF5" w14:textId="37946975" w:rsidR="00E160AB" w:rsidRDefault="00E160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46aa1a16683b5102c1bd&quot;],&quot;referencesOptions&quot;:{&quot;doc:69b146aa1a16683b5102c1bd&quot;:{&quot;author&quot;:true,&quot;year&quot;:true,&quot;formatAuthorYear&quot;:false,&quot;pageReplace&quot;:&quot;&quot;,&quot;additionalField&quot;:&quot;Page&quot;,&quot;additionalValue&quot;:&quot;92&quot;,&quot;prefix&quot;:&quot;&quot;,&quot;suffix&quot;:&quot;&quot;}},&quot;hasBrokenReferences&quot;:false,&quot;hasManualEdits&quot;:false,&quot;isEmpty&quot;:false,&quot;citationType&quot;:&quot;note&quot;,&quot;id&quot;:96062613,&quot;citationText&quot;:&quot;&lt;span style=\&quot;font-family:Aptos;font-size:13.333333333333332px;color:#000000\&quot;&gt;A.G. McDowell, , p. 92&lt;/span&gt;&quot;}"/>
          <w:id w:val="96062613"/>
          <w:placeholder>
            <w:docPart w:val="2E1556D25CD44005A7FAD705BFE9B6E6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>A.G. McDowell</w:t>
          </w:r>
          <w:proofErr w:type="gramStart"/>
          <w:r w:rsidR="00EF4ECE">
            <w:rPr>
              <w:rFonts w:ascii="Aptos" w:eastAsia="Times New Roman" w:hAnsi="Aptos"/>
              <w:color w:val="000000"/>
            </w:rPr>
            <w:t>, ,</w:t>
          </w:r>
          <w:proofErr w:type="gramEnd"/>
          <w:r w:rsidR="00EF4ECE">
            <w:rPr>
              <w:rFonts w:ascii="Aptos" w:eastAsia="Times New Roman" w:hAnsi="Aptos"/>
              <w:color w:val="000000"/>
            </w:rPr>
            <w:t xml:space="preserve"> p. 92</w:t>
          </w:r>
        </w:sdtContent>
      </w:sdt>
    </w:p>
  </w:footnote>
  <w:footnote w:id="7">
    <w:p w14:paraId="0E83B65C" w14:textId="40ECBFFC" w:rsidR="00AB40D7" w:rsidRDefault="00AB40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46aa1a16683b5102c1bd&quot;],&quot;referencesOptions&quot;:{&quot;doc:69b146aa1a16683b5102c1bd&quot;:{&quot;author&quot;:true,&quot;year&quot;:true,&quot;formatAuthorYear&quot;:false,&quot;pageReplace&quot;:&quot;&quot;,&quot;additionalField&quot;:&quot;Page&quot;,&quot;additionalValue&quot;:&quot;100&quot;,&quot;prefix&quot;:&quot;&quot;,&quot;suffix&quot;:&quot;&quot;}},&quot;hasBrokenReferences&quot;:false,&quot;hasManualEdits&quot;:false,&quot;isEmpty&quot;:false,&quot;citationType&quot;:&quot;note&quot;,&quot;id&quot;:-1601165548,&quot;citationText&quot;:&quot;&lt;span style=\&quot;font-family:Aptos;font-size:13.333333333333332px;color:#000000\&quot;&gt;A.G. McDowell, &lt;i&gt;Village Life in Ancient Egypt: Laundry Lists and Love Songs&lt;/i&gt; (Oxford: Oxford University Press, 1999), p. 100.&lt;/span&gt;&quot;}"/>
          <w:id w:val="-1601165548"/>
          <w:placeholder>
            <w:docPart w:val="BD7A19171BBE44A9A9748FD11FEE48D8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A.G. McDowell,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Village Life in Ancient Egypt: Laundry Lists and Love Songs</w:t>
          </w:r>
          <w:r w:rsidR="00EF4ECE">
            <w:rPr>
              <w:rFonts w:ascii="Aptos" w:eastAsia="Times New Roman" w:hAnsi="Aptos"/>
              <w:color w:val="000000"/>
            </w:rPr>
            <w:t xml:space="preserve"> (Oxford: Oxford University Press, 1999), p. 100.</w:t>
          </w:r>
        </w:sdtContent>
      </w:sdt>
    </w:p>
  </w:footnote>
  <w:footnote w:id="8">
    <w:p w14:paraId="28CD8A71" w14:textId="2A70FB46" w:rsidR="00C166BC" w:rsidRDefault="00C166BC" w:rsidP="00C166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008fb718ddf74a5a3c86a&quot;],&quot;referencesOptions&quot;:{&quot;doc:69b008fb718ddf74a5a3c86a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note&quot;,&quot;id&quot;:2031991722,&quot;citationText&quot;:&quot;&lt;span style=\&quot;font-family:Aptos;font-size:13.333333333333332px;color:#000000\&quot;&gt;Richard H. Wilkinson, &lt;i&gt;The Complete Gods and Goddesses of Ancient Egypt&lt;/i&gt; (New York: Thames Hudson, 2003), p. 224.&lt;/span&gt;&quot;}"/>
          <w:id w:val="2031991722"/>
          <w:placeholder>
            <w:docPart w:val="3310967512534EC992A70D791AF09CF8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Richard H. Wilkinson,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The Complete Gods and Goddesses of Ancient Egypt</w:t>
          </w:r>
          <w:r w:rsidR="00EF4ECE">
            <w:rPr>
              <w:rFonts w:ascii="Aptos" w:eastAsia="Times New Roman" w:hAnsi="Aptos"/>
              <w:color w:val="000000"/>
            </w:rPr>
            <w:t xml:space="preserve"> (New York: Thames Hudson, 2003), p. 224.</w:t>
          </w:r>
        </w:sdtContent>
      </w:sdt>
    </w:p>
  </w:footnote>
  <w:footnote w:id="9">
    <w:p w14:paraId="6269B2E4" w14:textId="134165B1" w:rsidR="00181FF8" w:rsidRPr="00181FF8" w:rsidRDefault="00181FF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46aa1a16683b5102c1bd&quot;],&quot;referencesOptions&quot;:{&quot;doc:69b146aa1a16683b5102c1bd&quot;:{&quot;author&quot;:true,&quot;year&quot;:true,&quot;formatAuthorYear&quot;:false,&quot;additionalField&quot;:&quot;Page&quot;,&quot;additionalValue&quot;:&quot;239&quot;,&quot;prefix&quot;:&quot;&quot;,&quot;suffix&quot;:&quot;&quot;}},&quot;hasBrokenReferences&quot;:false,&quot;hasManualEdits&quot;:false,&quot;isEmpty&quot;:false,&quot;citationType&quot;:&quot;note&quot;,&quot;id&quot;:-1695226436,&quot;citationText&quot;:&quot;&lt;span style=\&quot;font-family:Aptos;font-size:13.333333333333332px;color:#000000\&quot;&gt;A.G. McDowell, , p. 239&lt;/span&gt;&quot;}"/>
          <w:id w:val="-1695226436"/>
          <w:placeholder>
            <w:docPart w:val="9CCB346CD4504691A8B244B5C284104F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>A.G. McDowell</w:t>
          </w:r>
          <w:proofErr w:type="gramStart"/>
          <w:r w:rsidR="00EF4ECE">
            <w:rPr>
              <w:rFonts w:ascii="Aptos" w:eastAsia="Times New Roman" w:hAnsi="Aptos"/>
              <w:color w:val="000000"/>
            </w:rPr>
            <w:t>, ,</w:t>
          </w:r>
          <w:proofErr w:type="gramEnd"/>
          <w:r w:rsidR="00EF4ECE">
            <w:rPr>
              <w:rFonts w:ascii="Aptos" w:eastAsia="Times New Roman" w:hAnsi="Aptos"/>
              <w:color w:val="000000"/>
            </w:rPr>
            <w:t xml:space="preserve"> p. 239</w:t>
          </w:r>
        </w:sdtContent>
      </w:sdt>
    </w:p>
  </w:footnote>
  <w:footnote w:id="10">
    <w:p w14:paraId="5625678F" w14:textId="17D3184B" w:rsidR="001708CE" w:rsidRPr="001708CE" w:rsidRDefault="001708C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2907e0b41582de0612ea4&quot;],&quot;referencesOptions&quot;:{&quot;doc:69b2907e0b41582de0612ea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-489405363,&quot;citationText&quot;:&quot;&lt;span style=\&quot;font-family:Aptos;font-size:13.333333333333332px;color:#000000\&quot;&gt;C. R. Badcock, &lt;i&gt;Levi-Strauss: Structuralism and Sociological Theory&lt;/i&gt; (London: Hutchinson and Co. Limited, 1977).&lt;/span&gt;&quot;}"/>
          <w:id w:val="-489405363"/>
          <w:placeholder>
            <w:docPart w:val="878D743F506A426B86553EB6D6857F18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C. R. Badcock,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Levi-Strauss: Structuralism and Sociological Theory</w:t>
          </w:r>
          <w:r w:rsidR="00EF4ECE">
            <w:rPr>
              <w:rFonts w:ascii="Aptos" w:eastAsia="Times New Roman" w:hAnsi="Aptos"/>
              <w:color w:val="000000"/>
            </w:rPr>
            <w:t xml:space="preserve"> (London: Hutchinson and Co. Limited, 1977).</w:t>
          </w:r>
        </w:sdtContent>
      </w:sdt>
    </w:p>
  </w:footnote>
  <w:footnote w:id="11">
    <w:p w14:paraId="1DAB30B2" w14:textId="771EDF0B" w:rsidR="00B52898" w:rsidRPr="00B52898" w:rsidRDefault="00B5289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a37fa1e1904921caa361&quot;],&quot;referencesOptions&quot;:{&quot;doc:69b1a37fa1e1904921caa3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980491050,&quot;citationText&quot;:&quot;&lt;span style=\&quot;font-family:Aptos;font-size:13.333333333333332px;color:#000000\&quot;&gt;Roland Barthes, &lt;i&gt;Music Image Text&lt;/i&gt; (London: Fontana Press, 1977).&lt;/span&gt;&quot;}"/>
          <w:id w:val="1980491050"/>
          <w:placeholder>
            <w:docPart w:val="B75B5E99309949B59D355521A589C03E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Roland Barthes,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Music Image Text</w:t>
          </w:r>
          <w:r w:rsidR="00EF4ECE">
            <w:rPr>
              <w:rFonts w:ascii="Aptos" w:eastAsia="Times New Roman" w:hAnsi="Aptos"/>
              <w:color w:val="000000"/>
            </w:rPr>
            <w:t xml:space="preserve"> (London: Fontana Press, 1977).</w:t>
          </w:r>
        </w:sdtContent>
      </w:sdt>
    </w:p>
  </w:footnote>
  <w:footnote w:id="12">
    <w:p w14:paraId="2611AF34" w14:textId="0FF5F0B5" w:rsidR="00EE482C" w:rsidRPr="00EE482C" w:rsidRDefault="00EE482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a37fa1e1904921caa361&quot;],&quot;referencesOptions&quot;:{&quot;doc:69b1a37fa1e1904921caa361&quot;:{&quot;author&quot;:true,&quot;year&quot;:true,&quot;formatAuthorYear&quot;:false,&quot;pageReplace&quot;:&quot;&quot;,&quot;additionalField&quot;:&quot;Page&quot;,&quot;additionalValue&quot;:&quot;15&quot;,&quot;prefix&quot;:&quot;&quot;,&quot;suffix&quot;:&quot;&quot;}},&quot;hasBrokenReferences&quot;:false,&quot;hasManualEdits&quot;:false,&quot;isEmpty&quot;:false,&quot;citationType&quot;:&quot;inline&quot;,&quot;id&quot;:-226456569,&quot;citationText&quot;:&quot;&lt;span style=\&quot;font-family:Aptos;font-size:13.333333333333332px;color:#000000\&quot;&gt;(Barthes 1977: 15)&lt;/span&gt;&quot;}"/>
          <w:id w:val="-226456569"/>
          <w:placeholder>
            <w:docPart w:val="30811064BF32471F9F0908DC996BB4FF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>(Barthes 1977: 15)</w:t>
          </w:r>
        </w:sdtContent>
      </w:sdt>
    </w:p>
  </w:footnote>
  <w:footnote w:id="13">
    <w:p w14:paraId="10D46063" w14:textId="1D193028" w:rsidR="00B64F61" w:rsidRDefault="00B64F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1b2d40b41582de0612083&quot;],&quot;referencesOptions&quot;:{&quot;doc:69b1b2d40b41582de061208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100226818,&quot;citationText&quot;:&quot;&lt;span style=\&quot;font-family:Aptos;font-size:13.333333333333332px;color:#000000\&quot;&gt;&lt;i&gt;Statue of the Protective Goddess Meretseger&lt;/i&gt;2026 vols  &lt;&lt;a href='https://egypt-museum.com/statue-of-the-protective-goddess-meretseger/' target='_blank'&gt;https://egypt-museum.com/statue-of-the-protective-goddess-meretseger/&lt;/a&gt;&gt; [accessed 11/03/2026].&lt;/span&gt;&quot;}"/>
          <w:id w:val="1100226818"/>
          <w:placeholder>
            <w:docPart w:val="A0FACDFD274D41A2A513DF440524CD66"/>
          </w:placeholder>
        </w:sdtPr>
        <w:sdtContent>
          <w:r w:rsidR="00EF4ECE">
            <w:rPr>
              <w:rFonts w:ascii="Aptos" w:eastAsia="Times New Roman" w:hAnsi="Aptos"/>
              <w:i/>
              <w:iCs/>
              <w:color w:val="000000"/>
            </w:rPr>
            <w:t>Statue of the Protective Goddess Meretseger</w:t>
          </w:r>
          <w:r w:rsidR="00EF4ECE">
            <w:rPr>
              <w:rFonts w:ascii="Aptos" w:eastAsia="Times New Roman" w:hAnsi="Aptos"/>
              <w:color w:val="000000"/>
            </w:rPr>
            <w:t>2026 vols &lt;</w:t>
          </w:r>
          <w:hyperlink r:id="rId2" w:tgtFrame="_blank" w:history="1">
            <w:r w:rsidR="00EF4ECE">
              <w:rPr>
                <w:rStyle w:val="Hyperlink"/>
                <w:rFonts w:ascii="Aptos" w:eastAsia="Times New Roman" w:hAnsi="Aptos"/>
              </w:rPr>
              <w:t>https://egypt-museum.com/statue-of-the-protective-goddess-meretseger/</w:t>
            </w:r>
          </w:hyperlink>
          <w:r w:rsidR="00EF4ECE">
            <w:rPr>
              <w:rFonts w:ascii="Aptos" w:eastAsia="Times New Roman" w:hAnsi="Aptos"/>
              <w:color w:val="000000"/>
            </w:rPr>
            <w:t>&gt; [accessed 11/03/2026].</w:t>
          </w:r>
        </w:sdtContent>
      </w:sdt>
    </w:p>
  </w:footnote>
  <w:footnote w:id="14">
    <w:p w14:paraId="7B890C80" w14:textId="025F1DF5" w:rsidR="00626343" w:rsidRDefault="006263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bdee6b22dc977327db4df&quot;],&quot;referencesOptions&quot;:{&quot;doc:69bbdee6b22dc977327db4df&quot;:{&quot;author&quot;:true,&quot;year&quot;:true,&quot;formatAuthorYear&quot;:false,&quot;additionalField&quot;:&quot;Page&quot;,&quot;additionalValue&quot;:&quot;106&quot;,&quot;prefix&quot;:&quot;&quot;,&quot;suffix&quot;:&quot;&quot;}},&quot;hasBrokenReferences&quot;:false,&quot;hasManualEdits&quot;:false,&quot;isEmpty&quot;:false,&quot;citationType&quot;:&quot;note&quot;,&quot;id&quot;:372740939,&quot;citationText&quot;:&quot;&lt;span style=\&quot;font-family:Aptos;font-size:13.333333333333332px;color:#000000\&quot;&gt;Richard H. Wilkinson, &lt;i&gt;Symbol and Magic in Egyptian Art&lt;/i&gt; (New York: Thames Hudson, 1994), p. 106.&lt;/span&gt;&quot;}"/>
          <w:id w:val="372740939"/>
          <w:placeholder>
            <w:docPart w:val="C24F7337B9F74C0D80732C3DC27462C4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Richard H. Wilkinson,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Symbol and Magic in Egyptian Art</w:t>
          </w:r>
          <w:r w:rsidR="00EF4ECE">
            <w:rPr>
              <w:rFonts w:ascii="Aptos" w:eastAsia="Times New Roman" w:hAnsi="Aptos"/>
              <w:color w:val="000000"/>
            </w:rPr>
            <w:t xml:space="preserve"> (New York: Thames Hudson, 1994), p. 106.</w:t>
          </w:r>
        </w:sdtContent>
      </w:sdt>
    </w:p>
  </w:footnote>
  <w:footnote w:id="15">
    <w:p w14:paraId="0625D7C1" w14:textId="271FA11A" w:rsidR="007E4823" w:rsidRDefault="007E4823">
      <w:pPr>
        <w:pStyle w:val="FootnoteText"/>
      </w:pPr>
      <w:r>
        <w:rPr>
          <w:rStyle w:val="FootnoteReference"/>
        </w:rPr>
        <w:footnoteRef/>
      </w:r>
      <w:r>
        <w:t xml:space="preserve"> Panopticism is a concept developed by Foucault which </w:t>
      </w:r>
      <w:r w:rsidR="000339C0">
        <w:t xml:space="preserve">states that constant surveillance causes an individual to </w:t>
      </w:r>
      <w:r w:rsidR="002B6057">
        <w:t xml:space="preserve">internalise control and </w:t>
      </w:r>
      <w:r w:rsidR="00796B5F">
        <w:t>self-regulate</w:t>
      </w:r>
      <w:r w:rsidR="002B6057">
        <w:t xml:space="preserve"> behaviour.  It is fundamentally associated with the </w:t>
      </w:r>
      <w:r w:rsidR="00F6082A">
        <w:t xml:space="preserve">relationships between the powerful and the powerless and is a central facet of control. </w:t>
      </w:r>
      <w:r w:rsidR="002B6057">
        <w:t xml:space="preserve"> </w:t>
      </w:r>
      <w:r w:rsidR="00796B5F">
        <w:t xml:space="preserve">In this case, the control the Egyptian gods had over the people through ritual and </w:t>
      </w:r>
      <w:r w:rsidR="00254217">
        <w:t xml:space="preserve">cult. </w:t>
      </w:r>
    </w:p>
  </w:footnote>
  <w:footnote w:id="16">
    <w:p w14:paraId="29509A5B" w14:textId="0D4A2012" w:rsidR="001F775B" w:rsidRDefault="001F77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ae40105b44b79fa26bc1f&quot;],&quot;referencesOptions&quot;:{&quot;doc:69bae40105b44b79fa26bc1f&quot;:{&quot;author&quot;:true,&quot;year&quot;:true,&quot;formatAuthorYear&quot;:false,&quot;pageReplace&quot;:&quot;&quot;,&quot;additionalField&quot;:&quot;Page&quot;,&quot;additionalValue&quot;:&quot;135&quot;,&quot;prefix&quot;:&quot;&quot;,&quot;suffix&quot;:&quot;&quot;}},&quot;hasBrokenReferences&quot;:false,&quot;hasManualEdits&quot;:false,&quot;isEmpty&quot;:false,&quot;citationType&quot;:&quot;note&quot;,&quot;id&quot;:-1868593110,&quot;citationText&quot;:&quot;&lt;span style=\&quot;font-family:Aptos;font-size:13.333333333333332px;color:#000000\&quot;&gt;Michel Foucault, &lt;i&gt;Discipline and Punish: The Birth of the Prison&lt;/i&gt; (Penguin, 1977), p. 135.&lt;/span&gt;&quot;}"/>
          <w:id w:val="-1868593110"/>
          <w:placeholder>
            <w:docPart w:val="0554BBCA9C97407499626B76684AD239"/>
          </w:placeholder>
        </w:sdtPr>
        <w:sdtContent>
          <w:r w:rsidR="00EF4ECE">
            <w:rPr>
              <w:rFonts w:ascii="Aptos" w:eastAsia="Times New Roman" w:hAnsi="Aptos"/>
              <w:color w:val="000000"/>
            </w:rPr>
            <w:t xml:space="preserve">Michel Foucault, </w:t>
          </w:r>
          <w:r w:rsidR="00EF4ECE">
            <w:rPr>
              <w:rFonts w:ascii="Aptos" w:eastAsia="Times New Roman" w:hAnsi="Aptos"/>
              <w:i/>
              <w:iCs/>
              <w:color w:val="000000"/>
            </w:rPr>
            <w:t>Discipline and Punish: The Birth of the Prison</w:t>
          </w:r>
          <w:r w:rsidR="00EF4ECE">
            <w:rPr>
              <w:rFonts w:ascii="Aptos" w:eastAsia="Times New Roman" w:hAnsi="Aptos"/>
              <w:color w:val="000000"/>
            </w:rPr>
            <w:t xml:space="preserve"> (Penguin, 1977), p. 135.</w:t>
          </w:r>
        </w:sdtContent>
      </w:sdt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B140F"/>
    <w:multiLevelType w:val="multilevel"/>
    <w:tmpl w:val="2FCAB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961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0F8"/>
    <w:rsid w:val="0000179B"/>
    <w:rsid w:val="00003451"/>
    <w:rsid w:val="00004DCC"/>
    <w:rsid w:val="000101CD"/>
    <w:rsid w:val="00015DF5"/>
    <w:rsid w:val="0002096B"/>
    <w:rsid w:val="000271D5"/>
    <w:rsid w:val="000305C6"/>
    <w:rsid w:val="00032134"/>
    <w:rsid w:val="00032D86"/>
    <w:rsid w:val="000339C0"/>
    <w:rsid w:val="00036B8A"/>
    <w:rsid w:val="00040CB8"/>
    <w:rsid w:val="000447A5"/>
    <w:rsid w:val="00046D80"/>
    <w:rsid w:val="0005210E"/>
    <w:rsid w:val="00052A2B"/>
    <w:rsid w:val="000543FC"/>
    <w:rsid w:val="00054ED8"/>
    <w:rsid w:val="000555FE"/>
    <w:rsid w:val="0006008B"/>
    <w:rsid w:val="000601D2"/>
    <w:rsid w:val="00060DF7"/>
    <w:rsid w:val="00064CB9"/>
    <w:rsid w:val="00071949"/>
    <w:rsid w:val="000731A2"/>
    <w:rsid w:val="000818DE"/>
    <w:rsid w:val="00081BB6"/>
    <w:rsid w:val="000838CA"/>
    <w:rsid w:val="0008688C"/>
    <w:rsid w:val="000874EC"/>
    <w:rsid w:val="00087519"/>
    <w:rsid w:val="00093521"/>
    <w:rsid w:val="000A6072"/>
    <w:rsid w:val="000C3A18"/>
    <w:rsid w:val="000C6593"/>
    <w:rsid w:val="000D1D15"/>
    <w:rsid w:val="000D30D6"/>
    <w:rsid w:val="000D35CB"/>
    <w:rsid w:val="000D3C4E"/>
    <w:rsid w:val="000D49B4"/>
    <w:rsid w:val="000D5404"/>
    <w:rsid w:val="000D60AA"/>
    <w:rsid w:val="000D778D"/>
    <w:rsid w:val="000E3857"/>
    <w:rsid w:val="000E3B76"/>
    <w:rsid w:val="000E4435"/>
    <w:rsid w:val="000E7082"/>
    <w:rsid w:val="000F14DF"/>
    <w:rsid w:val="000F2696"/>
    <w:rsid w:val="000F4713"/>
    <w:rsid w:val="00103822"/>
    <w:rsid w:val="001056D8"/>
    <w:rsid w:val="00105C64"/>
    <w:rsid w:val="00125CDD"/>
    <w:rsid w:val="00130A54"/>
    <w:rsid w:val="00130B06"/>
    <w:rsid w:val="00133AAA"/>
    <w:rsid w:val="00133C7C"/>
    <w:rsid w:val="001424DD"/>
    <w:rsid w:val="00145F62"/>
    <w:rsid w:val="00147955"/>
    <w:rsid w:val="00150450"/>
    <w:rsid w:val="00151151"/>
    <w:rsid w:val="0015388F"/>
    <w:rsid w:val="001551EA"/>
    <w:rsid w:val="00157899"/>
    <w:rsid w:val="00160F22"/>
    <w:rsid w:val="00166273"/>
    <w:rsid w:val="001708CE"/>
    <w:rsid w:val="001726CB"/>
    <w:rsid w:val="0017744E"/>
    <w:rsid w:val="00177F82"/>
    <w:rsid w:val="00180401"/>
    <w:rsid w:val="00181FF8"/>
    <w:rsid w:val="001866C2"/>
    <w:rsid w:val="00187D48"/>
    <w:rsid w:val="001902DF"/>
    <w:rsid w:val="0019125F"/>
    <w:rsid w:val="00192F3B"/>
    <w:rsid w:val="001969E5"/>
    <w:rsid w:val="001970E7"/>
    <w:rsid w:val="001A0C0A"/>
    <w:rsid w:val="001A3EDF"/>
    <w:rsid w:val="001A797F"/>
    <w:rsid w:val="001B0B07"/>
    <w:rsid w:val="001B1F9B"/>
    <w:rsid w:val="001B2F04"/>
    <w:rsid w:val="001C30FA"/>
    <w:rsid w:val="001C67A5"/>
    <w:rsid w:val="001D3DC6"/>
    <w:rsid w:val="001D7061"/>
    <w:rsid w:val="001E2211"/>
    <w:rsid w:val="001E2B79"/>
    <w:rsid w:val="001E4970"/>
    <w:rsid w:val="001F1064"/>
    <w:rsid w:val="001F6CC1"/>
    <w:rsid w:val="001F775B"/>
    <w:rsid w:val="002045F9"/>
    <w:rsid w:val="0020753B"/>
    <w:rsid w:val="00211667"/>
    <w:rsid w:val="0021386C"/>
    <w:rsid w:val="00221070"/>
    <w:rsid w:val="002257E8"/>
    <w:rsid w:val="00225BE9"/>
    <w:rsid w:val="00225C16"/>
    <w:rsid w:val="002300A5"/>
    <w:rsid w:val="002315C3"/>
    <w:rsid w:val="002321AA"/>
    <w:rsid w:val="00234F61"/>
    <w:rsid w:val="002350F1"/>
    <w:rsid w:val="00236026"/>
    <w:rsid w:val="00245322"/>
    <w:rsid w:val="00245BA1"/>
    <w:rsid w:val="00246332"/>
    <w:rsid w:val="002476D7"/>
    <w:rsid w:val="00254217"/>
    <w:rsid w:val="0025435E"/>
    <w:rsid w:val="00254455"/>
    <w:rsid w:val="00262DB1"/>
    <w:rsid w:val="00262E2A"/>
    <w:rsid w:val="00263C39"/>
    <w:rsid w:val="00265967"/>
    <w:rsid w:val="00266F37"/>
    <w:rsid w:val="00267334"/>
    <w:rsid w:val="0026755D"/>
    <w:rsid w:val="00267B07"/>
    <w:rsid w:val="002824BE"/>
    <w:rsid w:val="002826BE"/>
    <w:rsid w:val="00285DF6"/>
    <w:rsid w:val="002861B2"/>
    <w:rsid w:val="00291385"/>
    <w:rsid w:val="002917DB"/>
    <w:rsid w:val="0029522D"/>
    <w:rsid w:val="002A028B"/>
    <w:rsid w:val="002A1DD0"/>
    <w:rsid w:val="002A2BA7"/>
    <w:rsid w:val="002A52C0"/>
    <w:rsid w:val="002A6B11"/>
    <w:rsid w:val="002B24AD"/>
    <w:rsid w:val="002B48DE"/>
    <w:rsid w:val="002B5B37"/>
    <w:rsid w:val="002B6057"/>
    <w:rsid w:val="002B65AA"/>
    <w:rsid w:val="002C0922"/>
    <w:rsid w:val="002D0E88"/>
    <w:rsid w:val="002D1C84"/>
    <w:rsid w:val="002D5136"/>
    <w:rsid w:val="002E417B"/>
    <w:rsid w:val="002E43D7"/>
    <w:rsid w:val="002E5E5F"/>
    <w:rsid w:val="002F3668"/>
    <w:rsid w:val="002F4030"/>
    <w:rsid w:val="00303079"/>
    <w:rsid w:val="00304D72"/>
    <w:rsid w:val="00305A63"/>
    <w:rsid w:val="00306AA3"/>
    <w:rsid w:val="0030721C"/>
    <w:rsid w:val="003166B5"/>
    <w:rsid w:val="003237B3"/>
    <w:rsid w:val="0032682B"/>
    <w:rsid w:val="00331ADC"/>
    <w:rsid w:val="00342631"/>
    <w:rsid w:val="003456E7"/>
    <w:rsid w:val="00350748"/>
    <w:rsid w:val="00350C0C"/>
    <w:rsid w:val="0035173A"/>
    <w:rsid w:val="00354D6F"/>
    <w:rsid w:val="00362B01"/>
    <w:rsid w:val="003643AD"/>
    <w:rsid w:val="00371C10"/>
    <w:rsid w:val="003815D4"/>
    <w:rsid w:val="00383BAB"/>
    <w:rsid w:val="0038487B"/>
    <w:rsid w:val="00384AC0"/>
    <w:rsid w:val="00386B0A"/>
    <w:rsid w:val="003910EE"/>
    <w:rsid w:val="003929B9"/>
    <w:rsid w:val="003944E5"/>
    <w:rsid w:val="00396ABC"/>
    <w:rsid w:val="003A2732"/>
    <w:rsid w:val="003A3052"/>
    <w:rsid w:val="003A3975"/>
    <w:rsid w:val="003A506F"/>
    <w:rsid w:val="003A52A6"/>
    <w:rsid w:val="003A5F9F"/>
    <w:rsid w:val="003A74D9"/>
    <w:rsid w:val="003B074E"/>
    <w:rsid w:val="003B45CD"/>
    <w:rsid w:val="003B7381"/>
    <w:rsid w:val="003D0765"/>
    <w:rsid w:val="003D1474"/>
    <w:rsid w:val="003D1F57"/>
    <w:rsid w:val="003D29F0"/>
    <w:rsid w:val="003D4DF9"/>
    <w:rsid w:val="003D7023"/>
    <w:rsid w:val="003D7849"/>
    <w:rsid w:val="003E7A20"/>
    <w:rsid w:val="003F191E"/>
    <w:rsid w:val="003F2543"/>
    <w:rsid w:val="003F38A8"/>
    <w:rsid w:val="003F6A44"/>
    <w:rsid w:val="00402E8A"/>
    <w:rsid w:val="00406F45"/>
    <w:rsid w:val="004158E6"/>
    <w:rsid w:val="004234A4"/>
    <w:rsid w:val="00424D52"/>
    <w:rsid w:val="00431783"/>
    <w:rsid w:val="004343BD"/>
    <w:rsid w:val="004357BA"/>
    <w:rsid w:val="00436703"/>
    <w:rsid w:val="00437BC3"/>
    <w:rsid w:val="00443EA1"/>
    <w:rsid w:val="00444617"/>
    <w:rsid w:val="00444745"/>
    <w:rsid w:val="00446640"/>
    <w:rsid w:val="00450258"/>
    <w:rsid w:val="0045272B"/>
    <w:rsid w:val="0045499D"/>
    <w:rsid w:val="0046147E"/>
    <w:rsid w:val="00463CA0"/>
    <w:rsid w:val="00465906"/>
    <w:rsid w:val="0047059F"/>
    <w:rsid w:val="0047479E"/>
    <w:rsid w:val="00475281"/>
    <w:rsid w:val="0047542B"/>
    <w:rsid w:val="00484C5C"/>
    <w:rsid w:val="00485E9A"/>
    <w:rsid w:val="0049051C"/>
    <w:rsid w:val="004910C9"/>
    <w:rsid w:val="00491128"/>
    <w:rsid w:val="004918BF"/>
    <w:rsid w:val="004948CF"/>
    <w:rsid w:val="00495E42"/>
    <w:rsid w:val="004966A6"/>
    <w:rsid w:val="004968F8"/>
    <w:rsid w:val="004A1CD6"/>
    <w:rsid w:val="004A5F36"/>
    <w:rsid w:val="004B052C"/>
    <w:rsid w:val="004B134A"/>
    <w:rsid w:val="004B727A"/>
    <w:rsid w:val="004C419C"/>
    <w:rsid w:val="004D171F"/>
    <w:rsid w:val="004D28D2"/>
    <w:rsid w:val="004D4567"/>
    <w:rsid w:val="004D5388"/>
    <w:rsid w:val="004D5551"/>
    <w:rsid w:val="004D754E"/>
    <w:rsid w:val="004D7FA0"/>
    <w:rsid w:val="004E4C2E"/>
    <w:rsid w:val="004E6079"/>
    <w:rsid w:val="004F0015"/>
    <w:rsid w:val="004F4314"/>
    <w:rsid w:val="004F740F"/>
    <w:rsid w:val="004F74BA"/>
    <w:rsid w:val="004F78A5"/>
    <w:rsid w:val="004F7F00"/>
    <w:rsid w:val="00502D9E"/>
    <w:rsid w:val="00506735"/>
    <w:rsid w:val="00511EBD"/>
    <w:rsid w:val="00516A91"/>
    <w:rsid w:val="00516ED9"/>
    <w:rsid w:val="00521FDF"/>
    <w:rsid w:val="00526311"/>
    <w:rsid w:val="00527F1C"/>
    <w:rsid w:val="00531777"/>
    <w:rsid w:val="005318D9"/>
    <w:rsid w:val="0053404A"/>
    <w:rsid w:val="00535823"/>
    <w:rsid w:val="00537C35"/>
    <w:rsid w:val="0054146D"/>
    <w:rsid w:val="00544C40"/>
    <w:rsid w:val="00547463"/>
    <w:rsid w:val="005569F0"/>
    <w:rsid w:val="00557E34"/>
    <w:rsid w:val="005620A0"/>
    <w:rsid w:val="005658AD"/>
    <w:rsid w:val="00566A7B"/>
    <w:rsid w:val="00566EC0"/>
    <w:rsid w:val="0057163D"/>
    <w:rsid w:val="005731EE"/>
    <w:rsid w:val="005754C0"/>
    <w:rsid w:val="005775C2"/>
    <w:rsid w:val="00581166"/>
    <w:rsid w:val="005844D5"/>
    <w:rsid w:val="00585B6C"/>
    <w:rsid w:val="00585EAF"/>
    <w:rsid w:val="005872D5"/>
    <w:rsid w:val="00590445"/>
    <w:rsid w:val="00590464"/>
    <w:rsid w:val="005A4D07"/>
    <w:rsid w:val="005B342D"/>
    <w:rsid w:val="005B346E"/>
    <w:rsid w:val="005B4F36"/>
    <w:rsid w:val="005B5007"/>
    <w:rsid w:val="005C09DE"/>
    <w:rsid w:val="005C2C3D"/>
    <w:rsid w:val="005C7B11"/>
    <w:rsid w:val="005D11C2"/>
    <w:rsid w:val="005D1281"/>
    <w:rsid w:val="005D37D6"/>
    <w:rsid w:val="005D524E"/>
    <w:rsid w:val="005D567F"/>
    <w:rsid w:val="005E0DF4"/>
    <w:rsid w:val="005E49FD"/>
    <w:rsid w:val="005E7105"/>
    <w:rsid w:val="005F3551"/>
    <w:rsid w:val="005F7F60"/>
    <w:rsid w:val="006015A1"/>
    <w:rsid w:val="00602CAB"/>
    <w:rsid w:val="00603553"/>
    <w:rsid w:val="00604F20"/>
    <w:rsid w:val="00605D05"/>
    <w:rsid w:val="006062A0"/>
    <w:rsid w:val="00606B89"/>
    <w:rsid w:val="00610D37"/>
    <w:rsid w:val="006137A4"/>
    <w:rsid w:val="00613AD4"/>
    <w:rsid w:val="00613CD4"/>
    <w:rsid w:val="006145B6"/>
    <w:rsid w:val="00616950"/>
    <w:rsid w:val="00623CF9"/>
    <w:rsid w:val="00625D94"/>
    <w:rsid w:val="00626343"/>
    <w:rsid w:val="0062706F"/>
    <w:rsid w:val="00630A03"/>
    <w:rsid w:val="0063212A"/>
    <w:rsid w:val="00633358"/>
    <w:rsid w:val="00633691"/>
    <w:rsid w:val="00635647"/>
    <w:rsid w:val="0063634E"/>
    <w:rsid w:val="00640068"/>
    <w:rsid w:val="006427D7"/>
    <w:rsid w:val="00644C2C"/>
    <w:rsid w:val="00647604"/>
    <w:rsid w:val="00650F9C"/>
    <w:rsid w:val="006513F8"/>
    <w:rsid w:val="00651CD0"/>
    <w:rsid w:val="006609EB"/>
    <w:rsid w:val="00662305"/>
    <w:rsid w:val="00663703"/>
    <w:rsid w:val="00671F75"/>
    <w:rsid w:val="006721A2"/>
    <w:rsid w:val="00673620"/>
    <w:rsid w:val="006773F9"/>
    <w:rsid w:val="00682583"/>
    <w:rsid w:val="00684682"/>
    <w:rsid w:val="00690576"/>
    <w:rsid w:val="00696FE2"/>
    <w:rsid w:val="006A2D65"/>
    <w:rsid w:val="006A4450"/>
    <w:rsid w:val="006A56C7"/>
    <w:rsid w:val="006A6371"/>
    <w:rsid w:val="006B2060"/>
    <w:rsid w:val="006B6843"/>
    <w:rsid w:val="006B6C1B"/>
    <w:rsid w:val="006B7DF2"/>
    <w:rsid w:val="006C2940"/>
    <w:rsid w:val="006C6FEA"/>
    <w:rsid w:val="006D145F"/>
    <w:rsid w:val="006D20F8"/>
    <w:rsid w:val="006D5A46"/>
    <w:rsid w:val="006D5D29"/>
    <w:rsid w:val="006D69BF"/>
    <w:rsid w:val="006E0DA9"/>
    <w:rsid w:val="006E279F"/>
    <w:rsid w:val="006E58C5"/>
    <w:rsid w:val="006F7022"/>
    <w:rsid w:val="006F70B8"/>
    <w:rsid w:val="006F765D"/>
    <w:rsid w:val="00703BB7"/>
    <w:rsid w:val="007050EB"/>
    <w:rsid w:val="00706B0A"/>
    <w:rsid w:val="007136EC"/>
    <w:rsid w:val="00717B9C"/>
    <w:rsid w:val="00717DE8"/>
    <w:rsid w:val="00723399"/>
    <w:rsid w:val="007238C8"/>
    <w:rsid w:val="00724AA7"/>
    <w:rsid w:val="0073343B"/>
    <w:rsid w:val="007408BF"/>
    <w:rsid w:val="007425B1"/>
    <w:rsid w:val="007430F8"/>
    <w:rsid w:val="00745DF0"/>
    <w:rsid w:val="0074665B"/>
    <w:rsid w:val="00746D9A"/>
    <w:rsid w:val="00751314"/>
    <w:rsid w:val="007532F1"/>
    <w:rsid w:val="00755ED9"/>
    <w:rsid w:val="00763A4F"/>
    <w:rsid w:val="0076579A"/>
    <w:rsid w:val="007704B4"/>
    <w:rsid w:val="00774657"/>
    <w:rsid w:val="00774BF5"/>
    <w:rsid w:val="00774C79"/>
    <w:rsid w:val="0077560E"/>
    <w:rsid w:val="0077623C"/>
    <w:rsid w:val="0077710D"/>
    <w:rsid w:val="0078099E"/>
    <w:rsid w:val="00784BD3"/>
    <w:rsid w:val="00787D4F"/>
    <w:rsid w:val="007912CB"/>
    <w:rsid w:val="007937CB"/>
    <w:rsid w:val="00796B5F"/>
    <w:rsid w:val="007978A4"/>
    <w:rsid w:val="007A0752"/>
    <w:rsid w:val="007B177B"/>
    <w:rsid w:val="007B3E6B"/>
    <w:rsid w:val="007B417A"/>
    <w:rsid w:val="007B505A"/>
    <w:rsid w:val="007B5378"/>
    <w:rsid w:val="007C1629"/>
    <w:rsid w:val="007C3014"/>
    <w:rsid w:val="007C7CFC"/>
    <w:rsid w:val="007D4C92"/>
    <w:rsid w:val="007E2175"/>
    <w:rsid w:val="007E4823"/>
    <w:rsid w:val="007E73C2"/>
    <w:rsid w:val="007F24E3"/>
    <w:rsid w:val="007F2ECE"/>
    <w:rsid w:val="007F3D1C"/>
    <w:rsid w:val="00806706"/>
    <w:rsid w:val="0081053F"/>
    <w:rsid w:val="008110DE"/>
    <w:rsid w:val="00826F75"/>
    <w:rsid w:val="0083611C"/>
    <w:rsid w:val="00840C02"/>
    <w:rsid w:val="00851D25"/>
    <w:rsid w:val="00852EAC"/>
    <w:rsid w:val="008574DB"/>
    <w:rsid w:val="00862186"/>
    <w:rsid w:val="008644EC"/>
    <w:rsid w:val="00865672"/>
    <w:rsid w:val="00866B9E"/>
    <w:rsid w:val="00867AD1"/>
    <w:rsid w:val="008712CF"/>
    <w:rsid w:val="008725F6"/>
    <w:rsid w:val="00874B0B"/>
    <w:rsid w:val="00882214"/>
    <w:rsid w:val="00895F63"/>
    <w:rsid w:val="0089608B"/>
    <w:rsid w:val="00896450"/>
    <w:rsid w:val="00896D00"/>
    <w:rsid w:val="008A00DE"/>
    <w:rsid w:val="008A4A49"/>
    <w:rsid w:val="008A4B06"/>
    <w:rsid w:val="008A4D32"/>
    <w:rsid w:val="008B0124"/>
    <w:rsid w:val="008B1289"/>
    <w:rsid w:val="008B6037"/>
    <w:rsid w:val="008C3C95"/>
    <w:rsid w:val="008C51FB"/>
    <w:rsid w:val="008C68B9"/>
    <w:rsid w:val="008D5390"/>
    <w:rsid w:val="008D6191"/>
    <w:rsid w:val="008E2A33"/>
    <w:rsid w:val="008E3CBD"/>
    <w:rsid w:val="008F0AAA"/>
    <w:rsid w:val="008F13CF"/>
    <w:rsid w:val="00905292"/>
    <w:rsid w:val="00910586"/>
    <w:rsid w:val="00911840"/>
    <w:rsid w:val="00912733"/>
    <w:rsid w:val="00913A44"/>
    <w:rsid w:val="00930DBB"/>
    <w:rsid w:val="0093106E"/>
    <w:rsid w:val="00934001"/>
    <w:rsid w:val="00934C64"/>
    <w:rsid w:val="00935376"/>
    <w:rsid w:val="009368E2"/>
    <w:rsid w:val="00937177"/>
    <w:rsid w:val="00943AF9"/>
    <w:rsid w:val="00944D41"/>
    <w:rsid w:val="00945965"/>
    <w:rsid w:val="00951727"/>
    <w:rsid w:val="00955463"/>
    <w:rsid w:val="00957F55"/>
    <w:rsid w:val="00960DCE"/>
    <w:rsid w:val="00961FB9"/>
    <w:rsid w:val="00963BD6"/>
    <w:rsid w:val="00963DD3"/>
    <w:rsid w:val="009659D7"/>
    <w:rsid w:val="00965AFE"/>
    <w:rsid w:val="00966486"/>
    <w:rsid w:val="00966CFF"/>
    <w:rsid w:val="00967ED6"/>
    <w:rsid w:val="00976065"/>
    <w:rsid w:val="009767F1"/>
    <w:rsid w:val="00993B22"/>
    <w:rsid w:val="00995DC5"/>
    <w:rsid w:val="00996B7C"/>
    <w:rsid w:val="009A0F0B"/>
    <w:rsid w:val="009B098B"/>
    <w:rsid w:val="009B0A21"/>
    <w:rsid w:val="009B639B"/>
    <w:rsid w:val="009C102A"/>
    <w:rsid w:val="009C2224"/>
    <w:rsid w:val="009C27C9"/>
    <w:rsid w:val="009C6F3B"/>
    <w:rsid w:val="009E0DFA"/>
    <w:rsid w:val="009E3DF0"/>
    <w:rsid w:val="009F3629"/>
    <w:rsid w:val="00A00BE4"/>
    <w:rsid w:val="00A05071"/>
    <w:rsid w:val="00A119AC"/>
    <w:rsid w:val="00A1281B"/>
    <w:rsid w:val="00A12EF7"/>
    <w:rsid w:val="00A12F46"/>
    <w:rsid w:val="00A14166"/>
    <w:rsid w:val="00A26161"/>
    <w:rsid w:val="00A30FD9"/>
    <w:rsid w:val="00A35286"/>
    <w:rsid w:val="00A37E31"/>
    <w:rsid w:val="00A50506"/>
    <w:rsid w:val="00A50555"/>
    <w:rsid w:val="00A50D91"/>
    <w:rsid w:val="00A51FC2"/>
    <w:rsid w:val="00A61B97"/>
    <w:rsid w:val="00A645BF"/>
    <w:rsid w:val="00A64DFF"/>
    <w:rsid w:val="00A65509"/>
    <w:rsid w:val="00A655EB"/>
    <w:rsid w:val="00A7250E"/>
    <w:rsid w:val="00A77221"/>
    <w:rsid w:val="00A80C9C"/>
    <w:rsid w:val="00A8414A"/>
    <w:rsid w:val="00A87910"/>
    <w:rsid w:val="00A87A57"/>
    <w:rsid w:val="00A90D50"/>
    <w:rsid w:val="00A92991"/>
    <w:rsid w:val="00A93202"/>
    <w:rsid w:val="00A93270"/>
    <w:rsid w:val="00A9342C"/>
    <w:rsid w:val="00AA4165"/>
    <w:rsid w:val="00AB35E0"/>
    <w:rsid w:val="00AB40D7"/>
    <w:rsid w:val="00AB657D"/>
    <w:rsid w:val="00AC0330"/>
    <w:rsid w:val="00AC150D"/>
    <w:rsid w:val="00AC5074"/>
    <w:rsid w:val="00AC5285"/>
    <w:rsid w:val="00AD0D58"/>
    <w:rsid w:val="00AD15FF"/>
    <w:rsid w:val="00AD2397"/>
    <w:rsid w:val="00AE25FA"/>
    <w:rsid w:val="00AE26A7"/>
    <w:rsid w:val="00AF363E"/>
    <w:rsid w:val="00AF402F"/>
    <w:rsid w:val="00B026AF"/>
    <w:rsid w:val="00B0506A"/>
    <w:rsid w:val="00B14E65"/>
    <w:rsid w:val="00B15C21"/>
    <w:rsid w:val="00B16B1F"/>
    <w:rsid w:val="00B173BE"/>
    <w:rsid w:val="00B22803"/>
    <w:rsid w:val="00B27F5E"/>
    <w:rsid w:val="00B335E3"/>
    <w:rsid w:val="00B4120B"/>
    <w:rsid w:val="00B42CA0"/>
    <w:rsid w:val="00B52898"/>
    <w:rsid w:val="00B536B3"/>
    <w:rsid w:val="00B53E34"/>
    <w:rsid w:val="00B542C7"/>
    <w:rsid w:val="00B557A8"/>
    <w:rsid w:val="00B57185"/>
    <w:rsid w:val="00B62AA3"/>
    <w:rsid w:val="00B64F61"/>
    <w:rsid w:val="00B65BB2"/>
    <w:rsid w:val="00B71765"/>
    <w:rsid w:val="00B765D3"/>
    <w:rsid w:val="00B77AE1"/>
    <w:rsid w:val="00B80BC7"/>
    <w:rsid w:val="00B82C10"/>
    <w:rsid w:val="00B919D1"/>
    <w:rsid w:val="00B92315"/>
    <w:rsid w:val="00B957AA"/>
    <w:rsid w:val="00B96944"/>
    <w:rsid w:val="00BA2056"/>
    <w:rsid w:val="00BA627F"/>
    <w:rsid w:val="00BA6986"/>
    <w:rsid w:val="00BB04F5"/>
    <w:rsid w:val="00BB1A1D"/>
    <w:rsid w:val="00BB3605"/>
    <w:rsid w:val="00BB5FF3"/>
    <w:rsid w:val="00BB6032"/>
    <w:rsid w:val="00BB77E7"/>
    <w:rsid w:val="00BC107A"/>
    <w:rsid w:val="00BC31BC"/>
    <w:rsid w:val="00BC424C"/>
    <w:rsid w:val="00BC4B1A"/>
    <w:rsid w:val="00BC57A1"/>
    <w:rsid w:val="00BC7462"/>
    <w:rsid w:val="00BD169F"/>
    <w:rsid w:val="00BE1AAA"/>
    <w:rsid w:val="00BE49BB"/>
    <w:rsid w:val="00BF0C18"/>
    <w:rsid w:val="00BF1DB6"/>
    <w:rsid w:val="00BF2A26"/>
    <w:rsid w:val="00BF344B"/>
    <w:rsid w:val="00BF3B9D"/>
    <w:rsid w:val="00BF5717"/>
    <w:rsid w:val="00BF5E11"/>
    <w:rsid w:val="00BF6826"/>
    <w:rsid w:val="00C04C6C"/>
    <w:rsid w:val="00C04E7B"/>
    <w:rsid w:val="00C06990"/>
    <w:rsid w:val="00C11CA1"/>
    <w:rsid w:val="00C12AB0"/>
    <w:rsid w:val="00C12D2C"/>
    <w:rsid w:val="00C1570F"/>
    <w:rsid w:val="00C166BC"/>
    <w:rsid w:val="00C168B8"/>
    <w:rsid w:val="00C16AB3"/>
    <w:rsid w:val="00C326F3"/>
    <w:rsid w:val="00C32B31"/>
    <w:rsid w:val="00C33504"/>
    <w:rsid w:val="00C374B7"/>
    <w:rsid w:val="00C4279D"/>
    <w:rsid w:val="00C45090"/>
    <w:rsid w:val="00C45D28"/>
    <w:rsid w:val="00C4626F"/>
    <w:rsid w:val="00C567E6"/>
    <w:rsid w:val="00C609D9"/>
    <w:rsid w:val="00C60E0B"/>
    <w:rsid w:val="00C614DC"/>
    <w:rsid w:val="00C67791"/>
    <w:rsid w:val="00C731C2"/>
    <w:rsid w:val="00C758C1"/>
    <w:rsid w:val="00C8242D"/>
    <w:rsid w:val="00C83C59"/>
    <w:rsid w:val="00C85024"/>
    <w:rsid w:val="00C873F9"/>
    <w:rsid w:val="00C87709"/>
    <w:rsid w:val="00C93E0A"/>
    <w:rsid w:val="00C93E16"/>
    <w:rsid w:val="00C94DBE"/>
    <w:rsid w:val="00C96089"/>
    <w:rsid w:val="00CA022D"/>
    <w:rsid w:val="00CA4354"/>
    <w:rsid w:val="00CA4633"/>
    <w:rsid w:val="00CA4789"/>
    <w:rsid w:val="00CB2A96"/>
    <w:rsid w:val="00CB3AFD"/>
    <w:rsid w:val="00CC140B"/>
    <w:rsid w:val="00CC5FDF"/>
    <w:rsid w:val="00CD1278"/>
    <w:rsid w:val="00CD2040"/>
    <w:rsid w:val="00CD3DE7"/>
    <w:rsid w:val="00CD6964"/>
    <w:rsid w:val="00CD7976"/>
    <w:rsid w:val="00CE1BD2"/>
    <w:rsid w:val="00CE4496"/>
    <w:rsid w:val="00CE5847"/>
    <w:rsid w:val="00CF1119"/>
    <w:rsid w:val="00CF1DAD"/>
    <w:rsid w:val="00CF5E46"/>
    <w:rsid w:val="00D02EEA"/>
    <w:rsid w:val="00D03425"/>
    <w:rsid w:val="00D05CB1"/>
    <w:rsid w:val="00D10F70"/>
    <w:rsid w:val="00D11DFF"/>
    <w:rsid w:val="00D156C5"/>
    <w:rsid w:val="00D15973"/>
    <w:rsid w:val="00D27427"/>
    <w:rsid w:val="00D31BD5"/>
    <w:rsid w:val="00D344F2"/>
    <w:rsid w:val="00D34EE1"/>
    <w:rsid w:val="00D36FF6"/>
    <w:rsid w:val="00D378D3"/>
    <w:rsid w:val="00D43431"/>
    <w:rsid w:val="00D46EF5"/>
    <w:rsid w:val="00D46F38"/>
    <w:rsid w:val="00D53F92"/>
    <w:rsid w:val="00D54793"/>
    <w:rsid w:val="00D54988"/>
    <w:rsid w:val="00D54E9A"/>
    <w:rsid w:val="00D554A8"/>
    <w:rsid w:val="00D56892"/>
    <w:rsid w:val="00D6086F"/>
    <w:rsid w:val="00D61059"/>
    <w:rsid w:val="00D616F0"/>
    <w:rsid w:val="00D67D5F"/>
    <w:rsid w:val="00D704B9"/>
    <w:rsid w:val="00D72689"/>
    <w:rsid w:val="00D74D8A"/>
    <w:rsid w:val="00D768F4"/>
    <w:rsid w:val="00D8010F"/>
    <w:rsid w:val="00D821EC"/>
    <w:rsid w:val="00D84002"/>
    <w:rsid w:val="00D84359"/>
    <w:rsid w:val="00D86342"/>
    <w:rsid w:val="00D9087D"/>
    <w:rsid w:val="00D94820"/>
    <w:rsid w:val="00D95D04"/>
    <w:rsid w:val="00DA3F1F"/>
    <w:rsid w:val="00DA422B"/>
    <w:rsid w:val="00DA48A9"/>
    <w:rsid w:val="00DA4967"/>
    <w:rsid w:val="00DA543B"/>
    <w:rsid w:val="00DA5632"/>
    <w:rsid w:val="00DB249B"/>
    <w:rsid w:val="00DB3478"/>
    <w:rsid w:val="00DB4A1A"/>
    <w:rsid w:val="00DB5B8C"/>
    <w:rsid w:val="00DC370D"/>
    <w:rsid w:val="00DC51C4"/>
    <w:rsid w:val="00DC5A22"/>
    <w:rsid w:val="00DC672E"/>
    <w:rsid w:val="00DD362D"/>
    <w:rsid w:val="00DD3878"/>
    <w:rsid w:val="00DD467E"/>
    <w:rsid w:val="00DD6423"/>
    <w:rsid w:val="00DE1846"/>
    <w:rsid w:val="00DE2B3B"/>
    <w:rsid w:val="00DE3AFF"/>
    <w:rsid w:val="00DE55CC"/>
    <w:rsid w:val="00DF0901"/>
    <w:rsid w:val="00DF3818"/>
    <w:rsid w:val="00DF67E8"/>
    <w:rsid w:val="00E007C1"/>
    <w:rsid w:val="00E01008"/>
    <w:rsid w:val="00E0139B"/>
    <w:rsid w:val="00E04992"/>
    <w:rsid w:val="00E05245"/>
    <w:rsid w:val="00E05EEA"/>
    <w:rsid w:val="00E10405"/>
    <w:rsid w:val="00E115AD"/>
    <w:rsid w:val="00E1367E"/>
    <w:rsid w:val="00E13AA4"/>
    <w:rsid w:val="00E15C13"/>
    <w:rsid w:val="00E160AB"/>
    <w:rsid w:val="00E1674A"/>
    <w:rsid w:val="00E20D8A"/>
    <w:rsid w:val="00E2628F"/>
    <w:rsid w:val="00E26741"/>
    <w:rsid w:val="00E27A28"/>
    <w:rsid w:val="00E326F6"/>
    <w:rsid w:val="00E37ABF"/>
    <w:rsid w:val="00E45156"/>
    <w:rsid w:val="00E473F2"/>
    <w:rsid w:val="00E515E9"/>
    <w:rsid w:val="00E53CB1"/>
    <w:rsid w:val="00E54D9E"/>
    <w:rsid w:val="00E658FB"/>
    <w:rsid w:val="00E66DD1"/>
    <w:rsid w:val="00E67D2D"/>
    <w:rsid w:val="00E80A61"/>
    <w:rsid w:val="00E8203A"/>
    <w:rsid w:val="00E8248B"/>
    <w:rsid w:val="00E8382F"/>
    <w:rsid w:val="00E849CF"/>
    <w:rsid w:val="00E908B4"/>
    <w:rsid w:val="00E94632"/>
    <w:rsid w:val="00E95654"/>
    <w:rsid w:val="00E959A0"/>
    <w:rsid w:val="00E95CC7"/>
    <w:rsid w:val="00EA7103"/>
    <w:rsid w:val="00EA78B9"/>
    <w:rsid w:val="00EB03D0"/>
    <w:rsid w:val="00EB0741"/>
    <w:rsid w:val="00EB4589"/>
    <w:rsid w:val="00EB5306"/>
    <w:rsid w:val="00EB7011"/>
    <w:rsid w:val="00EB77C2"/>
    <w:rsid w:val="00EB783A"/>
    <w:rsid w:val="00EC0107"/>
    <w:rsid w:val="00EC4758"/>
    <w:rsid w:val="00EC5A49"/>
    <w:rsid w:val="00EC5D14"/>
    <w:rsid w:val="00EC7630"/>
    <w:rsid w:val="00ED0DE7"/>
    <w:rsid w:val="00ED5CF0"/>
    <w:rsid w:val="00ED6878"/>
    <w:rsid w:val="00EE16B8"/>
    <w:rsid w:val="00EE2D62"/>
    <w:rsid w:val="00EE32B8"/>
    <w:rsid w:val="00EE4542"/>
    <w:rsid w:val="00EE482C"/>
    <w:rsid w:val="00EF4ECE"/>
    <w:rsid w:val="00EF6D2A"/>
    <w:rsid w:val="00F01450"/>
    <w:rsid w:val="00F02E7C"/>
    <w:rsid w:val="00F0663C"/>
    <w:rsid w:val="00F10319"/>
    <w:rsid w:val="00F130DC"/>
    <w:rsid w:val="00F13CED"/>
    <w:rsid w:val="00F1501F"/>
    <w:rsid w:val="00F15B2B"/>
    <w:rsid w:val="00F1618B"/>
    <w:rsid w:val="00F21013"/>
    <w:rsid w:val="00F225A0"/>
    <w:rsid w:val="00F24B2D"/>
    <w:rsid w:val="00F25559"/>
    <w:rsid w:val="00F2576E"/>
    <w:rsid w:val="00F36A61"/>
    <w:rsid w:val="00F43F7D"/>
    <w:rsid w:val="00F44347"/>
    <w:rsid w:val="00F446F4"/>
    <w:rsid w:val="00F57A0F"/>
    <w:rsid w:val="00F60144"/>
    <w:rsid w:val="00F606D9"/>
    <w:rsid w:val="00F6082A"/>
    <w:rsid w:val="00F61D84"/>
    <w:rsid w:val="00F62A13"/>
    <w:rsid w:val="00F636A6"/>
    <w:rsid w:val="00F66200"/>
    <w:rsid w:val="00F70963"/>
    <w:rsid w:val="00F70E4B"/>
    <w:rsid w:val="00F71CFC"/>
    <w:rsid w:val="00F74067"/>
    <w:rsid w:val="00F90715"/>
    <w:rsid w:val="00F90F3B"/>
    <w:rsid w:val="00F95803"/>
    <w:rsid w:val="00F95CD1"/>
    <w:rsid w:val="00FA2D40"/>
    <w:rsid w:val="00FA33D2"/>
    <w:rsid w:val="00FA3C2D"/>
    <w:rsid w:val="00FA4789"/>
    <w:rsid w:val="00FA54E6"/>
    <w:rsid w:val="00FA6569"/>
    <w:rsid w:val="00FA7E9A"/>
    <w:rsid w:val="00FB3C40"/>
    <w:rsid w:val="00FB566D"/>
    <w:rsid w:val="00FB620E"/>
    <w:rsid w:val="00FB7E81"/>
    <w:rsid w:val="00FC0D81"/>
    <w:rsid w:val="00FC23E0"/>
    <w:rsid w:val="00FC3832"/>
    <w:rsid w:val="00FC467C"/>
    <w:rsid w:val="00FC47D3"/>
    <w:rsid w:val="00FC5311"/>
    <w:rsid w:val="00FD00EE"/>
    <w:rsid w:val="00FE1F4C"/>
    <w:rsid w:val="00FE6DCF"/>
    <w:rsid w:val="00FE772E"/>
    <w:rsid w:val="00FF3B2D"/>
    <w:rsid w:val="00FF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68C11"/>
  <w15:chartTrackingRefBased/>
  <w15:docId w15:val="{E4441E72-0A34-4B08-A0FA-7D3B7DD4A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30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30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30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30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30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30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30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30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30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0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30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430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30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30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30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0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0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0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30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0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30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30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30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30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30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30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30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30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30F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43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0F8"/>
  </w:style>
  <w:style w:type="paragraph" w:styleId="Footer">
    <w:name w:val="footer"/>
    <w:basedOn w:val="Normal"/>
    <w:link w:val="FooterChar"/>
    <w:uiPriority w:val="99"/>
    <w:unhideWhenUsed/>
    <w:rsid w:val="00743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0F8"/>
  </w:style>
  <w:style w:type="paragraph" w:styleId="NoSpacing">
    <w:name w:val="No Spacing"/>
    <w:link w:val="NoSpacingChar"/>
    <w:uiPriority w:val="1"/>
    <w:qFormat/>
    <w:rsid w:val="007430F8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430F8"/>
    <w:rPr>
      <w:rFonts w:eastAsiaTheme="minorEastAsia"/>
      <w:kern w:val="0"/>
      <w:sz w:val="22"/>
      <w:szCs w:val="22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543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43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43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43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43FC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F62A1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61B97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E584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584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E584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11E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943AF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0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www.brooklynmuseum.org/en-GB/objects/4178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egypt-museum.com/statuette-of-the-goddess-renenute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gypt-museum.com/statue-of-the-protective-goddess-meretseger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collezioni.museoegizio.it/en-GB/material/Cat_159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glossaryDocument" Target="glossary/document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gypt-museum.com/statue-of-the-protective-goddess-meretseger/" TargetMode="External"/><Relationship Id="rId1" Type="http://schemas.openxmlformats.org/officeDocument/2006/relationships/hyperlink" Target="https://egypt-museum.com/statuette-of-the-goddess-renenutet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020BE7A06884305B94E83A1EB6F5C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142D2-F742-4013-B299-261801566069}"/>
      </w:docPartPr>
      <w:docPartBody>
        <w:p w:rsidR="00FF7208" w:rsidRDefault="00030B9B">
          <w:r w:rsidRPr="001B1C84">
            <w:rPr>
              <w:rStyle w:val="PlaceholderText"/>
            </w:rPr>
            <w:t>Formatting Bibliography...</w:t>
          </w:r>
        </w:p>
      </w:docPartBody>
    </w:docPart>
    <w:docPart>
      <w:docPartPr>
        <w:name w:val="3310967512534EC992A70D791AF09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06565E-1365-4F63-9C5B-91C20A1E217C}"/>
      </w:docPartPr>
      <w:docPartBody>
        <w:p w:rsidR="00FF7208" w:rsidRDefault="00030B9B" w:rsidP="00030B9B">
          <w:pPr>
            <w:pStyle w:val="3310967512534EC992A70D791AF09CF8"/>
          </w:pPr>
          <w:r w:rsidRPr="001B1C84">
            <w:rPr>
              <w:rStyle w:val="PlaceholderText"/>
            </w:rPr>
            <w:t>Formatting...</w:t>
          </w:r>
        </w:p>
      </w:docPartBody>
    </w:docPart>
    <w:docPart>
      <w:docPartPr>
        <w:name w:val="C82359EBE2C247C287437010E94B12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554372-DDEC-46E0-8DA7-11A9E7EB4231}"/>
      </w:docPartPr>
      <w:docPartBody>
        <w:p w:rsidR="00785DD9" w:rsidRDefault="00CA7CBA">
          <w:r w:rsidRPr="002D18C8">
            <w:rPr>
              <w:rStyle w:val="PlaceholderText"/>
            </w:rPr>
            <w:t>Formatting...</w:t>
          </w:r>
        </w:p>
      </w:docPartBody>
    </w:docPart>
    <w:docPart>
      <w:docPartPr>
        <w:name w:val="A0FACDFD274D41A2A513DF440524C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B5FA78-C46D-4C5B-820C-57F9E56B8528}"/>
      </w:docPartPr>
      <w:docPartBody>
        <w:p w:rsidR="00785DD9" w:rsidRDefault="00CA7CBA">
          <w:r w:rsidRPr="0078369B">
            <w:rPr>
              <w:rStyle w:val="PlaceholderText"/>
            </w:rPr>
            <w:t>Formatting...</w:t>
          </w:r>
        </w:p>
      </w:docPartBody>
    </w:docPart>
    <w:docPart>
      <w:docPartPr>
        <w:name w:val="878D743F506A426B86553EB6D6857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9FF14-1C03-4860-8185-4EB9112057D2}"/>
      </w:docPartPr>
      <w:docPartBody>
        <w:p w:rsidR="00412215" w:rsidRDefault="003804D0">
          <w:r w:rsidRPr="00B3325B">
            <w:rPr>
              <w:rStyle w:val="PlaceholderText"/>
            </w:rPr>
            <w:t>Formatting...</w:t>
          </w:r>
        </w:p>
      </w:docPartBody>
    </w:docPart>
    <w:docPart>
      <w:docPartPr>
        <w:name w:val="B75B5E99309949B59D355521A589C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8C23C-C0A4-4195-8FBC-A0A4EDD51F1A}"/>
      </w:docPartPr>
      <w:docPartBody>
        <w:p w:rsidR="00412215" w:rsidRDefault="003804D0">
          <w:r w:rsidRPr="00B3325B">
            <w:rPr>
              <w:rStyle w:val="PlaceholderText"/>
            </w:rPr>
            <w:t>Formatting...</w:t>
          </w:r>
        </w:p>
      </w:docPartBody>
    </w:docPart>
    <w:docPart>
      <w:docPartPr>
        <w:name w:val="30811064BF32471F9F0908DC996BB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B84A2-059F-4433-B630-35FD4FF165AB}"/>
      </w:docPartPr>
      <w:docPartBody>
        <w:p w:rsidR="00412215" w:rsidRDefault="003804D0">
          <w:r w:rsidRPr="00B3325B">
            <w:rPr>
              <w:rStyle w:val="PlaceholderText"/>
            </w:rPr>
            <w:t>Formatting...</w:t>
          </w:r>
        </w:p>
      </w:docPartBody>
    </w:docPart>
    <w:docPart>
      <w:docPartPr>
        <w:name w:val="9CCB346CD4504691A8B244B5C28410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13561-BB9F-41D5-A8C6-369AA1CF07A2}"/>
      </w:docPartPr>
      <w:docPartBody>
        <w:p w:rsidR="00412215" w:rsidRDefault="003804D0">
          <w:r w:rsidRPr="00443012">
            <w:rPr>
              <w:rStyle w:val="PlaceholderText"/>
            </w:rPr>
            <w:t>Formatting...</w:t>
          </w:r>
        </w:p>
      </w:docPartBody>
    </w:docPart>
    <w:docPart>
      <w:docPartPr>
        <w:name w:val="4A6C56AA056844CBB39537745B37F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CEC582-8B70-45C4-86CB-E9A73BC4A943}"/>
      </w:docPartPr>
      <w:docPartBody>
        <w:p w:rsidR="00412215" w:rsidRDefault="003804D0">
          <w:r w:rsidRPr="00443012">
            <w:rPr>
              <w:rStyle w:val="PlaceholderText"/>
            </w:rPr>
            <w:t>Formatting...</w:t>
          </w:r>
        </w:p>
      </w:docPartBody>
    </w:docPart>
    <w:docPart>
      <w:docPartPr>
        <w:name w:val="2E1556D25CD44005A7FAD705BFE9B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15241A-069F-4763-A1AC-4D21367A461F}"/>
      </w:docPartPr>
      <w:docPartBody>
        <w:p w:rsidR="00412215" w:rsidRDefault="003804D0">
          <w:r w:rsidRPr="00443012">
            <w:rPr>
              <w:rStyle w:val="PlaceholderText"/>
            </w:rPr>
            <w:t>Formatting...</w:t>
          </w:r>
        </w:p>
      </w:docPartBody>
    </w:docPart>
    <w:docPart>
      <w:docPartPr>
        <w:name w:val="BD7A19171BBE44A9A9748FD11FEE4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7BDE3F-4580-4771-82E7-173D3A3478E5}"/>
      </w:docPartPr>
      <w:docPartBody>
        <w:p w:rsidR="00412215" w:rsidRDefault="003804D0">
          <w:r w:rsidRPr="00443012">
            <w:rPr>
              <w:rStyle w:val="PlaceholderText"/>
            </w:rPr>
            <w:t>Formatting...</w:t>
          </w:r>
        </w:p>
      </w:docPartBody>
    </w:docPart>
    <w:docPart>
      <w:docPartPr>
        <w:name w:val="E5B5E43F67C64141983CBE4E52FC1D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75B11-F018-4803-B986-37CE4FBD8CF8}"/>
      </w:docPartPr>
      <w:docPartBody>
        <w:p w:rsidR="009C4986" w:rsidRDefault="00BE3037">
          <w:r w:rsidRPr="002136C5">
            <w:rPr>
              <w:rStyle w:val="PlaceholderText"/>
            </w:rPr>
            <w:t>Formatting...</w:t>
          </w:r>
        </w:p>
      </w:docPartBody>
    </w:docPart>
    <w:docPart>
      <w:docPartPr>
        <w:name w:val="37649730DDB5406A9937EBCACC9134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4AD70-100D-420C-9CD0-CBB30A7A1789}"/>
      </w:docPartPr>
      <w:docPartBody>
        <w:p w:rsidR="009C4986" w:rsidRDefault="00BE3037">
          <w:r w:rsidRPr="002136C5">
            <w:rPr>
              <w:rStyle w:val="PlaceholderText"/>
            </w:rPr>
            <w:t>Formatting...</w:t>
          </w:r>
        </w:p>
      </w:docPartBody>
    </w:docPart>
    <w:docPart>
      <w:docPartPr>
        <w:name w:val="2483CA0794D34FD79DC4A4E87480A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F68FA0-5ECF-41DE-AB70-327A0A9EE4E1}"/>
      </w:docPartPr>
      <w:docPartBody>
        <w:p w:rsidR="009C4986" w:rsidRDefault="00BE3037">
          <w:r w:rsidRPr="002136C5">
            <w:rPr>
              <w:rStyle w:val="PlaceholderText"/>
            </w:rPr>
            <w:t>Formatting...</w:t>
          </w:r>
        </w:p>
      </w:docPartBody>
    </w:docPart>
    <w:docPart>
      <w:docPartPr>
        <w:name w:val="0554BBCA9C97407499626B76684AD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35D19-FB33-45A4-850C-95DFFFAE7D46}"/>
      </w:docPartPr>
      <w:docPartBody>
        <w:p w:rsidR="00C57456" w:rsidRDefault="009C4986">
          <w:r w:rsidRPr="002136C5">
            <w:rPr>
              <w:rStyle w:val="PlaceholderText"/>
            </w:rPr>
            <w:t>Formatting...</w:t>
          </w:r>
        </w:p>
      </w:docPartBody>
    </w:docPart>
    <w:docPart>
      <w:docPartPr>
        <w:name w:val="C24F7337B9F74C0D80732C3DC2746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FE6A5-701E-4057-9275-D659D2C34A71}"/>
      </w:docPartPr>
      <w:docPartBody>
        <w:p w:rsidR="00C57456" w:rsidRDefault="009C4986">
          <w:r w:rsidRPr="002136C5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B9B"/>
    <w:rsid w:val="00030B9B"/>
    <w:rsid w:val="00076083"/>
    <w:rsid w:val="00215DD7"/>
    <w:rsid w:val="00361060"/>
    <w:rsid w:val="003804D0"/>
    <w:rsid w:val="003D7849"/>
    <w:rsid w:val="00412215"/>
    <w:rsid w:val="004A2548"/>
    <w:rsid w:val="00590445"/>
    <w:rsid w:val="00785DD9"/>
    <w:rsid w:val="0089608B"/>
    <w:rsid w:val="00966CFF"/>
    <w:rsid w:val="009C4986"/>
    <w:rsid w:val="00A956BD"/>
    <w:rsid w:val="00BE3037"/>
    <w:rsid w:val="00C50EFE"/>
    <w:rsid w:val="00C57456"/>
    <w:rsid w:val="00CA7CBA"/>
    <w:rsid w:val="00D821EC"/>
    <w:rsid w:val="00FF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4986"/>
    <w:rPr>
      <w:color w:val="666666"/>
    </w:rPr>
  </w:style>
  <w:style w:type="paragraph" w:customStyle="1" w:styleId="3310967512534EC992A70D791AF09CF8">
    <w:name w:val="3310967512534EC992A70D791AF09CF8"/>
    <w:rsid w:val="00030B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  <wetp:taskpane dockstate="right" visibility="0" width="350" row="7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8D2802CE-D438-47B5-BC2D-3979A618D73E}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bibliographyEnabled" value="&quot;bibliographyEnabled&quot;"/>
    <we:property name="citations" value="{&quot;96062613&quot;:{&quot;referencesIds&quot;:[&quot;doc:69b146aa1a16683b5102c1bd&quot;],&quot;referencesOptions&quot;:{&quot;doc:69b146aa1a16683b5102c1bd&quot;:{&quot;author&quot;:true,&quot;year&quot;:true,&quot;formatAuthorYear&quot;:false,&quot;pageReplace&quot;:&quot;&quot;,&quot;additionalField&quot;:&quot;Page&quot;,&quot;additionalValue&quot;:&quot;92&quot;,&quot;prefix&quot;:&quot;&quot;,&quot;suffix&quot;:&quot;&quot;}},&quot;hasBrokenReferences&quot;:false,&quot;hasManualEdits&quot;:false,&quot;isEmpty&quot;:false,&quot;citationType&quot;:&quot;note&quot;,&quot;id&quot;:96062613,&quot;citationText&quot;:&quot;&lt;span style=\&quot;font-family:Aptos;font-size:13.333333333333332px;color:#000000\&quot;&gt;A.G. McDowell, , p. 92&lt;/span&gt;&quot;},&quot;119743867&quot;:{&quot;referencesIds&quot;:[&quot;doc:69ba96a1b8dfaa2ebaaec340&quot;],&quot;referencesOptions&quot;:{&quot;doc:69ba96a1b8dfaa2ebaaec34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19743867,&quot;citationText&quot;:&quot;&lt;span style=\&quot;font-family:Aptos;font-size:13.333333333333332px;color:#000000\&quot;&gt;anon, &lt;i&gt;Statuette of the Goddess Renenutet, &lt;/i&gt;2026 vols  &lt;&lt;a href='https://egypt-museum.com/statuette-of-the-goddess-renenutet/' target='_blank'&gt;https://egypt-museum.com/statuette-of-the-goddess-renenutet/&lt;/a&gt;&gt; [accessed 18/03/2026].&lt;/span&gt;&quot;},&quot;153889497&quot;:{&quot;referencesIds&quot;:[&quot;doc:69ba93e7a1e1904921cb9239&quot;],&quot;referencesOptions&quot;:{&quot;doc:69ba93e7a1e1904921cb923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53889497,&quot;citationText&quot;:&quot;&lt;span style=\&quot;font-family:Aptos;font-size:13.333333333333332px;color:#000000\&quot;&gt;&amp;amp;nbsp Szpakowska and Kasia, 'Religion in Society:&lt;br/&gt;Pharaonic', in &lt;i&gt;A Companion to Ancient Egypt&lt;/i&gt;, ed. by Alan B. Lloyd (Wiley-Blackwell, 2010).&lt;/span&gt;&quot;},&quot;372740939&quot;:{&quot;referencesIds&quot;:[&quot;doc:69bbdee6b22dc977327db4df&quot;],&quot;referencesOptions&quot;:{&quot;doc:69bbdee6b22dc977327db4df&quot;:{&quot;author&quot;:true,&quot;year&quot;:true,&quot;formatAuthorYear&quot;:false,&quot;additionalField&quot;:&quot;Page&quot;,&quot;additionalValue&quot;:&quot;106&quot;,&quot;prefix&quot;:&quot;&quot;,&quot;suffix&quot;:&quot;&quot;}},&quot;hasBrokenReferences&quot;:false,&quot;hasManualEdits&quot;:false,&quot;isEmpty&quot;:false,&quot;citationType&quot;:&quot;note&quot;,&quot;id&quot;:372740939,&quot;citationText&quot;:&quot;&lt;span style=\&quot;font-family:Aptos;font-size:13.333333333333332px;color:#000000\&quot;&gt;Richard H. Wilkinson, &lt;i&gt;Symbol and Magic in Egyptian Art&lt;/i&gt; (New York: Thames Hudson, 1994), p. 106.&lt;/span&gt;&quot;},&quot;1100226818&quot;:{&quot;referencesIds&quot;:[&quot;doc:69b1b2d40b41582de0612083&quot;],&quot;referencesOptions&quot;:{&quot;doc:69b1b2d40b41582de0612083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100226818,&quot;citationText&quot;:&quot;&lt;span style=\&quot;font-family:Aptos;font-size:13.333333333333332px;color:#000000\&quot;&gt;&lt;i&gt;Statue of the Protective Goddess Meretseger&lt;/i&gt;2026 vols  &lt;&lt;a href='https://egypt-museum.com/statue-of-the-protective-goddess-meretseger/' target='_blank'&gt;https://egypt-museum.com/statue-of-the-protective-goddess-meretseger/&lt;/a&gt;&gt; [accessed 11/03/2026].&lt;/span&gt;&quot;},&quot;1181008368&quot;:{&quot;referencesIds&quot;:[&quot;doc:69b14b5f65fb3041e20f2136&quot;],&quot;referencesOptions&quot;:{&quot;doc:69b14b5f65fb3041e20f2136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note&quot;,&quot;id&quot;:1181008368,&quot;citationText&quot;:&quot;&lt;span style=\&quot;font-family:Aptos;font-size:13.333333333333332px;color:#000000\&quot;&gt;John Romer, &lt;i&gt;Ancient Lives. the Story of the Pharaohs Tombmakers&lt;/i&gt; (London: George Weidenfeld &amp;amp; Nicolson Ltd, 1984), p. 113.&lt;/span&gt;&quot;},&quot;1329712818&quot;:{&quot;referencesIds&quot;:[&quot;doc:69b008fb718ddf74a5a3c86a&quot;],&quot;referencesOptions&quot;:{&quot;doc:69b008fb718ddf74a5a3c86a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329712818,&quot;citationText&quot;:&quot;&lt;span style=\&quot;font-family:Aptos;font-size:13.333333333333332px;color:#000000\&quot;&gt;Richard H. Wilkinson,  p. 224&lt;/span&gt;&quot;},&quot;1429626513&quot;:{&quot;referencesIds&quot;:[&quot;doc:69b146aa1a16683b5102c1bd&quot;],&quot;referencesOptions&quot;:{&quot;doc:69b146aa1a16683b5102c1bd&quot;:{&quot;author&quot;:true,&quot;year&quot;:true,&quot;formatAuthorYear&quot;:false,&quot;pageReplace&quot;:&quot;&quot;,&quot;additionalField&quot;:&quot;Page&quot;,&quot;additionalValue&quot;:&quot;8&quot;,&quot;prefix&quot;:&quot;&quot;,&quot;suffix&quot;:&quot;&quot;}},&quot;hasBrokenReferences&quot;:false,&quot;hasManualEdits&quot;:false,&quot;isEmpty&quot;:false,&quot;citationType&quot;:&quot;note&quot;,&quot;id&quot;:1429626513,&quot;citationText&quot;:&quot;&lt;span style=\&quot;font-family:Aptos;font-size:13.333333333333332px;color:#000000\&quot;&gt;A.G. McDowell, &lt;i&gt;Village Life in Ancient Egypt: Laundry Lists and Love Songs&lt;/i&gt; (Oxford: Oxford University Press, 1999), p. 8.&lt;/span&gt;&quot;},&quot;1980491050&quot;:{&quot;referencesIds&quot;:[&quot;doc:69b1a37fa1e1904921caa361&quot;],&quot;referencesOptions&quot;:{&quot;doc:69b1a37fa1e1904921caa36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1980491050,&quot;citationText&quot;:&quot;&lt;span style=\&quot;font-family:Aptos;font-size:13.333333333333332px;color:#000000\&quot;&gt;Roland Barthes, &lt;i&gt;Music Image Text&lt;/i&gt; (London: Fontana Press, 1977).&lt;/span&gt;&quot;},&quot;2031991722&quot;:{&quot;referencesIds&quot;:[&quot;doc:69b008fb718ddf74a5a3c86a&quot;],&quot;referencesOptions&quot;:{&quot;doc:69b008fb718ddf74a5a3c86a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note&quot;,&quot;id&quot;:2031991722,&quot;citationText&quot;:&quot;&lt;span style=\&quot;font-family:Aptos;font-size:13.333333333333332px;color:#000000\&quot;&gt;Richard H. Wilkinson, &lt;i&gt;The Complete Gods and Goddesses of Ancient Egypt&lt;/i&gt; (New York: Thames Hudson, 2003), p. 224.&lt;/span&gt;&quot;},&quot;-529338370&quot;:{&quot;referencesIds&quot;:[&quot;doc:69b0340e278e9f4f42f85b07&quot;],&quot;referencesOptions&quot;:{&quot;doc:69b0340e278e9f4f42f85b07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note&quot;,&quot;id&quot;:-529338370,&quot;citationText&quot;:&quot;&lt;span style=\&quot;font-family:Aptos;font-size:13.333333333333332px;color:#000000\&quot;&gt;Brooklyn Museum, &lt;i&gt;Meretseger, &lt;/i&gt;2026 vols (2025) &lt;&lt;a href='https://www.brooklynmuseum.org/en-GB/objects/4178' target='_blank'&gt;https://www.brooklynmuseum.org/en-GB/objects/4178&lt;/a&gt;&gt; [accessed 10/03/2026].&lt;/span&gt;&quot;},&quot;-701323491&quot;:{&quot;referencesIds&quot;:[&quot;doc:69ba9b9d278e9f4f42f98548&quot;],&quot;referencesOptions&quot;:{&quot;doc:69ba9b9d278e9f4f42f98548&quot;:{&quot;author&quot;:true,&quot;year&quot;:true,&quot;formatAuthorYear&quot;:false,&quot;pageReplace&quot;:&quot;&quot;,&quot;additionalField&quot;:&quot;Page&quot;,&quot;additionalValue&quot;:&quot;129&quot;,&quot;prefix&quot;:&quot;&quot;,&quot;suffix&quot;:&quot;&quot;}},&quot;hasBrokenReferences&quot;:false,&quot;hasManualEdits&quot;:false,&quot;isEmpty&quot;:false,&quot;citationType&quot;:&quot;note&quot;,&quot;id&quot;:-701323491,&quot;citationText&quot;:&quot;&lt;span style=\&quot;font-family:Aptos;font-size:13.333333333333332px;color:#000000\&quot;&gt;Geraldine Pinch, &lt;i&gt;Egyptian Mythology: A Guide to the Gods, Goddesses, and Traditions of Ancient Egypt.&lt;/i&gt; (Oxford: Oxford University Press, 2004), p. 129.&lt;/span&gt;&quot;},&quot;-1601165548&quot;:{&quot;referencesIds&quot;:[&quot;doc:69b146aa1a16683b5102c1bd&quot;],&quot;referencesOptions&quot;:{&quot;doc:69b146aa1a16683b5102c1bd&quot;:{&quot;author&quot;:true,&quot;year&quot;:true,&quot;formatAuthorYear&quot;:false,&quot;pageReplace&quot;:&quot;&quot;,&quot;additionalField&quot;:&quot;Page&quot;,&quot;additionalValue&quot;:&quot;100&quot;,&quot;prefix&quot;:&quot;&quot;,&quot;suffix&quot;:&quot;&quot;}},&quot;hasBrokenReferences&quot;:false,&quot;hasManualEdits&quot;:false,&quot;isEmpty&quot;:false,&quot;citationType&quot;:&quot;note&quot;,&quot;id&quot;:-1601165548,&quot;citationText&quot;:&quot;&lt;span style=\&quot;font-family:Aptos;font-size:13.333333333333332px;color:#000000\&quot;&gt;A.G. McDowell, &lt;i&gt;Village Life in Ancient Egypt: Laundry Lists and Love Songs&lt;/i&gt; (Oxford: Oxford University Press, 1999), p. 100.&lt;/span&gt;&quot;},&quot;-33361312&quot;:{&quot;referencesIds&quot;:[&quot;doc:69bac3f8718ddf74a5a51810&quot;],&quot;referencesOptions&quot;:{&quot;doc:69bac3f8718ddf74a5a5181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-33361312,&quot;citationText&quot;:&quot;&lt;span style=\&quot;font-family:Aptos;font-size:13.333333333333332px;color:#000000\&quot;&gt;Museo Egizio, &lt;i&gt;Stela of Neferabu, &lt;/i&gt;2026 vols  &lt;&lt;a href='https://collezioni.museoegizio.it/en-GB/material/Cat_1593' target='_blank'&gt;https://collezioni.museoegizio.it/en-GB/material/Cat_1593&lt;/a&gt;&gt; [accessed 18/03/2026].&lt;/span&gt;&quot;},&quot;-1695226436&quot;:{&quot;referencesIds&quot;:[&quot;doc:69b146aa1a16683b5102c1bd&quot;],&quot;referencesOptions&quot;:{&quot;doc:69b146aa1a16683b5102c1bd&quot;:{&quot;author&quot;:true,&quot;year&quot;:true,&quot;formatAuthorYear&quot;:false,&quot;additionalField&quot;:&quot;Page&quot;,&quot;additionalValue&quot;:&quot;239&quot;,&quot;prefix&quot;:&quot;&quot;,&quot;suffix&quot;:&quot;&quot;}},&quot;hasBrokenReferences&quot;:false,&quot;hasManualEdits&quot;:false,&quot;isEmpty&quot;:false,&quot;citationType&quot;:&quot;note&quot;,&quot;id&quot;:-1695226436,&quot;citationText&quot;:&quot;&lt;span style=\&quot;font-family:Aptos;font-size:13.333333333333332px;color:#000000\&quot;&gt;A.G. McDowell, , p. 239&lt;/span&gt;&quot;},&quot;-489405363&quot;:{&quot;referencesIds&quot;:[&quot;doc:69b2907e0b41582de0612ea4&quot;],&quot;referencesOptions&quot;:{&quot;doc:69b2907e0b41582de0612ea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note&quot;,&quot;id&quot;:-489405363,&quot;citationText&quot;:&quot;&lt;span style=\&quot;font-family:Aptos;font-size:13.333333333333332px;color:#000000\&quot;&gt;C. R. Badcock, &lt;i&gt;Levi-Strauss: Structuralism and Sociological Theory&lt;/i&gt; (London: Hutchinson and Co. Limited, 1977).&lt;/span&gt;&quot;},&quot;-226456569&quot;:{&quot;referencesIds&quot;:[&quot;doc:69b1a37fa1e1904921caa361&quot;],&quot;referencesOptions&quot;:{&quot;doc:69b1a37fa1e1904921caa361&quot;:{&quot;author&quot;:true,&quot;year&quot;:true,&quot;formatAuthorYear&quot;:false,&quot;pageReplace&quot;:&quot;&quot;,&quot;additionalField&quot;:&quot;Page&quot;,&quot;additionalValue&quot;:&quot;15&quot;,&quot;prefix&quot;:&quot;&quot;,&quot;suffix&quot;:&quot;&quot;}},&quot;hasBrokenReferences&quot;:false,&quot;hasManualEdits&quot;:false,&quot;isEmpty&quot;:false,&quot;citationType&quot;:&quot;inline&quot;,&quot;id&quot;:-226456569,&quot;citationText&quot;:&quot;&lt;span style=\&quot;font-family:Aptos;font-size:13.333333333333332px;color:#000000\&quot;&gt;(Barthes 1977: 15)&lt;/span&gt;&quot;},&quot;-1868593110&quot;:{&quot;referencesIds&quot;:[&quot;doc:69bae40105b44b79fa26bc1f&quot;],&quot;referencesOptions&quot;:{&quot;doc:69bae40105b44b79fa26bc1f&quot;:{&quot;author&quot;:true,&quot;year&quot;:true,&quot;formatAuthorYear&quot;:false,&quot;pageReplace&quot;:&quot;&quot;,&quot;additionalField&quot;:&quot;Page&quot;,&quot;additionalValue&quot;:&quot;135&quot;,&quot;prefix&quot;:&quot;&quot;,&quot;suffix&quot;:&quot;&quot;}},&quot;hasBrokenReferences&quot;:false,&quot;hasManualEdits&quot;:false,&quot;isEmpty&quot;:false,&quot;citationType&quot;:&quot;note&quot;,&quot;id&quot;:-1868593110,&quot;citationText&quot;:&quot;&lt;span style=\&quot;font-family:Aptos;font-size:13.333333333333332px;color:#000000\&quot;&gt;Michel Foucault, &lt;i&gt;Discipline and Punish: The Birth of the Prison&lt;/i&gt; (Penguin, 1977), p. 135.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9b14dcc7a51770fd25121e4&quot;,&quot;styleType&quot;:&quot;refworks&quot;,&quot;name&quot;:&quot;MHRA-Modern Humanities Research Association (Notes &amp; Bibliography) (Copy)&quot;,&quot;userId&quot;:&quot;user:6568923492594a6ad5447e57&quot;,&quot;isInstitutional&quot;:false,&quot;citeStyle&quot;:&quot;INTEXT_AND_FOOTNOTE&quot;,&quot;isSorted&quot;:true,&quot;usesNumbers&quot;:fals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B4EF318C-0422-4ADE-BD1B-88D5EC6814F7}">
  <we:reference id="wa104382081" version="1.55.1.0" store="en-US" storeType="OMEX"/>
  <we:alternateReferences>
    <we:reference id="WA104382081" version="1.55.1.0" store="WA104382081" storeType="OMEX"/>
  </we:alternateReferences>
  <we:properties>
    <we:property name="MENDELEY_CITATIONS" value="[]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10" ma:contentTypeDescription="Create a new document." ma:contentTypeScope="" ma:versionID="ed768bfd95a350d8e4cd0ea011514f9c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e7614867010ee1e844f35edc75bf49ec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6EFE19-B42B-4FD3-B8C2-1F2C0101BD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1915D04-8438-4E6E-8E83-663B3A00DC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FBF987-3140-48CB-A380-85F5557E446F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4.xml><?xml version="1.0" encoding="utf-8"?>
<ds:datastoreItem xmlns:ds="http://schemas.openxmlformats.org/officeDocument/2006/customXml" ds:itemID="{65EF9A92-4CA4-4698-9199-255E937FA1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1746</Words>
  <Characters>9709</Characters>
  <Application>Microsoft Office Word</Application>
  <DocSecurity>0</DocSecurity>
  <Lines>164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Alyson Greening (1450605)</dc:creator>
  <cp:keywords/>
  <dc:description/>
  <cp:lastModifiedBy>Alyson Greening (1450605)</cp:lastModifiedBy>
  <cp:revision>3</cp:revision>
  <cp:lastPrinted>2026-03-18T17:54:00Z</cp:lastPrinted>
  <dcterms:created xsi:type="dcterms:W3CDTF">2026-03-19T12:36:00Z</dcterms:created>
  <dcterms:modified xsi:type="dcterms:W3CDTF">2026-03-19T12:37:00Z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