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85C205" w14:textId="7C5A064D" w:rsidR="0084067A" w:rsidRDefault="0084067A">
      <w:r>
        <w:t xml:space="preserve">European Law assignment 2 </w:t>
      </w:r>
    </w:p>
    <w:p w14:paraId="24B0A25F" w14:textId="56B54778" w:rsidR="0084067A" w:rsidRPr="008B3C8C" w:rsidRDefault="0084067A" w:rsidP="007C4921">
      <w:pPr>
        <w:spacing w:line="360" w:lineRule="auto"/>
        <w:jc w:val="both"/>
        <w:rPr>
          <w:sz w:val="24"/>
          <w:szCs w:val="24"/>
        </w:rPr>
      </w:pPr>
      <w:r w:rsidRPr="008B3C8C">
        <w:rPr>
          <w:sz w:val="24"/>
          <w:szCs w:val="24"/>
        </w:rPr>
        <w:t xml:space="preserve">Question 1 </w:t>
      </w:r>
    </w:p>
    <w:p w14:paraId="2AF65AC7" w14:textId="301C129B" w:rsidR="007E3941" w:rsidRPr="008B3C8C" w:rsidRDefault="00C353B5" w:rsidP="007C4921">
      <w:pPr>
        <w:spacing w:line="360" w:lineRule="auto"/>
        <w:jc w:val="both"/>
        <w:rPr>
          <w:sz w:val="24"/>
          <w:szCs w:val="24"/>
        </w:rPr>
      </w:pPr>
      <w:r w:rsidRPr="008B3C8C">
        <w:rPr>
          <w:sz w:val="24"/>
          <w:szCs w:val="24"/>
        </w:rPr>
        <w:t>The r</w:t>
      </w:r>
      <w:r w:rsidR="0084067A" w:rsidRPr="008B3C8C">
        <w:rPr>
          <w:sz w:val="24"/>
          <w:szCs w:val="24"/>
        </w:rPr>
        <w:t xml:space="preserve">elevant market </w:t>
      </w:r>
      <w:r w:rsidR="00002958" w:rsidRPr="008B3C8C">
        <w:rPr>
          <w:sz w:val="24"/>
          <w:szCs w:val="24"/>
        </w:rPr>
        <w:t>is a key feature in attempting keep a tight regulation on undertakings abuse of a dominate position under article 102</w:t>
      </w:r>
      <w:r w:rsidR="000F4C53" w:rsidRPr="008B3C8C">
        <w:rPr>
          <w:sz w:val="24"/>
          <w:szCs w:val="24"/>
        </w:rPr>
        <w:t xml:space="preserve"> (Craig, 2015)</w:t>
      </w:r>
      <w:r w:rsidR="0084067A" w:rsidRPr="008B3C8C">
        <w:rPr>
          <w:sz w:val="24"/>
          <w:szCs w:val="24"/>
        </w:rPr>
        <w:t xml:space="preserve">. Article 102 highlights the steps taken by the EU to ensure that these rights are protected. The article states that </w:t>
      </w:r>
      <w:r w:rsidR="007E3941" w:rsidRPr="008B3C8C">
        <w:rPr>
          <w:sz w:val="24"/>
          <w:szCs w:val="24"/>
        </w:rPr>
        <w:t>“</w:t>
      </w:r>
      <w:r w:rsidR="0084067A" w:rsidRPr="008B3C8C">
        <w:rPr>
          <w:sz w:val="24"/>
          <w:szCs w:val="24"/>
        </w:rPr>
        <w:t>any abuse by one or more undertakings of a dominant position within in its internal market… shall be prohibited as incompatible with the internal market</w:t>
      </w:r>
      <w:r w:rsidR="00150C17" w:rsidRPr="008B3C8C">
        <w:rPr>
          <w:sz w:val="24"/>
          <w:szCs w:val="24"/>
        </w:rPr>
        <w:t xml:space="preserve"> (European Commission 2019) (Forster, 2020) (Craig, 2015)</w:t>
      </w:r>
      <w:r w:rsidR="0084067A" w:rsidRPr="008B3C8C">
        <w:rPr>
          <w:sz w:val="24"/>
          <w:szCs w:val="24"/>
        </w:rPr>
        <w:t xml:space="preserve">. In so far as it may affect trade between member </w:t>
      </w:r>
      <w:r w:rsidR="0060698F" w:rsidRPr="008B3C8C">
        <w:rPr>
          <w:sz w:val="24"/>
          <w:szCs w:val="24"/>
        </w:rPr>
        <w:t>states</w:t>
      </w:r>
      <w:r w:rsidR="007E3941" w:rsidRPr="008B3C8C">
        <w:rPr>
          <w:sz w:val="24"/>
          <w:szCs w:val="24"/>
        </w:rPr>
        <w:t>”</w:t>
      </w:r>
      <w:r w:rsidR="0084067A" w:rsidRPr="008B3C8C">
        <w:rPr>
          <w:sz w:val="24"/>
          <w:szCs w:val="24"/>
        </w:rPr>
        <w:t xml:space="preserve">. This article attempts to protect both consumer and producer by ensuring that there is a healthy amount of competition for producers. Essentially meaning that one company cannot individually hold rights over one singular product. </w:t>
      </w:r>
      <w:r w:rsidRPr="008B3C8C">
        <w:rPr>
          <w:sz w:val="24"/>
          <w:szCs w:val="24"/>
        </w:rPr>
        <w:t>Article 102 is enforced to ensure that selling prices for products are reasonable, fair and in line with common commercial practise.</w:t>
      </w:r>
      <w:r w:rsidR="00002958" w:rsidRPr="008B3C8C">
        <w:rPr>
          <w:sz w:val="24"/>
          <w:szCs w:val="24"/>
        </w:rPr>
        <w:t xml:space="preserve"> </w:t>
      </w:r>
      <w:r w:rsidR="00C36080" w:rsidRPr="008B3C8C">
        <w:rPr>
          <w:sz w:val="24"/>
          <w:szCs w:val="24"/>
        </w:rPr>
        <w:t>Article</w:t>
      </w:r>
      <w:r w:rsidR="00002958" w:rsidRPr="008B3C8C">
        <w:rPr>
          <w:sz w:val="24"/>
          <w:szCs w:val="24"/>
        </w:rPr>
        <w:t xml:space="preserve"> 101 in recent years has been increasingly more prevalent in its attempt to govern the dominance shown by the undertakings</w:t>
      </w:r>
      <w:r w:rsidR="00004957" w:rsidRPr="008B3C8C">
        <w:rPr>
          <w:sz w:val="24"/>
          <w:szCs w:val="24"/>
        </w:rPr>
        <w:t xml:space="preserve"> (European Commission, 2019)</w:t>
      </w:r>
      <w:r w:rsidR="00002958" w:rsidRPr="008B3C8C">
        <w:rPr>
          <w:sz w:val="24"/>
          <w:szCs w:val="24"/>
        </w:rPr>
        <w:t xml:space="preserve">. Article 101 is dedicated to halting trades between member </w:t>
      </w:r>
      <w:r w:rsidR="00C36080" w:rsidRPr="008B3C8C">
        <w:rPr>
          <w:sz w:val="24"/>
          <w:szCs w:val="24"/>
        </w:rPr>
        <w:t>states</w:t>
      </w:r>
      <w:r w:rsidR="00002958" w:rsidRPr="008B3C8C">
        <w:rPr>
          <w:sz w:val="24"/>
          <w:szCs w:val="24"/>
        </w:rPr>
        <w:t xml:space="preserve"> that are preventive, restricting or distort competition within the internal markets.</w:t>
      </w:r>
      <w:r w:rsidRPr="008B3C8C">
        <w:rPr>
          <w:sz w:val="24"/>
          <w:szCs w:val="24"/>
        </w:rPr>
        <w:t xml:space="preserve"> The </w:t>
      </w:r>
      <w:r w:rsidR="0008005C" w:rsidRPr="008B3C8C">
        <w:rPr>
          <w:sz w:val="24"/>
          <w:szCs w:val="24"/>
        </w:rPr>
        <w:t>principle</w:t>
      </w:r>
      <w:r w:rsidRPr="008B3C8C">
        <w:rPr>
          <w:sz w:val="24"/>
          <w:szCs w:val="24"/>
        </w:rPr>
        <w:t xml:space="preserve"> of dominance and abuse</w:t>
      </w:r>
      <w:r w:rsidR="0008005C" w:rsidRPr="008B3C8C">
        <w:rPr>
          <w:sz w:val="24"/>
          <w:szCs w:val="24"/>
        </w:rPr>
        <w:t xml:space="preserve"> of economic position derives from the case United brands v Commission [1978]</w:t>
      </w:r>
      <w:r w:rsidR="004A08A3" w:rsidRPr="008B3C8C">
        <w:rPr>
          <w:sz w:val="24"/>
          <w:szCs w:val="24"/>
        </w:rPr>
        <w:t xml:space="preserve"> (Akman 2018)</w:t>
      </w:r>
      <w:r w:rsidR="00CB64AC" w:rsidRPr="008B3C8C">
        <w:rPr>
          <w:sz w:val="24"/>
          <w:szCs w:val="24"/>
        </w:rPr>
        <w:t xml:space="preserve"> (Forster, 2020) (Europe council, 2018)</w:t>
      </w:r>
      <w:r w:rsidR="0008005C" w:rsidRPr="008B3C8C">
        <w:rPr>
          <w:sz w:val="24"/>
          <w:szCs w:val="24"/>
        </w:rPr>
        <w:t xml:space="preserve">. This case sees the Court of Justice highlight the key issue of those from positions of Economic dominance can dictate the relevant market which complicates the relationship between the customer, </w:t>
      </w:r>
      <w:r w:rsidR="008956C8" w:rsidRPr="008B3C8C">
        <w:rPr>
          <w:sz w:val="24"/>
          <w:szCs w:val="24"/>
        </w:rPr>
        <w:t>competitors,</w:t>
      </w:r>
      <w:r w:rsidR="0008005C" w:rsidRPr="008B3C8C">
        <w:rPr>
          <w:sz w:val="24"/>
          <w:szCs w:val="24"/>
        </w:rPr>
        <w:t xml:space="preserve"> and consumers</w:t>
      </w:r>
      <w:r w:rsidR="00004957" w:rsidRPr="008B3C8C">
        <w:rPr>
          <w:sz w:val="24"/>
          <w:szCs w:val="24"/>
        </w:rPr>
        <w:t xml:space="preserve"> (Parenti, 2020)</w:t>
      </w:r>
      <w:r w:rsidR="0008005C" w:rsidRPr="008B3C8C">
        <w:rPr>
          <w:sz w:val="24"/>
          <w:szCs w:val="24"/>
        </w:rPr>
        <w:t>.</w:t>
      </w:r>
    </w:p>
    <w:p w14:paraId="0383B531" w14:textId="249D485C" w:rsidR="0084067A" w:rsidRPr="008B3C8C" w:rsidRDefault="0008005C" w:rsidP="007C4921">
      <w:pPr>
        <w:spacing w:line="360" w:lineRule="auto"/>
        <w:jc w:val="both"/>
        <w:rPr>
          <w:sz w:val="24"/>
          <w:szCs w:val="24"/>
        </w:rPr>
      </w:pPr>
      <w:r w:rsidRPr="008B3C8C">
        <w:rPr>
          <w:sz w:val="24"/>
          <w:szCs w:val="24"/>
        </w:rPr>
        <w:t xml:space="preserve">United Brands v Commission [1978] brought about a </w:t>
      </w:r>
      <w:r w:rsidR="00C33224" w:rsidRPr="008B3C8C">
        <w:rPr>
          <w:sz w:val="24"/>
          <w:szCs w:val="24"/>
        </w:rPr>
        <w:t xml:space="preserve">change in which the Court of Justice ensured that the exact definition of the narrowing the relevant market. This led them to specify this in the Commission Notice on the definition of the relevant market (1997) that created two distinctions between the </w:t>
      </w:r>
      <w:r w:rsidR="008956C8" w:rsidRPr="008B3C8C">
        <w:rPr>
          <w:sz w:val="24"/>
          <w:szCs w:val="24"/>
        </w:rPr>
        <w:t>market:</w:t>
      </w:r>
      <w:r w:rsidR="00C33224" w:rsidRPr="008B3C8C">
        <w:rPr>
          <w:sz w:val="24"/>
          <w:szCs w:val="24"/>
        </w:rPr>
        <w:t xml:space="preserve"> The relevant product market and relevant geographical market.</w:t>
      </w:r>
      <w:r w:rsidR="00474D39" w:rsidRPr="008B3C8C">
        <w:rPr>
          <w:sz w:val="24"/>
          <w:szCs w:val="24"/>
        </w:rPr>
        <w:t xml:space="preserve"> Though not legally binding </w:t>
      </w:r>
      <w:r w:rsidR="00147BFB" w:rsidRPr="008B3C8C">
        <w:rPr>
          <w:sz w:val="24"/>
          <w:szCs w:val="24"/>
        </w:rPr>
        <w:t xml:space="preserve">and is referred to as “soft law” </w:t>
      </w:r>
      <w:r w:rsidR="00474D39" w:rsidRPr="008B3C8C">
        <w:rPr>
          <w:sz w:val="24"/>
          <w:szCs w:val="24"/>
        </w:rPr>
        <w:t>it</w:t>
      </w:r>
      <w:r w:rsidR="00C33224" w:rsidRPr="008B3C8C">
        <w:rPr>
          <w:sz w:val="24"/>
          <w:szCs w:val="24"/>
        </w:rPr>
        <w:t xml:space="preserve"> help</w:t>
      </w:r>
      <w:r w:rsidR="00474D39" w:rsidRPr="008B3C8C">
        <w:rPr>
          <w:sz w:val="24"/>
          <w:szCs w:val="24"/>
        </w:rPr>
        <w:t>ed</w:t>
      </w:r>
      <w:r w:rsidR="00C33224" w:rsidRPr="008B3C8C">
        <w:rPr>
          <w:sz w:val="24"/>
          <w:szCs w:val="24"/>
        </w:rPr>
        <w:t xml:space="preserve"> the court of Justice narrow down </w:t>
      </w:r>
      <w:r w:rsidR="00474D39" w:rsidRPr="008B3C8C">
        <w:rPr>
          <w:sz w:val="24"/>
          <w:szCs w:val="24"/>
        </w:rPr>
        <w:t>whether there had been a breach of Article 102</w:t>
      </w:r>
      <w:r w:rsidR="00150C17" w:rsidRPr="008B3C8C">
        <w:rPr>
          <w:sz w:val="24"/>
          <w:szCs w:val="24"/>
        </w:rPr>
        <w:t xml:space="preserve"> (European </w:t>
      </w:r>
      <w:r w:rsidR="00637DF6" w:rsidRPr="008B3C8C">
        <w:rPr>
          <w:sz w:val="24"/>
          <w:szCs w:val="24"/>
        </w:rPr>
        <w:t>Commission</w:t>
      </w:r>
      <w:r w:rsidR="00150C17" w:rsidRPr="008B3C8C">
        <w:rPr>
          <w:sz w:val="24"/>
          <w:szCs w:val="24"/>
        </w:rPr>
        <w:t xml:space="preserve">, </w:t>
      </w:r>
      <w:r w:rsidR="00637DF6" w:rsidRPr="008B3C8C">
        <w:rPr>
          <w:sz w:val="24"/>
          <w:szCs w:val="24"/>
        </w:rPr>
        <w:t>2021</w:t>
      </w:r>
      <w:r w:rsidR="00150C17" w:rsidRPr="008B3C8C">
        <w:rPr>
          <w:sz w:val="24"/>
          <w:szCs w:val="24"/>
        </w:rPr>
        <w:t>)</w:t>
      </w:r>
      <w:r w:rsidR="0078397A" w:rsidRPr="008B3C8C">
        <w:rPr>
          <w:sz w:val="24"/>
          <w:szCs w:val="24"/>
        </w:rPr>
        <w:t xml:space="preserve"> (Eurofound, 2011)</w:t>
      </w:r>
      <w:r w:rsidR="00474D39" w:rsidRPr="008B3C8C">
        <w:rPr>
          <w:sz w:val="24"/>
          <w:szCs w:val="24"/>
        </w:rPr>
        <w:t>. The relevant product market under the commission notice [1997] formulates two tests the first of which this the SSNIP test</w:t>
      </w:r>
      <w:r w:rsidR="00B169C2" w:rsidRPr="008B3C8C">
        <w:rPr>
          <w:sz w:val="24"/>
          <w:szCs w:val="24"/>
        </w:rPr>
        <w:t>.</w:t>
      </w:r>
      <w:r w:rsidR="00474D39" w:rsidRPr="008B3C8C">
        <w:rPr>
          <w:sz w:val="24"/>
          <w:szCs w:val="24"/>
        </w:rPr>
        <w:t xml:space="preserve"> </w:t>
      </w:r>
      <w:r w:rsidR="00B169C2" w:rsidRPr="008B3C8C">
        <w:rPr>
          <w:sz w:val="24"/>
          <w:szCs w:val="24"/>
        </w:rPr>
        <w:t>The SSNIP test</w:t>
      </w:r>
      <w:r w:rsidR="009F6D28" w:rsidRPr="008B3C8C">
        <w:rPr>
          <w:sz w:val="24"/>
          <w:szCs w:val="24"/>
        </w:rPr>
        <w:t xml:space="preserve"> </w:t>
      </w:r>
      <w:r w:rsidR="00C9690B" w:rsidRPr="008B3C8C">
        <w:rPr>
          <w:sz w:val="24"/>
          <w:szCs w:val="24"/>
        </w:rPr>
        <w:t xml:space="preserve">regulates the </w:t>
      </w:r>
      <w:r w:rsidR="001F5982" w:rsidRPr="008B3C8C">
        <w:rPr>
          <w:sz w:val="24"/>
          <w:szCs w:val="24"/>
        </w:rPr>
        <w:t>number</w:t>
      </w:r>
      <w:r w:rsidR="00C9690B" w:rsidRPr="008B3C8C">
        <w:rPr>
          <w:sz w:val="24"/>
          <w:szCs w:val="24"/>
        </w:rPr>
        <w:t xml:space="preserve"> of shares in which a company can have over a market in the case of Union brands these share</w:t>
      </w:r>
      <w:r w:rsidR="00147BFB" w:rsidRPr="008B3C8C">
        <w:rPr>
          <w:sz w:val="24"/>
          <w:szCs w:val="24"/>
        </w:rPr>
        <w:t>s</w:t>
      </w:r>
      <w:r w:rsidR="00C9690B" w:rsidRPr="008B3C8C">
        <w:rPr>
          <w:sz w:val="24"/>
          <w:szCs w:val="24"/>
        </w:rPr>
        <w:t xml:space="preserve"> were roughly 40%. The target price for an individual company to have is around 5-10% this </w:t>
      </w:r>
      <w:r w:rsidR="00705E85" w:rsidRPr="008B3C8C">
        <w:rPr>
          <w:sz w:val="24"/>
          <w:szCs w:val="24"/>
        </w:rPr>
        <w:t>sh</w:t>
      </w:r>
      <w:r w:rsidR="00C9690B" w:rsidRPr="008B3C8C">
        <w:rPr>
          <w:sz w:val="24"/>
          <w:szCs w:val="24"/>
        </w:rPr>
        <w:t xml:space="preserve">ould result in a balanced </w:t>
      </w:r>
      <w:r w:rsidR="003157D3" w:rsidRPr="008B3C8C">
        <w:rPr>
          <w:sz w:val="24"/>
          <w:szCs w:val="24"/>
        </w:rPr>
        <w:t>relevant market.</w:t>
      </w:r>
      <w:r w:rsidR="00705E85" w:rsidRPr="008B3C8C">
        <w:rPr>
          <w:sz w:val="24"/>
          <w:szCs w:val="24"/>
        </w:rPr>
        <w:t xml:space="preserve"> However, there are </w:t>
      </w:r>
      <w:r w:rsidR="00705E85" w:rsidRPr="008B3C8C">
        <w:rPr>
          <w:sz w:val="24"/>
          <w:szCs w:val="24"/>
        </w:rPr>
        <w:lastRenderedPageBreak/>
        <w:t>criticisms from the producer because it does not solve the problem of increased of product pricing causing a narrowing the relevant market (Roundtable, 2012).</w:t>
      </w:r>
      <w:r w:rsidR="003157D3" w:rsidRPr="008B3C8C">
        <w:rPr>
          <w:sz w:val="24"/>
          <w:szCs w:val="24"/>
        </w:rPr>
        <w:t xml:space="preserve"> Furthermore, the data gather</w:t>
      </w:r>
      <w:r w:rsidR="004A08A3" w:rsidRPr="008B3C8C">
        <w:rPr>
          <w:sz w:val="24"/>
          <w:szCs w:val="24"/>
        </w:rPr>
        <w:t>ed</w:t>
      </w:r>
      <w:r w:rsidR="003157D3" w:rsidRPr="008B3C8C">
        <w:rPr>
          <w:sz w:val="24"/>
          <w:szCs w:val="24"/>
        </w:rPr>
        <w:t xml:space="preserve"> for the SSNIP test is achieved by determining </w:t>
      </w:r>
      <w:r w:rsidR="00366263" w:rsidRPr="008B3C8C">
        <w:rPr>
          <w:sz w:val="24"/>
          <w:szCs w:val="24"/>
        </w:rPr>
        <w:t>t</w:t>
      </w:r>
      <w:r w:rsidR="003157D3" w:rsidRPr="008B3C8C">
        <w:rPr>
          <w:sz w:val="24"/>
          <w:szCs w:val="24"/>
        </w:rPr>
        <w:t>he product itself, the price of said product and how it is perceived by the consumers</w:t>
      </w:r>
      <w:r w:rsidR="00A43AD2" w:rsidRPr="008B3C8C">
        <w:rPr>
          <w:sz w:val="24"/>
          <w:szCs w:val="24"/>
        </w:rPr>
        <w:t xml:space="preserve"> (EUR-Lex, 2021)</w:t>
      </w:r>
      <w:r w:rsidR="003157D3" w:rsidRPr="008B3C8C">
        <w:rPr>
          <w:sz w:val="24"/>
          <w:szCs w:val="24"/>
        </w:rPr>
        <w:t xml:space="preserve">. This is evidence that the EU has attempted to </w:t>
      </w:r>
      <w:r w:rsidR="00E95588" w:rsidRPr="008B3C8C">
        <w:rPr>
          <w:sz w:val="24"/>
          <w:szCs w:val="24"/>
        </w:rPr>
        <w:t>stabilise the relevant market.</w:t>
      </w:r>
      <w:r w:rsidR="00D457C0" w:rsidRPr="008B3C8C">
        <w:rPr>
          <w:sz w:val="24"/>
          <w:szCs w:val="24"/>
        </w:rPr>
        <w:t xml:space="preserve"> This earlier attempt of </w:t>
      </w:r>
      <w:r w:rsidR="00F92E5D" w:rsidRPr="008B3C8C">
        <w:rPr>
          <w:sz w:val="24"/>
          <w:szCs w:val="24"/>
        </w:rPr>
        <w:t>stabilising</w:t>
      </w:r>
      <w:r w:rsidR="00D457C0" w:rsidRPr="008B3C8C">
        <w:rPr>
          <w:sz w:val="24"/>
          <w:szCs w:val="24"/>
        </w:rPr>
        <w:t xml:space="preserve"> the market for the consumer and producer would find that united brands’ conduct was abusive and thus in violation of article 102. </w:t>
      </w:r>
      <w:r w:rsidR="004A08A3" w:rsidRPr="008B3C8C">
        <w:rPr>
          <w:sz w:val="24"/>
          <w:szCs w:val="24"/>
        </w:rPr>
        <w:t>T</w:t>
      </w:r>
      <w:r w:rsidR="00D457C0" w:rsidRPr="008B3C8C">
        <w:rPr>
          <w:sz w:val="24"/>
          <w:szCs w:val="24"/>
        </w:rPr>
        <w:t>he contrasting case for this would be cooperative co-frutta [1987] this case held that bananas were in direct competition to with other fruits unlike the previous case</w:t>
      </w:r>
      <w:r w:rsidR="005350CD" w:rsidRPr="008B3C8C">
        <w:rPr>
          <w:sz w:val="24"/>
          <w:szCs w:val="24"/>
        </w:rPr>
        <w:t xml:space="preserve"> (Eur-Lex, 2021)</w:t>
      </w:r>
      <w:r w:rsidR="00D457C0" w:rsidRPr="008B3C8C">
        <w:rPr>
          <w:sz w:val="24"/>
          <w:szCs w:val="24"/>
        </w:rPr>
        <w:t xml:space="preserve">. </w:t>
      </w:r>
      <w:r w:rsidR="00C811CD" w:rsidRPr="008B3C8C">
        <w:rPr>
          <w:sz w:val="24"/>
          <w:szCs w:val="24"/>
        </w:rPr>
        <w:t>The concept of Cellophane fallacy brought to the attention of the courts in the united states v E I Du Pont [1956] does not fall under the scope of the SSNIP test.</w:t>
      </w:r>
      <w:r w:rsidR="00DB345E" w:rsidRPr="008B3C8C">
        <w:rPr>
          <w:sz w:val="24"/>
          <w:szCs w:val="24"/>
        </w:rPr>
        <w:t xml:space="preserve"> The defendant Du Pont, had set their sights on maximising its profit</w:t>
      </w:r>
      <w:r w:rsidR="005350CD" w:rsidRPr="008B3C8C">
        <w:rPr>
          <w:sz w:val="24"/>
          <w:szCs w:val="24"/>
        </w:rPr>
        <w:t xml:space="preserve"> (Burt, 1960)</w:t>
      </w:r>
      <w:r w:rsidR="008956C8" w:rsidRPr="008B3C8C">
        <w:rPr>
          <w:sz w:val="24"/>
          <w:szCs w:val="24"/>
        </w:rPr>
        <w:t>.</w:t>
      </w:r>
      <w:r w:rsidR="00DB345E" w:rsidRPr="008B3C8C">
        <w:rPr>
          <w:sz w:val="24"/>
          <w:szCs w:val="24"/>
        </w:rPr>
        <w:t xml:space="preserve"> </w:t>
      </w:r>
      <w:r w:rsidR="008956C8" w:rsidRPr="008B3C8C">
        <w:rPr>
          <w:sz w:val="24"/>
          <w:szCs w:val="24"/>
        </w:rPr>
        <w:t>T</w:t>
      </w:r>
      <w:r w:rsidR="00DB345E" w:rsidRPr="008B3C8C">
        <w:rPr>
          <w:sz w:val="24"/>
          <w:szCs w:val="24"/>
        </w:rPr>
        <w:t>hey were the only distributer of cellophane not leaving cheaper alternatives for the consumer</w:t>
      </w:r>
      <w:r w:rsidR="001036E4" w:rsidRPr="008B3C8C">
        <w:rPr>
          <w:sz w:val="24"/>
          <w:szCs w:val="24"/>
        </w:rPr>
        <w:t xml:space="preserve"> this kind of market power can be seen as abuse of a dominant position.</w:t>
      </w:r>
      <w:r w:rsidR="00DB345E" w:rsidRPr="008B3C8C">
        <w:rPr>
          <w:sz w:val="24"/>
          <w:szCs w:val="24"/>
        </w:rPr>
        <w:t xml:space="preserve"> </w:t>
      </w:r>
      <w:r w:rsidR="001036E4" w:rsidRPr="008B3C8C">
        <w:rPr>
          <w:sz w:val="24"/>
          <w:szCs w:val="24"/>
        </w:rPr>
        <w:t>I</w:t>
      </w:r>
      <w:r w:rsidR="00DB345E" w:rsidRPr="008B3C8C">
        <w:rPr>
          <w:sz w:val="24"/>
          <w:szCs w:val="24"/>
        </w:rPr>
        <w:t xml:space="preserve">t was important that the Court of Justice intervened to ensure </w:t>
      </w:r>
      <w:r w:rsidR="001036E4" w:rsidRPr="008B3C8C">
        <w:rPr>
          <w:sz w:val="24"/>
          <w:szCs w:val="24"/>
        </w:rPr>
        <w:t>that the undertakes were not earning excessive amounts of profit</w:t>
      </w:r>
      <w:r w:rsidR="00A43AD2" w:rsidRPr="008B3C8C">
        <w:rPr>
          <w:sz w:val="24"/>
          <w:szCs w:val="24"/>
        </w:rPr>
        <w:t xml:space="preserve"> (Craig, 2015)</w:t>
      </w:r>
      <w:r w:rsidR="001036E4" w:rsidRPr="008B3C8C">
        <w:rPr>
          <w:sz w:val="24"/>
          <w:szCs w:val="24"/>
        </w:rPr>
        <w:t>.</w:t>
      </w:r>
      <w:r w:rsidR="008956C8" w:rsidRPr="008B3C8C">
        <w:rPr>
          <w:sz w:val="24"/>
          <w:szCs w:val="24"/>
        </w:rPr>
        <w:t xml:space="preserve"> </w:t>
      </w:r>
      <w:r w:rsidR="00B31C76" w:rsidRPr="008B3C8C">
        <w:rPr>
          <w:sz w:val="24"/>
          <w:szCs w:val="24"/>
        </w:rPr>
        <w:t>This issue is cleared up in the Continental Can v Commission</w:t>
      </w:r>
      <w:r w:rsidR="00A43AD2" w:rsidRPr="008B3C8C">
        <w:rPr>
          <w:sz w:val="24"/>
          <w:szCs w:val="24"/>
        </w:rPr>
        <w:t xml:space="preserve"> [1973]</w:t>
      </w:r>
      <w:r w:rsidR="00B31C76" w:rsidRPr="008B3C8C">
        <w:rPr>
          <w:sz w:val="24"/>
          <w:szCs w:val="24"/>
        </w:rPr>
        <w:t xml:space="preserve"> case, which follows the principle of supply substitutability.</w:t>
      </w:r>
      <w:r w:rsidR="004A08A3" w:rsidRPr="008B3C8C">
        <w:rPr>
          <w:sz w:val="24"/>
          <w:szCs w:val="24"/>
        </w:rPr>
        <w:t xml:space="preserve"> This is used by the commission and the Court of Justice to regulate and question the products being made by undertakings that are over expanding their relevant market</w:t>
      </w:r>
      <w:r w:rsidR="00A43AD2" w:rsidRPr="008B3C8C">
        <w:rPr>
          <w:sz w:val="24"/>
          <w:szCs w:val="24"/>
        </w:rPr>
        <w:t xml:space="preserve"> (EUR-Lex)</w:t>
      </w:r>
      <w:r w:rsidR="0090422A" w:rsidRPr="008B3C8C">
        <w:rPr>
          <w:sz w:val="24"/>
          <w:szCs w:val="24"/>
        </w:rPr>
        <w:t xml:space="preserve"> (</w:t>
      </w:r>
      <w:r w:rsidR="0090422A" w:rsidRPr="008B3C8C">
        <w:rPr>
          <w:sz w:val="24"/>
          <w:szCs w:val="24"/>
        </w:rPr>
        <w:t>Hurwitz</w:t>
      </w:r>
      <w:r w:rsidR="0090422A" w:rsidRPr="008B3C8C">
        <w:rPr>
          <w:sz w:val="24"/>
          <w:szCs w:val="24"/>
        </w:rPr>
        <w:t>, 1974)</w:t>
      </w:r>
      <w:r w:rsidR="004A08A3" w:rsidRPr="008B3C8C">
        <w:rPr>
          <w:sz w:val="24"/>
          <w:szCs w:val="24"/>
        </w:rPr>
        <w:t>.</w:t>
      </w:r>
      <w:r w:rsidR="00147BFB" w:rsidRPr="008B3C8C">
        <w:rPr>
          <w:sz w:val="24"/>
          <w:szCs w:val="24"/>
        </w:rPr>
        <w:t xml:space="preserve"> An important concern taken form United Brands and continental can is that the market share for their specific product would be diluted. This is in contrast with the view held by the commission who have attempted to narrow the market which allows the market to be more competitive. </w:t>
      </w:r>
      <w:r w:rsidR="004A08A3" w:rsidRPr="008B3C8C">
        <w:rPr>
          <w:sz w:val="24"/>
          <w:szCs w:val="24"/>
        </w:rPr>
        <w:t>Another key case that links with this concept is Michelin v Commission [1983]</w:t>
      </w:r>
      <w:r w:rsidR="0090422A" w:rsidRPr="008B3C8C">
        <w:rPr>
          <w:sz w:val="24"/>
          <w:szCs w:val="24"/>
        </w:rPr>
        <w:t xml:space="preserve"> (Eur-Lex, 2021)</w:t>
      </w:r>
      <w:r w:rsidR="004049D2" w:rsidRPr="008B3C8C">
        <w:rPr>
          <w:sz w:val="24"/>
          <w:szCs w:val="24"/>
        </w:rPr>
        <w:t xml:space="preserve"> (Petit, 2015)</w:t>
      </w:r>
      <w:r w:rsidR="004A08A3" w:rsidRPr="008B3C8C">
        <w:rPr>
          <w:sz w:val="24"/>
          <w:szCs w:val="24"/>
        </w:rPr>
        <w:t xml:space="preserve">. The test for discretion was used in both cases to determine </w:t>
      </w:r>
      <w:r w:rsidR="00C36080" w:rsidRPr="008B3C8C">
        <w:rPr>
          <w:sz w:val="24"/>
          <w:szCs w:val="24"/>
        </w:rPr>
        <w:t>whether</w:t>
      </w:r>
      <w:r w:rsidR="004A08A3" w:rsidRPr="008B3C8C">
        <w:rPr>
          <w:sz w:val="24"/>
          <w:szCs w:val="24"/>
        </w:rPr>
        <w:t xml:space="preserve"> the </w:t>
      </w:r>
      <w:r w:rsidR="006178B4" w:rsidRPr="008B3C8C">
        <w:rPr>
          <w:sz w:val="24"/>
          <w:szCs w:val="24"/>
        </w:rPr>
        <w:t>monopolies</w:t>
      </w:r>
      <w:r w:rsidR="004A08A3" w:rsidRPr="008B3C8C">
        <w:rPr>
          <w:sz w:val="24"/>
          <w:szCs w:val="24"/>
        </w:rPr>
        <w:t xml:space="preserve"> w</w:t>
      </w:r>
      <w:r w:rsidR="006178B4" w:rsidRPr="008B3C8C">
        <w:rPr>
          <w:sz w:val="24"/>
          <w:szCs w:val="24"/>
        </w:rPr>
        <w:t>ere</w:t>
      </w:r>
      <w:r w:rsidR="004A08A3" w:rsidRPr="008B3C8C">
        <w:rPr>
          <w:sz w:val="24"/>
          <w:szCs w:val="24"/>
        </w:rPr>
        <w:t xml:space="preserve"> attempting to</w:t>
      </w:r>
      <w:r w:rsidR="006178B4" w:rsidRPr="008B3C8C">
        <w:rPr>
          <w:sz w:val="24"/>
          <w:szCs w:val="24"/>
        </w:rPr>
        <w:t xml:space="preserve"> dominate a specific relevant market. For example</w:t>
      </w:r>
      <w:r w:rsidR="0060698F" w:rsidRPr="008B3C8C">
        <w:rPr>
          <w:sz w:val="24"/>
          <w:szCs w:val="24"/>
        </w:rPr>
        <w:t>,</w:t>
      </w:r>
      <w:r w:rsidR="006178B4" w:rsidRPr="008B3C8C">
        <w:rPr>
          <w:sz w:val="24"/>
          <w:szCs w:val="24"/>
        </w:rPr>
        <w:t xml:space="preserve"> in Michelin the undertakings were attempting to product tyres for car as well as tyres for lorries the courts feared that this would narrow the market for car tyres. Although they are not a substitute from the perspective of the consumer </w:t>
      </w:r>
      <w:r w:rsidR="00AE6CBD" w:rsidRPr="008B3C8C">
        <w:rPr>
          <w:sz w:val="24"/>
          <w:szCs w:val="24"/>
        </w:rPr>
        <w:t xml:space="preserve">it cannot be denied that the product </w:t>
      </w:r>
      <w:r w:rsidR="0060698F" w:rsidRPr="008B3C8C">
        <w:rPr>
          <w:sz w:val="24"/>
          <w:szCs w:val="24"/>
        </w:rPr>
        <w:t>was</w:t>
      </w:r>
      <w:r w:rsidR="00AE6CBD" w:rsidRPr="008B3C8C">
        <w:rPr>
          <w:sz w:val="24"/>
          <w:szCs w:val="24"/>
        </w:rPr>
        <w:t xml:space="preserve"> different and thus did not directly </w:t>
      </w:r>
      <w:r w:rsidR="00C36080" w:rsidRPr="008B3C8C">
        <w:rPr>
          <w:sz w:val="24"/>
          <w:szCs w:val="24"/>
        </w:rPr>
        <w:t>compete</w:t>
      </w:r>
      <w:r w:rsidR="00AE6CBD" w:rsidRPr="008B3C8C">
        <w:rPr>
          <w:sz w:val="24"/>
          <w:szCs w:val="24"/>
        </w:rPr>
        <w:t>. Therefore, they fulfilled different market thus breaking the principles for fair competition set out in both article</w:t>
      </w:r>
      <w:r w:rsidR="0060698F" w:rsidRPr="008B3C8C">
        <w:rPr>
          <w:sz w:val="24"/>
          <w:szCs w:val="24"/>
        </w:rPr>
        <w:t xml:space="preserve"> </w:t>
      </w:r>
      <w:r w:rsidR="00AE6CBD" w:rsidRPr="008B3C8C">
        <w:rPr>
          <w:sz w:val="24"/>
          <w:szCs w:val="24"/>
        </w:rPr>
        <w:t>102</w:t>
      </w:r>
      <w:r w:rsidR="00A43AD2" w:rsidRPr="008B3C8C">
        <w:rPr>
          <w:sz w:val="24"/>
          <w:szCs w:val="24"/>
        </w:rPr>
        <w:t xml:space="preserve"> (EUR-Lex)</w:t>
      </w:r>
      <w:r w:rsidR="00AE6CBD" w:rsidRPr="008B3C8C">
        <w:rPr>
          <w:sz w:val="24"/>
          <w:szCs w:val="24"/>
        </w:rPr>
        <w:t>.</w:t>
      </w:r>
      <w:r w:rsidR="0060698F" w:rsidRPr="008B3C8C">
        <w:rPr>
          <w:sz w:val="24"/>
          <w:szCs w:val="24"/>
        </w:rPr>
        <w:t xml:space="preserve"> </w:t>
      </w:r>
    </w:p>
    <w:p w14:paraId="25EC6944" w14:textId="34D2411A" w:rsidR="00A84C12" w:rsidRPr="008B3C8C" w:rsidRDefault="00A21B82" w:rsidP="007C4921">
      <w:pPr>
        <w:spacing w:line="360" w:lineRule="auto"/>
        <w:jc w:val="both"/>
        <w:rPr>
          <w:sz w:val="24"/>
          <w:szCs w:val="24"/>
        </w:rPr>
      </w:pPr>
      <w:r w:rsidRPr="008B3C8C">
        <w:rPr>
          <w:sz w:val="24"/>
          <w:szCs w:val="24"/>
        </w:rPr>
        <w:t>The relevant geographical market was set up by the European commission to establish how dominant an undertaking is in</w:t>
      </w:r>
      <w:r w:rsidR="00B415FE" w:rsidRPr="008B3C8C">
        <w:rPr>
          <w:sz w:val="24"/>
          <w:szCs w:val="24"/>
        </w:rPr>
        <w:t xml:space="preserve"> a</w:t>
      </w:r>
      <w:r w:rsidRPr="008B3C8C">
        <w:rPr>
          <w:sz w:val="24"/>
          <w:szCs w:val="24"/>
        </w:rPr>
        <w:t xml:space="preserve"> specific area. </w:t>
      </w:r>
      <w:r w:rsidR="00A765C5" w:rsidRPr="008B3C8C">
        <w:rPr>
          <w:sz w:val="24"/>
          <w:szCs w:val="24"/>
        </w:rPr>
        <w:t>This is used to m</w:t>
      </w:r>
      <w:r w:rsidR="00CC1616" w:rsidRPr="008B3C8C">
        <w:rPr>
          <w:sz w:val="24"/>
          <w:szCs w:val="24"/>
        </w:rPr>
        <w:t>o</w:t>
      </w:r>
      <w:r w:rsidR="00A765C5" w:rsidRPr="008B3C8C">
        <w:rPr>
          <w:sz w:val="24"/>
          <w:szCs w:val="24"/>
        </w:rPr>
        <w:t xml:space="preserve">nitor whether an undertaking </w:t>
      </w:r>
      <w:r w:rsidR="00A765C5" w:rsidRPr="008B3C8C">
        <w:rPr>
          <w:sz w:val="24"/>
          <w:szCs w:val="24"/>
        </w:rPr>
        <w:lastRenderedPageBreak/>
        <w:t>is allowing for an expansive market or</w:t>
      </w:r>
      <w:r w:rsidR="00E94045" w:rsidRPr="008B3C8C">
        <w:rPr>
          <w:sz w:val="24"/>
          <w:szCs w:val="24"/>
        </w:rPr>
        <w:t xml:space="preserve"> </w:t>
      </w:r>
      <w:r w:rsidR="00CC1616" w:rsidRPr="008B3C8C">
        <w:rPr>
          <w:sz w:val="24"/>
          <w:szCs w:val="24"/>
        </w:rPr>
        <w:t>narrow market.</w:t>
      </w:r>
      <w:r w:rsidR="00A765C5" w:rsidRPr="008B3C8C">
        <w:rPr>
          <w:sz w:val="24"/>
          <w:szCs w:val="24"/>
        </w:rPr>
        <w:t xml:space="preserve"> </w:t>
      </w:r>
      <w:r w:rsidR="00B415FE" w:rsidRPr="008B3C8C">
        <w:rPr>
          <w:sz w:val="24"/>
          <w:szCs w:val="24"/>
        </w:rPr>
        <w:t xml:space="preserve">This is based on two main factors the location in which the undertaking is targeting and consumer access. </w:t>
      </w:r>
      <w:r w:rsidR="00922BA9" w:rsidRPr="008B3C8C">
        <w:rPr>
          <w:sz w:val="24"/>
          <w:szCs w:val="24"/>
        </w:rPr>
        <w:t>Hilti AG v Commission</w:t>
      </w:r>
      <w:r w:rsidR="00090888" w:rsidRPr="008B3C8C">
        <w:rPr>
          <w:sz w:val="24"/>
          <w:szCs w:val="24"/>
        </w:rPr>
        <w:t xml:space="preserve"> [1991]</w:t>
      </w:r>
      <w:r w:rsidR="00922BA9" w:rsidRPr="008B3C8C">
        <w:rPr>
          <w:sz w:val="24"/>
          <w:szCs w:val="24"/>
        </w:rPr>
        <w:t xml:space="preserve"> is the leading example when it comes to how the European Court of Justice views </w:t>
      </w:r>
      <w:r w:rsidR="00720975" w:rsidRPr="008B3C8C">
        <w:rPr>
          <w:sz w:val="24"/>
          <w:szCs w:val="24"/>
        </w:rPr>
        <w:t>dominance over multiple different Member states</w:t>
      </w:r>
      <w:r w:rsidR="00A43AD2" w:rsidRPr="008B3C8C">
        <w:rPr>
          <w:sz w:val="24"/>
          <w:szCs w:val="24"/>
        </w:rPr>
        <w:t xml:space="preserve"> (EUR-Lex, 2021)</w:t>
      </w:r>
      <w:r w:rsidR="00720975" w:rsidRPr="008B3C8C">
        <w:rPr>
          <w:sz w:val="24"/>
          <w:szCs w:val="24"/>
        </w:rPr>
        <w:t xml:space="preserve">. The Court of Justice in this case held that the undertaking </w:t>
      </w:r>
      <w:r w:rsidR="00A84C12" w:rsidRPr="008B3C8C">
        <w:rPr>
          <w:sz w:val="24"/>
          <w:szCs w:val="24"/>
        </w:rPr>
        <w:t xml:space="preserve">was not interchangeable and highlighted the fact that the undertaking was directly violating </w:t>
      </w:r>
      <w:r w:rsidR="00304502" w:rsidRPr="008B3C8C">
        <w:rPr>
          <w:sz w:val="24"/>
          <w:szCs w:val="24"/>
        </w:rPr>
        <w:t>Article</w:t>
      </w:r>
      <w:r w:rsidR="00A84C12" w:rsidRPr="008B3C8C">
        <w:rPr>
          <w:sz w:val="24"/>
          <w:szCs w:val="24"/>
        </w:rPr>
        <w:t xml:space="preserve"> 102(b)</w:t>
      </w:r>
      <w:r w:rsidR="00A43AD2" w:rsidRPr="008B3C8C">
        <w:rPr>
          <w:sz w:val="24"/>
          <w:szCs w:val="24"/>
        </w:rPr>
        <w:t xml:space="preserve"> (Forster, 2020)</w:t>
      </w:r>
      <w:r w:rsidR="00A84C12" w:rsidRPr="008B3C8C">
        <w:rPr>
          <w:sz w:val="24"/>
          <w:szCs w:val="24"/>
        </w:rPr>
        <w:t>.</w:t>
      </w:r>
      <w:r w:rsidR="009A5557" w:rsidRPr="008B3C8C">
        <w:rPr>
          <w:sz w:val="24"/>
          <w:szCs w:val="24"/>
        </w:rPr>
        <w:t xml:space="preserve"> This case also gives us an indication of single market shares of up to 70-80% </w:t>
      </w:r>
      <w:r w:rsidR="001F5982" w:rsidRPr="008B3C8C">
        <w:rPr>
          <w:sz w:val="24"/>
          <w:szCs w:val="24"/>
        </w:rPr>
        <w:t>was</w:t>
      </w:r>
      <w:r w:rsidR="009A5557" w:rsidRPr="008B3C8C">
        <w:rPr>
          <w:sz w:val="24"/>
          <w:szCs w:val="24"/>
        </w:rPr>
        <w:t xml:space="preserve"> </w:t>
      </w:r>
      <w:r w:rsidR="001F5982" w:rsidRPr="008B3C8C">
        <w:rPr>
          <w:sz w:val="24"/>
          <w:szCs w:val="24"/>
        </w:rPr>
        <w:t xml:space="preserve">it </w:t>
      </w:r>
      <w:r w:rsidR="009A5557" w:rsidRPr="008B3C8C">
        <w:rPr>
          <w:sz w:val="24"/>
          <w:szCs w:val="24"/>
        </w:rPr>
        <w:t xml:space="preserve">dominance. </w:t>
      </w:r>
      <w:r w:rsidR="00A84C12" w:rsidRPr="008B3C8C">
        <w:rPr>
          <w:sz w:val="24"/>
          <w:szCs w:val="24"/>
        </w:rPr>
        <w:t xml:space="preserve"> This means that it would have limited production, </w:t>
      </w:r>
      <w:r w:rsidR="001F5982" w:rsidRPr="008B3C8C">
        <w:rPr>
          <w:sz w:val="24"/>
          <w:szCs w:val="24"/>
        </w:rPr>
        <w:t>markets,</w:t>
      </w:r>
      <w:r w:rsidR="00A84C12" w:rsidRPr="008B3C8C">
        <w:rPr>
          <w:sz w:val="24"/>
          <w:szCs w:val="24"/>
        </w:rPr>
        <w:t xml:space="preserve"> or technical development</w:t>
      </w:r>
      <w:r w:rsidR="00304502" w:rsidRPr="008B3C8C">
        <w:rPr>
          <w:sz w:val="24"/>
          <w:szCs w:val="24"/>
        </w:rPr>
        <w:t xml:space="preserve"> to the prejudice of the consumer. </w:t>
      </w:r>
      <w:r w:rsidR="001415B2" w:rsidRPr="008B3C8C">
        <w:rPr>
          <w:sz w:val="24"/>
          <w:szCs w:val="24"/>
        </w:rPr>
        <w:t>AKZO Chemical BV v Commission</w:t>
      </w:r>
      <w:r w:rsidR="00215700" w:rsidRPr="008B3C8C">
        <w:rPr>
          <w:sz w:val="24"/>
          <w:szCs w:val="24"/>
        </w:rPr>
        <w:t xml:space="preserve"> [2003]</w:t>
      </w:r>
      <w:r w:rsidR="001415B2" w:rsidRPr="008B3C8C">
        <w:rPr>
          <w:sz w:val="24"/>
          <w:szCs w:val="24"/>
        </w:rPr>
        <w:t xml:space="preserve"> </w:t>
      </w:r>
      <w:r w:rsidR="00424CA1" w:rsidRPr="008B3C8C">
        <w:rPr>
          <w:sz w:val="24"/>
          <w:szCs w:val="24"/>
        </w:rPr>
        <w:t xml:space="preserve">set out the presumption that </w:t>
      </w:r>
      <w:r w:rsidR="00D5503B" w:rsidRPr="008B3C8C">
        <w:rPr>
          <w:sz w:val="24"/>
          <w:szCs w:val="24"/>
        </w:rPr>
        <w:t xml:space="preserve">a market share of 50% would suffice </w:t>
      </w:r>
      <w:r w:rsidR="001F5982" w:rsidRPr="008B3C8C">
        <w:rPr>
          <w:sz w:val="24"/>
          <w:szCs w:val="24"/>
        </w:rPr>
        <w:t>for</w:t>
      </w:r>
      <w:r w:rsidR="00D5503B" w:rsidRPr="008B3C8C">
        <w:rPr>
          <w:sz w:val="24"/>
          <w:szCs w:val="24"/>
        </w:rPr>
        <w:t xml:space="preserve"> there to be clear dominance of a market</w:t>
      </w:r>
      <w:r w:rsidR="001F024C" w:rsidRPr="008B3C8C">
        <w:rPr>
          <w:sz w:val="24"/>
          <w:szCs w:val="24"/>
        </w:rPr>
        <w:t xml:space="preserve"> (EUR-Lex, 2021) (Craig, 2015)</w:t>
      </w:r>
      <w:r w:rsidR="00D5503B" w:rsidRPr="008B3C8C">
        <w:rPr>
          <w:sz w:val="24"/>
          <w:szCs w:val="24"/>
        </w:rPr>
        <w:t xml:space="preserve">. However, going back to united brands with 40% of the market share going to the undertakings </w:t>
      </w:r>
      <w:r w:rsidR="00C36080" w:rsidRPr="008B3C8C">
        <w:rPr>
          <w:sz w:val="24"/>
          <w:szCs w:val="24"/>
        </w:rPr>
        <w:t>the</w:t>
      </w:r>
      <w:r w:rsidR="00D5503B" w:rsidRPr="008B3C8C">
        <w:rPr>
          <w:sz w:val="24"/>
          <w:szCs w:val="24"/>
        </w:rPr>
        <w:t xml:space="preserve"> courts calculate</w:t>
      </w:r>
      <w:r w:rsidR="003A0DC6" w:rsidRPr="008B3C8C">
        <w:rPr>
          <w:sz w:val="24"/>
          <w:szCs w:val="24"/>
        </w:rPr>
        <w:t xml:space="preserve"> what </w:t>
      </w:r>
      <w:r w:rsidR="004A0ED9" w:rsidRPr="008B3C8C">
        <w:rPr>
          <w:sz w:val="24"/>
          <w:szCs w:val="24"/>
        </w:rPr>
        <w:t>is</w:t>
      </w:r>
      <w:r w:rsidR="003A0DC6" w:rsidRPr="008B3C8C">
        <w:rPr>
          <w:sz w:val="24"/>
          <w:szCs w:val="24"/>
        </w:rPr>
        <w:t xml:space="preserve"> dominance based on the difference between the nearest </w:t>
      </w:r>
      <w:r w:rsidR="001F5982" w:rsidRPr="008B3C8C">
        <w:rPr>
          <w:sz w:val="24"/>
          <w:szCs w:val="24"/>
        </w:rPr>
        <w:t>competitors</w:t>
      </w:r>
      <w:r w:rsidR="003A0DC6" w:rsidRPr="008B3C8C">
        <w:rPr>
          <w:sz w:val="24"/>
          <w:szCs w:val="24"/>
        </w:rPr>
        <w:t>. Furthermore</w:t>
      </w:r>
      <w:r w:rsidR="005C76B8" w:rsidRPr="008B3C8C">
        <w:rPr>
          <w:sz w:val="24"/>
          <w:szCs w:val="24"/>
        </w:rPr>
        <w:t>,</w:t>
      </w:r>
      <w:r w:rsidR="003A0DC6" w:rsidRPr="008B3C8C">
        <w:rPr>
          <w:sz w:val="24"/>
          <w:szCs w:val="24"/>
        </w:rPr>
        <w:t xml:space="preserve"> the Commission </w:t>
      </w:r>
      <w:r w:rsidR="006C7063" w:rsidRPr="008B3C8C">
        <w:rPr>
          <w:sz w:val="24"/>
          <w:szCs w:val="24"/>
        </w:rPr>
        <w:t>Guidance</w:t>
      </w:r>
      <w:r w:rsidR="003A0DC6" w:rsidRPr="008B3C8C">
        <w:rPr>
          <w:sz w:val="24"/>
          <w:szCs w:val="24"/>
        </w:rPr>
        <w:t xml:space="preserve"> paper on </w:t>
      </w:r>
      <w:r w:rsidR="006C7063" w:rsidRPr="008B3C8C">
        <w:rPr>
          <w:sz w:val="24"/>
          <w:szCs w:val="24"/>
        </w:rPr>
        <w:t>Exclusionary</w:t>
      </w:r>
      <w:r w:rsidR="003A0DC6" w:rsidRPr="008B3C8C">
        <w:rPr>
          <w:sz w:val="24"/>
          <w:szCs w:val="24"/>
        </w:rPr>
        <w:t xml:space="preserve"> Abuse [2009] states that dominance of the geographical or relevant market below 40% is unlikely to be considered as abuse</w:t>
      </w:r>
      <w:r w:rsidR="001F024C" w:rsidRPr="008B3C8C">
        <w:rPr>
          <w:sz w:val="24"/>
          <w:szCs w:val="24"/>
        </w:rPr>
        <w:t xml:space="preserve"> (European commission, 2009)</w:t>
      </w:r>
      <w:r w:rsidR="003A0DC6" w:rsidRPr="008B3C8C">
        <w:rPr>
          <w:sz w:val="24"/>
          <w:szCs w:val="24"/>
        </w:rPr>
        <w:t>. However, other factors will be taken into consideration to determine if abuse of a dominate position has occurred.</w:t>
      </w:r>
      <w:r w:rsidR="00B22C64" w:rsidRPr="008B3C8C">
        <w:rPr>
          <w:sz w:val="24"/>
          <w:szCs w:val="24"/>
        </w:rPr>
        <w:t xml:space="preserve"> </w:t>
      </w:r>
      <w:r w:rsidR="0048152A" w:rsidRPr="008B3C8C">
        <w:rPr>
          <w:sz w:val="24"/>
          <w:szCs w:val="24"/>
        </w:rPr>
        <w:t xml:space="preserve">The abuse of a dominant position and violations of article 101 and article 102 may manifest in one singular location. For </w:t>
      </w:r>
      <w:r w:rsidR="00C36080" w:rsidRPr="008B3C8C">
        <w:rPr>
          <w:sz w:val="24"/>
          <w:szCs w:val="24"/>
        </w:rPr>
        <w:t>example,</w:t>
      </w:r>
      <w:r w:rsidR="0048152A" w:rsidRPr="008B3C8C">
        <w:rPr>
          <w:sz w:val="24"/>
          <w:szCs w:val="24"/>
        </w:rPr>
        <w:t xml:space="preserve"> Sealink [1993]</w:t>
      </w:r>
      <w:r w:rsidR="003A0DC6" w:rsidRPr="008B3C8C">
        <w:rPr>
          <w:sz w:val="24"/>
          <w:szCs w:val="24"/>
        </w:rPr>
        <w:t xml:space="preserve"> </w:t>
      </w:r>
      <w:r w:rsidR="0048152A" w:rsidRPr="008B3C8C">
        <w:rPr>
          <w:sz w:val="24"/>
          <w:szCs w:val="24"/>
        </w:rPr>
        <w:t xml:space="preserve">expresses the issue of one large ship damaging the business for a ferry service. The courts found that the ferry service needs to run at specific times </w:t>
      </w:r>
      <w:r w:rsidR="004A0ED9" w:rsidRPr="008B3C8C">
        <w:rPr>
          <w:sz w:val="24"/>
          <w:szCs w:val="24"/>
        </w:rPr>
        <w:t>for</w:t>
      </w:r>
      <w:r w:rsidR="0048152A" w:rsidRPr="008B3C8C">
        <w:rPr>
          <w:sz w:val="24"/>
          <w:szCs w:val="24"/>
        </w:rPr>
        <w:t xml:space="preserve"> the business to be successful. This was significant as it forced </w:t>
      </w:r>
      <w:r w:rsidR="00D62241" w:rsidRPr="008B3C8C">
        <w:rPr>
          <w:sz w:val="24"/>
          <w:szCs w:val="24"/>
        </w:rPr>
        <w:t>S</w:t>
      </w:r>
      <w:r w:rsidR="0048152A" w:rsidRPr="008B3C8C">
        <w:rPr>
          <w:sz w:val="24"/>
          <w:szCs w:val="24"/>
        </w:rPr>
        <w:t xml:space="preserve">ealink to change its docking times under Article 101 and </w:t>
      </w:r>
      <w:r w:rsidR="00534B90" w:rsidRPr="008B3C8C">
        <w:rPr>
          <w:sz w:val="24"/>
          <w:szCs w:val="24"/>
        </w:rPr>
        <w:t>102</w:t>
      </w:r>
      <w:r w:rsidR="000013DC" w:rsidRPr="008B3C8C">
        <w:rPr>
          <w:sz w:val="24"/>
          <w:szCs w:val="24"/>
        </w:rPr>
        <w:t xml:space="preserve"> (Eur-Lex, 2021) (Commission, 1993)</w:t>
      </w:r>
      <w:r w:rsidR="00534B90" w:rsidRPr="008B3C8C">
        <w:rPr>
          <w:sz w:val="24"/>
          <w:szCs w:val="24"/>
        </w:rPr>
        <w:t>.</w:t>
      </w:r>
      <w:r w:rsidR="00BE4CEB" w:rsidRPr="008B3C8C">
        <w:rPr>
          <w:sz w:val="24"/>
          <w:szCs w:val="24"/>
        </w:rPr>
        <w:t xml:space="preserve"> Furthermore, </w:t>
      </w:r>
      <w:r w:rsidR="0008047A" w:rsidRPr="008B3C8C">
        <w:rPr>
          <w:sz w:val="24"/>
          <w:szCs w:val="24"/>
        </w:rPr>
        <w:t>one of the most important developments of the geographical market is its protection for local distributors. It is imperative that the commission a</w:t>
      </w:r>
      <w:r w:rsidR="00E54154" w:rsidRPr="008B3C8C">
        <w:rPr>
          <w:sz w:val="24"/>
          <w:szCs w:val="24"/>
        </w:rPr>
        <w:t xml:space="preserve">re careful when it comes to barriers that are put in place to benefit vertical integration. The commission are aware of the dangers to local suppliers when competition at different levels of the supply chain may have an impact on their products (Fletcher, 2016). </w:t>
      </w:r>
    </w:p>
    <w:p w14:paraId="7BC17ADE" w14:textId="524AC4BE" w:rsidR="00064EAE" w:rsidRPr="008B3C8C" w:rsidRDefault="00064EAE" w:rsidP="007C4921">
      <w:pPr>
        <w:spacing w:line="360" w:lineRule="auto"/>
        <w:jc w:val="both"/>
        <w:rPr>
          <w:sz w:val="24"/>
          <w:szCs w:val="24"/>
        </w:rPr>
      </w:pPr>
      <w:r w:rsidRPr="008B3C8C">
        <w:rPr>
          <w:sz w:val="24"/>
          <w:szCs w:val="24"/>
        </w:rPr>
        <w:t>To a lesser extent is the temporal Market, this concept is when a firm or undertaking is dominant over a short period of time within a year. During the time that these products are dominant competition within the market is low because the product are only available seasonally</w:t>
      </w:r>
      <w:r w:rsidR="007E7317" w:rsidRPr="008B3C8C">
        <w:rPr>
          <w:sz w:val="24"/>
          <w:szCs w:val="24"/>
        </w:rPr>
        <w:t xml:space="preserve"> (Craig, 2015)</w:t>
      </w:r>
      <w:r w:rsidRPr="008B3C8C">
        <w:rPr>
          <w:sz w:val="24"/>
          <w:szCs w:val="24"/>
        </w:rPr>
        <w:t xml:space="preserve">. </w:t>
      </w:r>
      <w:r w:rsidR="002C42D9" w:rsidRPr="008B3C8C">
        <w:rPr>
          <w:sz w:val="24"/>
          <w:szCs w:val="24"/>
        </w:rPr>
        <w:t>F</w:t>
      </w:r>
      <w:r w:rsidR="00B22C64" w:rsidRPr="008B3C8C">
        <w:rPr>
          <w:sz w:val="24"/>
          <w:szCs w:val="24"/>
        </w:rPr>
        <w:t xml:space="preserve">or example, United Brands argued that their products were seasonal and thus their domination of the market would only be for a brief period. Although </w:t>
      </w:r>
      <w:r w:rsidR="00B22C64" w:rsidRPr="008B3C8C">
        <w:rPr>
          <w:sz w:val="24"/>
          <w:szCs w:val="24"/>
        </w:rPr>
        <w:lastRenderedPageBreak/>
        <w:t xml:space="preserve">the courts disagreed with the defence it </w:t>
      </w:r>
      <w:r w:rsidR="00C36080" w:rsidRPr="008B3C8C">
        <w:rPr>
          <w:sz w:val="24"/>
          <w:szCs w:val="24"/>
        </w:rPr>
        <w:t>opens</w:t>
      </w:r>
      <w:r w:rsidR="00B22C64" w:rsidRPr="008B3C8C">
        <w:rPr>
          <w:sz w:val="24"/>
          <w:szCs w:val="24"/>
        </w:rPr>
        <w:t xml:space="preserve"> the idea that a temporal market is harder to manipulate compared to the relevant market and the geographical market. </w:t>
      </w:r>
    </w:p>
    <w:p w14:paraId="4FEBD90C" w14:textId="0394E110" w:rsidR="00377855" w:rsidRPr="008B3C8C" w:rsidRDefault="00377855" w:rsidP="007C4921">
      <w:pPr>
        <w:spacing w:line="360" w:lineRule="auto"/>
        <w:jc w:val="both"/>
        <w:rPr>
          <w:sz w:val="24"/>
          <w:szCs w:val="24"/>
        </w:rPr>
      </w:pPr>
    </w:p>
    <w:p w14:paraId="5B906E97" w14:textId="77777777" w:rsidR="00ED4945" w:rsidRPr="008B3C8C" w:rsidRDefault="00ED4945" w:rsidP="007C4921">
      <w:pPr>
        <w:spacing w:line="360" w:lineRule="auto"/>
        <w:jc w:val="both"/>
        <w:rPr>
          <w:sz w:val="24"/>
          <w:szCs w:val="24"/>
        </w:rPr>
      </w:pPr>
    </w:p>
    <w:p w14:paraId="018AE4AE" w14:textId="683BDCBF" w:rsidR="00377855" w:rsidRPr="008B3C8C" w:rsidRDefault="00377855" w:rsidP="007C4921">
      <w:pPr>
        <w:spacing w:line="360" w:lineRule="auto"/>
        <w:jc w:val="both"/>
        <w:rPr>
          <w:sz w:val="24"/>
          <w:szCs w:val="24"/>
        </w:rPr>
      </w:pPr>
      <w:r w:rsidRPr="008B3C8C">
        <w:rPr>
          <w:sz w:val="24"/>
          <w:szCs w:val="24"/>
        </w:rPr>
        <w:t xml:space="preserve">Question 2 </w:t>
      </w:r>
    </w:p>
    <w:p w14:paraId="678BF1E0" w14:textId="27688BB4" w:rsidR="00032C10" w:rsidRPr="008B3C8C" w:rsidRDefault="00C8656B" w:rsidP="007C4921">
      <w:pPr>
        <w:spacing w:line="360" w:lineRule="auto"/>
        <w:jc w:val="both"/>
        <w:rPr>
          <w:sz w:val="24"/>
          <w:szCs w:val="24"/>
        </w:rPr>
      </w:pPr>
      <w:r w:rsidRPr="008B3C8C">
        <w:rPr>
          <w:sz w:val="24"/>
          <w:szCs w:val="24"/>
        </w:rPr>
        <w:t>One the main points for Mary’s application to live within the Netherlands she must first enrol to the appropriate educational establishment. She is entitled under EU law to be able to reside within the host member state for up to three months. However, if enrolled within the education establishment she will be able to stay for the duration of her course</w:t>
      </w:r>
      <w:r w:rsidR="00614393" w:rsidRPr="008B3C8C">
        <w:rPr>
          <w:sz w:val="24"/>
          <w:szCs w:val="24"/>
        </w:rPr>
        <w:t xml:space="preserve"> which can be seen in Article (1)(c) of the CRD</w:t>
      </w:r>
      <w:r w:rsidRPr="008B3C8C">
        <w:rPr>
          <w:sz w:val="24"/>
          <w:szCs w:val="24"/>
        </w:rPr>
        <w:t>.</w:t>
      </w:r>
      <w:r w:rsidR="00B561B2" w:rsidRPr="008B3C8C">
        <w:rPr>
          <w:sz w:val="24"/>
          <w:szCs w:val="24"/>
        </w:rPr>
        <w:t xml:space="preserve"> She must also have health insurance that covers her stay within the host member st</w:t>
      </w:r>
      <w:r w:rsidR="000A7F21" w:rsidRPr="008B3C8C">
        <w:rPr>
          <w:sz w:val="24"/>
          <w:szCs w:val="24"/>
        </w:rPr>
        <w:t>ate.</w:t>
      </w:r>
      <w:r w:rsidR="00032C10" w:rsidRPr="008B3C8C">
        <w:rPr>
          <w:sz w:val="24"/>
          <w:szCs w:val="24"/>
        </w:rPr>
        <w:t xml:space="preserve"> Mary will be granted entry into the </w:t>
      </w:r>
      <w:r w:rsidR="000A7F21" w:rsidRPr="008B3C8C">
        <w:rPr>
          <w:sz w:val="24"/>
          <w:szCs w:val="24"/>
        </w:rPr>
        <w:t>Netherlands</w:t>
      </w:r>
      <w:r w:rsidR="00032C10" w:rsidRPr="008B3C8C">
        <w:rPr>
          <w:sz w:val="24"/>
          <w:szCs w:val="24"/>
        </w:rPr>
        <w:t xml:space="preserve"> </w:t>
      </w:r>
      <w:r w:rsidR="00614393" w:rsidRPr="008B3C8C">
        <w:rPr>
          <w:sz w:val="24"/>
          <w:szCs w:val="24"/>
        </w:rPr>
        <w:t xml:space="preserve">as one of her four freedoms granted to EU citizens </w:t>
      </w:r>
      <w:r w:rsidR="000A7F21" w:rsidRPr="008B3C8C">
        <w:rPr>
          <w:sz w:val="24"/>
          <w:szCs w:val="24"/>
        </w:rPr>
        <w:t>under both Article 20 and 21 of the TFEU</w:t>
      </w:r>
      <w:r w:rsidR="007E7317" w:rsidRPr="008B3C8C">
        <w:rPr>
          <w:sz w:val="24"/>
          <w:szCs w:val="24"/>
        </w:rPr>
        <w:t xml:space="preserve"> (Foster, 2020) (Craig, 2015)</w:t>
      </w:r>
      <w:r w:rsidR="0003182F" w:rsidRPr="008B3C8C">
        <w:rPr>
          <w:sz w:val="24"/>
          <w:szCs w:val="24"/>
        </w:rPr>
        <w:t xml:space="preserve"> (TFEU, 2009)</w:t>
      </w:r>
      <w:r w:rsidR="000A7F21" w:rsidRPr="008B3C8C">
        <w:rPr>
          <w:sz w:val="24"/>
          <w:szCs w:val="24"/>
        </w:rPr>
        <w:t xml:space="preserve">. </w:t>
      </w:r>
      <w:r w:rsidR="00F63A9C" w:rsidRPr="008B3C8C">
        <w:rPr>
          <w:sz w:val="24"/>
          <w:szCs w:val="24"/>
        </w:rPr>
        <w:t xml:space="preserve">In terms of Mary’s financial </w:t>
      </w:r>
      <w:r w:rsidR="000A7F21" w:rsidRPr="008B3C8C">
        <w:rPr>
          <w:sz w:val="24"/>
          <w:szCs w:val="24"/>
        </w:rPr>
        <w:t>situation,</w:t>
      </w:r>
      <w:r w:rsidR="00F63A9C" w:rsidRPr="008B3C8C">
        <w:rPr>
          <w:sz w:val="24"/>
          <w:szCs w:val="24"/>
        </w:rPr>
        <w:t xml:space="preserve"> it is important to note that she believes that she </w:t>
      </w:r>
      <w:r w:rsidR="001F5982" w:rsidRPr="008B3C8C">
        <w:rPr>
          <w:sz w:val="24"/>
          <w:szCs w:val="24"/>
        </w:rPr>
        <w:t>can</w:t>
      </w:r>
      <w:r w:rsidR="00F63A9C" w:rsidRPr="008B3C8C">
        <w:rPr>
          <w:sz w:val="24"/>
          <w:szCs w:val="24"/>
        </w:rPr>
        <w:t xml:space="preserve"> fund her course until her final year. </w:t>
      </w:r>
      <w:r w:rsidR="001A6E65" w:rsidRPr="008B3C8C">
        <w:rPr>
          <w:sz w:val="24"/>
          <w:szCs w:val="24"/>
        </w:rPr>
        <w:t xml:space="preserve">Grzelczyk v CPAS [2011] deals with this issue which comments on non-discriminatory measures for students of a different nationality to the host state, this was set in place by Article 18 TFEU. Grzelczyk was a </w:t>
      </w:r>
      <w:r w:rsidRPr="008B3C8C">
        <w:rPr>
          <w:sz w:val="24"/>
          <w:szCs w:val="24"/>
        </w:rPr>
        <w:t>crucial</w:t>
      </w:r>
      <w:r w:rsidR="001A6E65" w:rsidRPr="008B3C8C">
        <w:rPr>
          <w:sz w:val="24"/>
          <w:szCs w:val="24"/>
        </w:rPr>
        <w:t xml:space="preserve"> turning point for students as it contradicts the Article 24(2) which suggests that host states are not legally obliged to provide financial aid</w:t>
      </w:r>
      <w:r w:rsidR="007E7317" w:rsidRPr="008B3C8C">
        <w:rPr>
          <w:sz w:val="24"/>
          <w:szCs w:val="24"/>
        </w:rPr>
        <w:t xml:space="preserve"> (Forster, 2020) (Eur-Lex, 2021)</w:t>
      </w:r>
      <w:r w:rsidR="00ED4945" w:rsidRPr="008B3C8C">
        <w:rPr>
          <w:sz w:val="24"/>
          <w:szCs w:val="24"/>
        </w:rPr>
        <w:t xml:space="preserve"> (Solanke, 2012)</w:t>
      </w:r>
      <w:r w:rsidR="001A6E65" w:rsidRPr="008B3C8C">
        <w:rPr>
          <w:sz w:val="24"/>
          <w:szCs w:val="24"/>
        </w:rPr>
        <w:t>.</w:t>
      </w:r>
      <w:r w:rsidRPr="008B3C8C">
        <w:rPr>
          <w:sz w:val="24"/>
          <w:szCs w:val="24"/>
        </w:rPr>
        <w:t xml:space="preserve"> Furthermore, European Union equality laws my provide her with a foundation to dispute the fact that foreign student must pay the tuition fee in one payment</w:t>
      </w:r>
      <w:r w:rsidR="00B561B2" w:rsidRPr="008B3C8C">
        <w:rPr>
          <w:sz w:val="24"/>
          <w:szCs w:val="24"/>
        </w:rPr>
        <w:t xml:space="preserve"> under article 18 TFEU</w:t>
      </w:r>
      <w:r w:rsidRPr="008B3C8C">
        <w:rPr>
          <w:sz w:val="24"/>
          <w:szCs w:val="24"/>
        </w:rPr>
        <w:t xml:space="preserve">. </w:t>
      </w:r>
      <w:r w:rsidR="00B561B2" w:rsidRPr="008B3C8C">
        <w:rPr>
          <w:sz w:val="24"/>
          <w:szCs w:val="24"/>
        </w:rPr>
        <w:t>T</w:t>
      </w:r>
      <w:r w:rsidR="00F63A9C" w:rsidRPr="008B3C8C">
        <w:rPr>
          <w:sz w:val="24"/>
          <w:szCs w:val="24"/>
        </w:rPr>
        <w:t xml:space="preserve">he concept of “vocational training” </w:t>
      </w:r>
      <w:r w:rsidR="000A7F21" w:rsidRPr="008B3C8C">
        <w:rPr>
          <w:sz w:val="24"/>
          <w:szCs w:val="24"/>
        </w:rPr>
        <w:t>from</w:t>
      </w:r>
      <w:r w:rsidR="00F63A9C" w:rsidRPr="008B3C8C">
        <w:rPr>
          <w:sz w:val="24"/>
          <w:szCs w:val="24"/>
        </w:rPr>
        <w:t xml:space="preserve"> Gravier v City of Liege [1985], Lair v Universitat Hannover [1988], and Brown v The Secretary of State for Scotland [1988] s</w:t>
      </w:r>
      <w:r w:rsidR="000A7F21" w:rsidRPr="008B3C8C">
        <w:rPr>
          <w:sz w:val="24"/>
          <w:szCs w:val="24"/>
        </w:rPr>
        <w:t>tates</w:t>
      </w:r>
      <w:r w:rsidR="00F63A9C" w:rsidRPr="008B3C8C">
        <w:rPr>
          <w:sz w:val="24"/>
          <w:szCs w:val="24"/>
        </w:rPr>
        <w:t xml:space="preserve"> that</w:t>
      </w:r>
      <w:r w:rsidR="000A7F21" w:rsidRPr="008B3C8C">
        <w:rPr>
          <w:sz w:val="24"/>
          <w:szCs w:val="24"/>
        </w:rPr>
        <w:t>,</w:t>
      </w:r>
      <w:r w:rsidR="00F63A9C" w:rsidRPr="008B3C8C">
        <w:rPr>
          <w:sz w:val="24"/>
          <w:szCs w:val="24"/>
        </w:rPr>
        <w:t xml:space="preserve"> Mary could gain financial aid from the Dutch government as she intends to “retrain” as a psychologist</w:t>
      </w:r>
      <w:r w:rsidR="00614393" w:rsidRPr="008B3C8C">
        <w:rPr>
          <w:sz w:val="24"/>
          <w:szCs w:val="24"/>
        </w:rPr>
        <w:t xml:space="preserve"> under Article (1)(c) of the CRD</w:t>
      </w:r>
      <w:r w:rsidR="00F63A9C" w:rsidRPr="008B3C8C">
        <w:rPr>
          <w:sz w:val="24"/>
          <w:szCs w:val="24"/>
        </w:rPr>
        <w:t xml:space="preserve"> (EUR-Lex, 2021)</w:t>
      </w:r>
      <w:r w:rsidR="009B02F1" w:rsidRPr="008B3C8C">
        <w:rPr>
          <w:sz w:val="24"/>
          <w:szCs w:val="24"/>
        </w:rPr>
        <w:t>. This fact is increasingly more likely as in modern times Article 12 EC has developed immensely (Epiney, 2007)</w:t>
      </w:r>
      <w:r w:rsidR="00F63A9C" w:rsidRPr="008B3C8C">
        <w:rPr>
          <w:sz w:val="24"/>
          <w:szCs w:val="24"/>
        </w:rPr>
        <w:t xml:space="preserve">. </w:t>
      </w:r>
      <w:r w:rsidR="003F049F" w:rsidRPr="008B3C8C">
        <w:rPr>
          <w:sz w:val="24"/>
          <w:szCs w:val="24"/>
        </w:rPr>
        <w:t>Furthermore, it is likely that Mary would meet the “</w:t>
      </w:r>
      <w:r w:rsidR="000A7F21" w:rsidRPr="008B3C8C">
        <w:rPr>
          <w:sz w:val="24"/>
          <w:szCs w:val="24"/>
        </w:rPr>
        <w:t>self-sufficient</w:t>
      </w:r>
      <w:r w:rsidR="003F049F" w:rsidRPr="008B3C8C">
        <w:rPr>
          <w:sz w:val="24"/>
          <w:szCs w:val="24"/>
        </w:rPr>
        <w:t>” requirement that is needed for the individual to not become a burden on the host member state</w:t>
      </w:r>
      <w:r w:rsidR="00ED4945" w:rsidRPr="008B3C8C">
        <w:rPr>
          <w:sz w:val="24"/>
          <w:szCs w:val="24"/>
        </w:rPr>
        <w:t xml:space="preserve"> (Forster, 2020)</w:t>
      </w:r>
      <w:r w:rsidR="003F049F" w:rsidRPr="008B3C8C">
        <w:rPr>
          <w:sz w:val="24"/>
          <w:szCs w:val="24"/>
        </w:rPr>
        <w:t>.</w:t>
      </w:r>
      <w:r w:rsidR="00320948" w:rsidRPr="008B3C8C">
        <w:rPr>
          <w:sz w:val="24"/>
          <w:szCs w:val="24"/>
        </w:rPr>
        <w:t xml:space="preserve"> Elrick [2013] highlights the nature of the European courts when questioning how much financial aid will be given to </w:t>
      </w:r>
      <w:r w:rsidR="000A7F21" w:rsidRPr="008B3C8C">
        <w:rPr>
          <w:sz w:val="24"/>
          <w:szCs w:val="24"/>
        </w:rPr>
        <w:t>foreign students.</w:t>
      </w:r>
      <w:r w:rsidR="00320948" w:rsidRPr="008B3C8C">
        <w:rPr>
          <w:sz w:val="24"/>
          <w:szCs w:val="24"/>
        </w:rPr>
        <w:t xml:space="preserve"> It suggests that the member state shall give financial aid to the individual on the condition that their occupation</w:t>
      </w:r>
      <w:r w:rsidR="000A7F21" w:rsidRPr="008B3C8C">
        <w:rPr>
          <w:sz w:val="24"/>
          <w:szCs w:val="24"/>
        </w:rPr>
        <w:t>al</w:t>
      </w:r>
      <w:r w:rsidR="00320948" w:rsidRPr="008B3C8C">
        <w:rPr>
          <w:sz w:val="24"/>
          <w:szCs w:val="24"/>
        </w:rPr>
        <w:t xml:space="preserve"> training program is under two years. </w:t>
      </w:r>
      <w:r w:rsidR="00896241" w:rsidRPr="008B3C8C">
        <w:rPr>
          <w:sz w:val="24"/>
          <w:szCs w:val="24"/>
        </w:rPr>
        <w:lastRenderedPageBreak/>
        <w:t xml:space="preserve">Mary’s relationship with Adrianus </w:t>
      </w:r>
      <w:r w:rsidR="000A7F21" w:rsidRPr="008B3C8C">
        <w:rPr>
          <w:sz w:val="24"/>
          <w:szCs w:val="24"/>
        </w:rPr>
        <w:t>is described as</w:t>
      </w:r>
      <w:r w:rsidR="00896241" w:rsidRPr="008B3C8C">
        <w:rPr>
          <w:sz w:val="24"/>
          <w:szCs w:val="24"/>
        </w:rPr>
        <w:t xml:space="preserve"> “new” they are unmarried however it is possible for Adrianus to have a significant impact on Mary’s move to the Netherlands.</w:t>
      </w:r>
      <w:r w:rsidR="000B198A" w:rsidRPr="008B3C8C">
        <w:rPr>
          <w:sz w:val="24"/>
          <w:szCs w:val="24"/>
        </w:rPr>
        <w:t xml:space="preserve"> This can be seen in </w:t>
      </w:r>
      <w:r w:rsidR="00785C71" w:rsidRPr="008B3C8C">
        <w:rPr>
          <w:sz w:val="24"/>
          <w:szCs w:val="24"/>
        </w:rPr>
        <w:t xml:space="preserve">Netherlands v Reed </w:t>
      </w:r>
      <w:r w:rsidR="00EA286E" w:rsidRPr="008B3C8C">
        <w:rPr>
          <w:sz w:val="24"/>
          <w:szCs w:val="24"/>
        </w:rPr>
        <w:t>[</w:t>
      </w:r>
      <w:r w:rsidR="00785C71" w:rsidRPr="008B3C8C">
        <w:rPr>
          <w:sz w:val="24"/>
          <w:szCs w:val="24"/>
        </w:rPr>
        <w:t>1986</w:t>
      </w:r>
      <w:r w:rsidR="00EA286E" w:rsidRPr="008B3C8C">
        <w:rPr>
          <w:sz w:val="24"/>
          <w:szCs w:val="24"/>
        </w:rPr>
        <w:t>]</w:t>
      </w:r>
      <w:r w:rsidR="00785C71" w:rsidRPr="008B3C8C">
        <w:rPr>
          <w:sz w:val="24"/>
          <w:szCs w:val="24"/>
        </w:rPr>
        <w:t xml:space="preserve"> this case follows Article 7 of the EEC Treaty and council regulation no 1612/68 article 10</w:t>
      </w:r>
      <w:r w:rsidR="009B02F1" w:rsidRPr="008B3C8C">
        <w:rPr>
          <w:sz w:val="24"/>
          <w:szCs w:val="24"/>
        </w:rPr>
        <w:t xml:space="preserve"> (Eur-Lex, 2021)</w:t>
      </w:r>
      <w:r w:rsidR="00785C71" w:rsidRPr="008B3C8C">
        <w:rPr>
          <w:sz w:val="24"/>
          <w:szCs w:val="24"/>
        </w:rPr>
        <w:t>. This case attempts to define what can be constituted as a “stable relationship”</w:t>
      </w:r>
      <w:r w:rsidR="0003182F" w:rsidRPr="008B3C8C">
        <w:rPr>
          <w:sz w:val="24"/>
          <w:szCs w:val="24"/>
        </w:rPr>
        <w:t xml:space="preserve"> (EEC, 1968)</w:t>
      </w:r>
      <w:r w:rsidR="00785C71" w:rsidRPr="008B3C8C">
        <w:rPr>
          <w:sz w:val="24"/>
          <w:szCs w:val="24"/>
        </w:rPr>
        <w:t xml:space="preserve">. The decision suggests that if the </w:t>
      </w:r>
      <w:r w:rsidR="009B02F1" w:rsidRPr="008B3C8C">
        <w:rPr>
          <w:sz w:val="24"/>
          <w:szCs w:val="24"/>
        </w:rPr>
        <w:t>couples’</w:t>
      </w:r>
      <w:r w:rsidR="00785C71" w:rsidRPr="008B3C8C">
        <w:rPr>
          <w:sz w:val="24"/>
          <w:szCs w:val="24"/>
        </w:rPr>
        <w:t xml:space="preserve"> respective native countries are EU member </w:t>
      </w:r>
      <w:r w:rsidR="009B02F1" w:rsidRPr="008B3C8C">
        <w:rPr>
          <w:sz w:val="24"/>
          <w:szCs w:val="24"/>
        </w:rPr>
        <w:t>states,</w:t>
      </w:r>
      <w:r w:rsidR="00785C71" w:rsidRPr="008B3C8C">
        <w:rPr>
          <w:sz w:val="24"/>
          <w:szCs w:val="24"/>
        </w:rPr>
        <w:t xml:space="preserve"> then the couples should be treated with the same liberties as migrant workers</w:t>
      </w:r>
      <w:r w:rsidR="002418A4" w:rsidRPr="008B3C8C">
        <w:rPr>
          <w:sz w:val="24"/>
          <w:szCs w:val="24"/>
        </w:rPr>
        <w:t xml:space="preserve"> (Carrera, 2005)</w:t>
      </w:r>
      <w:r w:rsidR="00785C71" w:rsidRPr="008B3C8C">
        <w:rPr>
          <w:sz w:val="24"/>
          <w:szCs w:val="24"/>
        </w:rPr>
        <w:t>.</w:t>
      </w:r>
      <w:r w:rsidR="00896241" w:rsidRPr="008B3C8C">
        <w:rPr>
          <w:sz w:val="24"/>
          <w:szCs w:val="24"/>
        </w:rPr>
        <w:t xml:space="preserve"> Under Kam</w:t>
      </w:r>
      <w:r w:rsidR="009A30DD" w:rsidRPr="008B3C8C">
        <w:rPr>
          <w:sz w:val="24"/>
          <w:szCs w:val="24"/>
        </w:rPr>
        <w:t>pf</w:t>
      </w:r>
      <w:r w:rsidR="00EA286E" w:rsidRPr="008B3C8C">
        <w:rPr>
          <w:sz w:val="24"/>
          <w:szCs w:val="24"/>
        </w:rPr>
        <w:t xml:space="preserve"> [1986]</w:t>
      </w:r>
      <w:r w:rsidR="009A30DD" w:rsidRPr="008B3C8C">
        <w:rPr>
          <w:sz w:val="24"/>
          <w:szCs w:val="24"/>
        </w:rPr>
        <w:t xml:space="preserve"> and Levin</w:t>
      </w:r>
      <w:r w:rsidR="00EA286E" w:rsidRPr="008B3C8C">
        <w:rPr>
          <w:sz w:val="24"/>
          <w:szCs w:val="24"/>
        </w:rPr>
        <w:t xml:space="preserve"> [</w:t>
      </w:r>
      <w:r w:rsidR="002C1DF1" w:rsidRPr="008B3C8C">
        <w:rPr>
          <w:sz w:val="24"/>
          <w:szCs w:val="24"/>
        </w:rPr>
        <w:t>1982]</w:t>
      </w:r>
      <w:r w:rsidR="009A30DD" w:rsidRPr="008B3C8C">
        <w:rPr>
          <w:sz w:val="24"/>
          <w:szCs w:val="24"/>
        </w:rPr>
        <w:t xml:space="preserve"> two </w:t>
      </w:r>
      <w:r w:rsidR="000A7F21" w:rsidRPr="008B3C8C">
        <w:rPr>
          <w:sz w:val="24"/>
          <w:szCs w:val="24"/>
        </w:rPr>
        <w:t>similar</w:t>
      </w:r>
      <w:r w:rsidR="009A30DD" w:rsidRPr="008B3C8C">
        <w:rPr>
          <w:sz w:val="24"/>
          <w:szCs w:val="24"/>
        </w:rPr>
        <w:t xml:space="preserve"> cases, it is </w:t>
      </w:r>
      <w:r w:rsidR="00B561B2" w:rsidRPr="008B3C8C">
        <w:rPr>
          <w:sz w:val="24"/>
          <w:szCs w:val="24"/>
        </w:rPr>
        <w:t>crucial</w:t>
      </w:r>
      <w:r w:rsidR="009A30DD" w:rsidRPr="008B3C8C">
        <w:rPr>
          <w:sz w:val="24"/>
          <w:szCs w:val="24"/>
        </w:rPr>
        <w:t xml:space="preserve"> to understand the financial situation of Adrianus. His work as a lecture although part time </w:t>
      </w:r>
      <w:r w:rsidR="000A7F21" w:rsidRPr="008B3C8C">
        <w:rPr>
          <w:sz w:val="24"/>
          <w:szCs w:val="24"/>
        </w:rPr>
        <w:t>is</w:t>
      </w:r>
      <w:r w:rsidR="009A30DD" w:rsidRPr="008B3C8C">
        <w:rPr>
          <w:sz w:val="24"/>
          <w:szCs w:val="24"/>
        </w:rPr>
        <w:t xml:space="preserve"> “effective and genuine work”. Therefore, if Mary is rejected based on her own attempt to reside within the Netherlands it is </w:t>
      </w:r>
      <w:r w:rsidR="006B2EC8" w:rsidRPr="008B3C8C">
        <w:rPr>
          <w:sz w:val="24"/>
          <w:szCs w:val="24"/>
        </w:rPr>
        <w:t>possible,</w:t>
      </w:r>
      <w:r w:rsidR="009A30DD" w:rsidRPr="008B3C8C">
        <w:rPr>
          <w:sz w:val="24"/>
          <w:szCs w:val="24"/>
        </w:rPr>
        <w:t xml:space="preserve"> she may qualify through Adrianus. This is because Adrianus although possibly falling below the “self-sufficient” line, due to the nature of his work he will be given the liberties of free movement of workers.</w:t>
      </w:r>
      <w:r w:rsidR="003F049F" w:rsidRPr="008B3C8C">
        <w:rPr>
          <w:sz w:val="24"/>
          <w:szCs w:val="24"/>
        </w:rPr>
        <w:t xml:space="preserve"> </w:t>
      </w:r>
      <w:r w:rsidR="002418A4" w:rsidRPr="008B3C8C">
        <w:rPr>
          <w:sz w:val="24"/>
          <w:szCs w:val="24"/>
        </w:rPr>
        <w:t xml:space="preserve">See </w:t>
      </w:r>
      <w:r w:rsidR="006B2EC8" w:rsidRPr="008B3C8C">
        <w:rPr>
          <w:sz w:val="24"/>
          <w:szCs w:val="24"/>
        </w:rPr>
        <w:t xml:space="preserve">regulation 492/2011 Article 7 </w:t>
      </w:r>
      <w:r w:rsidR="002418A4" w:rsidRPr="008B3C8C">
        <w:rPr>
          <w:sz w:val="24"/>
          <w:szCs w:val="24"/>
        </w:rPr>
        <w:t xml:space="preserve">which </w:t>
      </w:r>
      <w:r w:rsidR="006B2EC8" w:rsidRPr="008B3C8C">
        <w:rPr>
          <w:sz w:val="24"/>
          <w:szCs w:val="24"/>
        </w:rPr>
        <w:t xml:space="preserve">states that Adrianus will receive the same social and tax advantages as national workers which suggests that his financial situation should not be </w:t>
      </w:r>
      <w:r w:rsidR="000A7F21" w:rsidRPr="008B3C8C">
        <w:rPr>
          <w:sz w:val="24"/>
          <w:szCs w:val="24"/>
        </w:rPr>
        <w:t>considered</w:t>
      </w:r>
      <w:r w:rsidR="002418A4" w:rsidRPr="008B3C8C">
        <w:rPr>
          <w:sz w:val="24"/>
          <w:szCs w:val="24"/>
        </w:rPr>
        <w:t xml:space="preserve"> (Forster, 2015)</w:t>
      </w:r>
      <w:r w:rsidR="006B2EC8" w:rsidRPr="008B3C8C">
        <w:rPr>
          <w:sz w:val="24"/>
          <w:szCs w:val="24"/>
        </w:rPr>
        <w:t xml:space="preserve">. </w:t>
      </w:r>
      <w:r w:rsidR="00F63A9C" w:rsidRPr="008B3C8C">
        <w:rPr>
          <w:sz w:val="24"/>
          <w:szCs w:val="24"/>
        </w:rPr>
        <w:t xml:space="preserve">  </w:t>
      </w:r>
    </w:p>
    <w:p w14:paraId="1E9EBA65" w14:textId="5A41E86E" w:rsidR="00F53645" w:rsidRPr="008B3C8C" w:rsidRDefault="00B4075D" w:rsidP="007C4921">
      <w:pPr>
        <w:spacing w:line="360" w:lineRule="auto"/>
        <w:jc w:val="both"/>
        <w:rPr>
          <w:sz w:val="24"/>
          <w:szCs w:val="24"/>
        </w:rPr>
      </w:pPr>
      <w:r w:rsidRPr="008B3C8C">
        <w:rPr>
          <w:sz w:val="24"/>
          <w:szCs w:val="24"/>
        </w:rPr>
        <w:t xml:space="preserve">Nadine may be able to travel with Mary under </w:t>
      </w:r>
      <w:r w:rsidR="005A2BF2" w:rsidRPr="008B3C8C">
        <w:rPr>
          <w:sz w:val="24"/>
          <w:szCs w:val="24"/>
        </w:rPr>
        <w:t xml:space="preserve">directive 2004/38 article 3 which deals with the issue surround beneficiaries. Nadine who suffers with arthritis and other medical issues would be allowed move to the Netherlands </w:t>
      </w:r>
      <w:r w:rsidR="00813A1E" w:rsidRPr="008B3C8C">
        <w:rPr>
          <w:sz w:val="24"/>
          <w:szCs w:val="24"/>
        </w:rPr>
        <w:t>with Mary</w:t>
      </w:r>
      <w:r w:rsidR="00043921" w:rsidRPr="008B3C8C">
        <w:rPr>
          <w:sz w:val="24"/>
          <w:szCs w:val="24"/>
        </w:rPr>
        <w:t xml:space="preserve"> (European Parliament, 2004)</w:t>
      </w:r>
      <w:r w:rsidR="00813A1E" w:rsidRPr="008B3C8C">
        <w:rPr>
          <w:sz w:val="24"/>
          <w:szCs w:val="24"/>
        </w:rPr>
        <w:t xml:space="preserve">. This is because Article 3 of directive 2004/38 states that an individual who requires a </w:t>
      </w:r>
      <w:r w:rsidR="00870011" w:rsidRPr="008B3C8C">
        <w:rPr>
          <w:sz w:val="24"/>
          <w:szCs w:val="24"/>
        </w:rPr>
        <w:t>substantial</w:t>
      </w:r>
      <w:r w:rsidR="00813A1E" w:rsidRPr="008B3C8C">
        <w:rPr>
          <w:sz w:val="24"/>
          <w:szCs w:val="24"/>
        </w:rPr>
        <w:t xml:space="preserve"> amount of personal care will be permitted to go with their </w:t>
      </w:r>
      <w:r w:rsidR="003954E9" w:rsidRPr="008B3C8C">
        <w:rPr>
          <w:sz w:val="24"/>
          <w:szCs w:val="24"/>
        </w:rPr>
        <w:t>caretaker</w:t>
      </w:r>
      <w:r w:rsidR="00813A1E" w:rsidRPr="008B3C8C">
        <w:rPr>
          <w:sz w:val="24"/>
          <w:szCs w:val="24"/>
        </w:rPr>
        <w:t xml:space="preserve"> on the condition that </w:t>
      </w:r>
      <w:r w:rsidR="000E0253" w:rsidRPr="008B3C8C">
        <w:rPr>
          <w:sz w:val="24"/>
          <w:szCs w:val="24"/>
        </w:rPr>
        <w:t xml:space="preserve">they are </w:t>
      </w:r>
      <w:r w:rsidR="009B02F1" w:rsidRPr="008B3C8C">
        <w:rPr>
          <w:sz w:val="24"/>
          <w:szCs w:val="24"/>
        </w:rPr>
        <w:t>dependent</w:t>
      </w:r>
      <w:r w:rsidR="000E0253" w:rsidRPr="008B3C8C">
        <w:rPr>
          <w:sz w:val="24"/>
          <w:szCs w:val="24"/>
        </w:rPr>
        <w:t xml:space="preserve"> on that person for care</w:t>
      </w:r>
      <w:r w:rsidR="000A7F21" w:rsidRPr="008B3C8C">
        <w:rPr>
          <w:sz w:val="24"/>
          <w:szCs w:val="24"/>
        </w:rPr>
        <w:t xml:space="preserve"> </w:t>
      </w:r>
      <w:r w:rsidR="006E75EE" w:rsidRPr="008B3C8C">
        <w:rPr>
          <w:sz w:val="24"/>
          <w:szCs w:val="24"/>
        </w:rPr>
        <w:t>(E</w:t>
      </w:r>
      <w:r w:rsidR="00043921" w:rsidRPr="008B3C8C">
        <w:rPr>
          <w:sz w:val="24"/>
          <w:szCs w:val="24"/>
        </w:rPr>
        <w:t>uropean Parliament, 2004</w:t>
      </w:r>
      <w:r w:rsidR="006E75EE" w:rsidRPr="008B3C8C">
        <w:rPr>
          <w:sz w:val="24"/>
          <w:szCs w:val="24"/>
        </w:rPr>
        <w:t xml:space="preserve">) </w:t>
      </w:r>
      <w:r w:rsidR="000A7F21" w:rsidRPr="008B3C8C">
        <w:rPr>
          <w:sz w:val="24"/>
          <w:szCs w:val="24"/>
        </w:rPr>
        <w:t>(</w:t>
      </w:r>
      <w:r w:rsidR="00C45E1E" w:rsidRPr="008B3C8C">
        <w:rPr>
          <w:sz w:val="24"/>
          <w:szCs w:val="24"/>
        </w:rPr>
        <w:t>Forster, 2020)</w:t>
      </w:r>
      <w:r w:rsidR="002418A4" w:rsidRPr="008B3C8C">
        <w:rPr>
          <w:sz w:val="24"/>
          <w:szCs w:val="24"/>
        </w:rPr>
        <w:t xml:space="preserve"> </w:t>
      </w:r>
      <w:r w:rsidR="00C45E1E" w:rsidRPr="008B3C8C">
        <w:rPr>
          <w:sz w:val="24"/>
          <w:szCs w:val="24"/>
        </w:rPr>
        <w:t>(European Commission)</w:t>
      </w:r>
      <w:r w:rsidR="00813A1E" w:rsidRPr="008B3C8C">
        <w:rPr>
          <w:sz w:val="24"/>
          <w:szCs w:val="24"/>
        </w:rPr>
        <w:t xml:space="preserve">. </w:t>
      </w:r>
      <w:r w:rsidR="003954E9" w:rsidRPr="008B3C8C">
        <w:rPr>
          <w:sz w:val="24"/>
          <w:szCs w:val="24"/>
        </w:rPr>
        <w:t>This fact comes from McCarthy</w:t>
      </w:r>
      <w:r w:rsidR="00FF1BE4" w:rsidRPr="008B3C8C">
        <w:rPr>
          <w:sz w:val="24"/>
          <w:szCs w:val="24"/>
        </w:rPr>
        <w:t xml:space="preserve"> (2009)</w:t>
      </w:r>
      <w:r w:rsidR="003954E9" w:rsidRPr="008B3C8C">
        <w:rPr>
          <w:sz w:val="24"/>
          <w:szCs w:val="24"/>
        </w:rPr>
        <w:t xml:space="preserve"> that specifies that an individual has the right to move and reside within an EU member state so long as she was not continuously switching between member states, this does not apply to those with dual nationalities</w:t>
      </w:r>
      <w:r w:rsidR="00FF1BE4" w:rsidRPr="008B3C8C">
        <w:rPr>
          <w:sz w:val="24"/>
          <w:szCs w:val="24"/>
        </w:rPr>
        <w:t xml:space="preserve"> like in the case of Nadine</w:t>
      </w:r>
      <w:r w:rsidR="00C45E1E" w:rsidRPr="008B3C8C">
        <w:rPr>
          <w:sz w:val="24"/>
          <w:szCs w:val="24"/>
        </w:rPr>
        <w:t xml:space="preserve"> (EUR-Lex, 2021)</w:t>
      </w:r>
      <w:r w:rsidR="003954E9" w:rsidRPr="008B3C8C">
        <w:rPr>
          <w:sz w:val="24"/>
          <w:szCs w:val="24"/>
        </w:rPr>
        <w:t xml:space="preserve">. One main factor that must be explored is </w:t>
      </w:r>
      <w:r w:rsidR="001D7127" w:rsidRPr="008B3C8C">
        <w:rPr>
          <w:sz w:val="24"/>
          <w:szCs w:val="24"/>
        </w:rPr>
        <w:t>Nadine’s</w:t>
      </w:r>
      <w:r w:rsidR="003954E9" w:rsidRPr="008B3C8C">
        <w:rPr>
          <w:sz w:val="24"/>
          <w:szCs w:val="24"/>
        </w:rPr>
        <w:t xml:space="preserve"> relations</w:t>
      </w:r>
      <w:r w:rsidR="00EE54CA" w:rsidRPr="008B3C8C">
        <w:rPr>
          <w:sz w:val="24"/>
          <w:szCs w:val="24"/>
        </w:rPr>
        <w:t>hip</w:t>
      </w:r>
      <w:r w:rsidR="003954E9" w:rsidRPr="008B3C8C">
        <w:rPr>
          <w:sz w:val="24"/>
          <w:szCs w:val="24"/>
        </w:rPr>
        <w:t xml:space="preserve"> with Mary</w:t>
      </w:r>
      <w:r w:rsidR="004A6915" w:rsidRPr="008B3C8C">
        <w:rPr>
          <w:sz w:val="24"/>
          <w:szCs w:val="24"/>
        </w:rPr>
        <w:t xml:space="preserve">, Nadine is technically a family member of Mary. </w:t>
      </w:r>
      <w:r w:rsidR="00130713" w:rsidRPr="008B3C8C">
        <w:rPr>
          <w:sz w:val="24"/>
          <w:szCs w:val="24"/>
        </w:rPr>
        <w:t>H</w:t>
      </w:r>
      <w:r w:rsidR="004A6915" w:rsidRPr="008B3C8C">
        <w:rPr>
          <w:sz w:val="24"/>
          <w:szCs w:val="24"/>
        </w:rPr>
        <w:t>owever</w:t>
      </w:r>
      <w:r w:rsidR="00130713" w:rsidRPr="008B3C8C">
        <w:rPr>
          <w:sz w:val="24"/>
          <w:szCs w:val="24"/>
        </w:rPr>
        <w:t>,</w:t>
      </w:r>
      <w:r w:rsidR="004A6915" w:rsidRPr="008B3C8C">
        <w:rPr>
          <w:sz w:val="24"/>
          <w:szCs w:val="24"/>
        </w:rPr>
        <w:t xml:space="preserve"> under article 2 (2) of the</w:t>
      </w:r>
      <w:r w:rsidR="003954E9" w:rsidRPr="008B3C8C">
        <w:rPr>
          <w:sz w:val="24"/>
          <w:szCs w:val="24"/>
        </w:rPr>
        <w:t xml:space="preserve"> </w:t>
      </w:r>
      <w:r w:rsidR="004A6915" w:rsidRPr="008B3C8C">
        <w:rPr>
          <w:sz w:val="24"/>
          <w:szCs w:val="24"/>
        </w:rPr>
        <w:t xml:space="preserve">CRD “family member” </w:t>
      </w:r>
      <w:r w:rsidR="000A7F21" w:rsidRPr="008B3C8C">
        <w:rPr>
          <w:sz w:val="24"/>
          <w:szCs w:val="24"/>
        </w:rPr>
        <w:t>is</w:t>
      </w:r>
      <w:r w:rsidR="004A6915" w:rsidRPr="008B3C8C">
        <w:rPr>
          <w:sz w:val="24"/>
          <w:szCs w:val="24"/>
        </w:rPr>
        <w:t xml:space="preserve"> from an ascending line of citizens. For example, this includes spouse, partners, or </w:t>
      </w:r>
      <w:r w:rsidR="000E0253" w:rsidRPr="008B3C8C">
        <w:rPr>
          <w:sz w:val="24"/>
          <w:szCs w:val="24"/>
        </w:rPr>
        <w:t>children (under 21)</w:t>
      </w:r>
      <w:r w:rsidR="004A6915" w:rsidRPr="008B3C8C">
        <w:rPr>
          <w:sz w:val="24"/>
          <w:szCs w:val="24"/>
        </w:rPr>
        <w:t>. This rule does not apply to aunt</w:t>
      </w:r>
      <w:r w:rsidR="00130713" w:rsidRPr="008B3C8C">
        <w:rPr>
          <w:sz w:val="24"/>
          <w:szCs w:val="24"/>
        </w:rPr>
        <w:t>ies</w:t>
      </w:r>
      <w:r w:rsidR="004A6915" w:rsidRPr="008B3C8C">
        <w:rPr>
          <w:sz w:val="24"/>
          <w:szCs w:val="24"/>
        </w:rPr>
        <w:t xml:space="preserve"> or uncles of the individual in question</w:t>
      </w:r>
      <w:r w:rsidR="00C45E1E" w:rsidRPr="008B3C8C">
        <w:rPr>
          <w:sz w:val="24"/>
          <w:szCs w:val="24"/>
        </w:rPr>
        <w:t xml:space="preserve"> (European commission)</w:t>
      </w:r>
      <w:r w:rsidR="004A6915" w:rsidRPr="008B3C8C">
        <w:rPr>
          <w:sz w:val="24"/>
          <w:szCs w:val="24"/>
        </w:rPr>
        <w:t>.</w:t>
      </w:r>
      <w:r w:rsidR="008C051E" w:rsidRPr="008B3C8C">
        <w:rPr>
          <w:sz w:val="24"/>
          <w:szCs w:val="24"/>
        </w:rPr>
        <w:t xml:space="preserve"> Under article 8 (5e) of directive 2004/38 Nadine would be able to reside in the Netherlands with Mary</w:t>
      </w:r>
      <w:r w:rsidR="00C45E1E" w:rsidRPr="008B3C8C">
        <w:rPr>
          <w:sz w:val="24"/>
          <w:szCs w:val="24"/>
        </w:rPr>
        <w:t xml:space="preserve"> (Forster, 2020)</w:t>
      </w:r>
      <w:r w:rsidR="008C051E" w:rsidRPr="008B3C8C">
        <w:rPr>
          <w:sz w:val="24"/>
          <w:szCs w:val="24"/>
        </w:rPr>
        <w:t xml:space="preserve">. This </w:t>
      </w:r>
      <w:r w:rsidR="000E0253" w:rsidRPr="008B3C8C">
        <w:rPr>
          <w:sz w:val="24"/>
          <w:szCs w:val="24"/>
        </w:rPr>
        <w:t>section</w:t>
      </w:r>
      <w:r w:rsidR="008C051E" w:rsidRPr="008B3C8C">
        <w:rPr>
          <w:sz w:val="24"/>
          <w:szCs w:val="24"/>
        </w:rPr>
        <w:t xml:space="preserve"> of article 8 states that there need to be proof of EU citizenship and the </w:t>
      </w:r>
      <w:r w:rsidR="008C051E" w:rsidRPr="008B3C8C">
        <w:rPr>
          <w:sz w:val="24"/>
          <w:szCs w:val="24"/>
        </w:rPr>
        <w:lastRenderedPageBreak/>
        <w:t xml:space="preserve">existence of serious medical conditions that is cared for by a family member </w:t>
      </w:r>
      <w:r w:rsidR="00C36080" w:rsidRPr="008B3C8C">
        <w:rPr>
          <w:sz w:val="24"/>
          <w:szCs w:val="24"/>
        </w:rPr>
        <w:t>for</w:t>
      </w:r>
      <w:r w:rsidR="008C051E" w:rsidRPr="008B3C8C">
        <w:rPr>
          <w:sz w:val="24"/>
          <w:szCs w:val="24"/>
        </w:rPr>
        <w:t xml:space="preserve"> the individual to be able to transfer between member states freely. </w:t>
      </w:r>
      <w:r w:rsidR="00212C06" w:rsidRPr="008B3C8C">
        <w:rPr>
          <w:sz w:val="24"/>
          <w:szCs w:val="24"/>
        </w:rPr>
        <w:t>When dealing with Nadine’s social welfare that she receives from the French government. It is important to deal with jobcenter Berlin Neukolln v Alimanovic [2015] (Alimanovic)</w:t>
      </w:r>
      <w:r w:rsidR="00BD30FE" w:rsidRPr="008B3C8C">
        <w:rPr>
          <w:sz w:val="24"/>
          <w:szCs w:val="24"/>
        </w:rPr>
        <w:t xml:space="preserve"> [2015]</w:t>
      </w:r>
      <w:r w:rsidR="00212C06" w:rsidRPr="008B3C8C">
        <w:rPr>
          <w:sz w:val="24"/>
          <w:szCs w:val="24"/>
        </w:rPr>
        <w:t>. This incorporates directive 2004/38 which suggests that the individual involved must not become an unreasonable burden on social assistance. I</w:t>
      </w:r>
      <w:r w:rsidR="000E0253" w:rsidRPr="008B3C8C">
        <w:rPr>
          <w:sz w:val="24"/>
          <w:szCs w:val="24"/>
        </w:rPr>
        <w:t>f</w:t>
      </w:r>
      <w:r w:rsidR="00212C06" w:rsidRPr="008B3C8C">
        <w:rPr>
          <w:sz w:val="24"/>
          <w:szCs w:val="24"/>
        </w:rPr>
        <w:t xml:space="preserve"> they do become an unreasonable </w:t>
      </w:r>
      <w:r w:rsidR="00C36080" w:rsidRPr="008B3C8C">
        <w:rPr>
          <w:sz w:val="24"/>
          <w:szCs w:val="24"/>
        </w:rPr>
        <w:t>burden,</w:t>
      </w:r>
      <w:r w:rsidR="00212C06" w:rsidRPr="008B3C8C">
        <w:rPr>
          <w:sz w:val="24"/>
          <w:szCs w:val="24"/>
        </w:rPr>
        <w:t xml:space="preserve"> they will be expelled from the member state this comes from </w:t>
      </w:r>
      <w:r w:rsidR="008879F0" w:rsidRPr="008B3C8C">
        <w:rPr>
          <w:sz w:val="24"/>
          <w:szCs w:val="24"/>
        </w:rPr>
        <w:t xml:space="preserve">recital 16 of directive 2004/38. </w:t>
      </w:r>
      <w:r w:rsidR="005C76B8" w:rsidRPr="008B3C8C">
        <w:rPr>
          <w:sz w:val="24"/>
          <w:szCs w:val="24"/>
        </w:rPr>
        <w:t>If Nadine wishes to stay within the member state for longer than the three months provided to her</w:t>
      </w:r>
      <w:r w:rsidR="000E0253" w:rsidRPr="008B3C8C">
        <w:rPr>
          <w:sz w:val="24"/>
          <w:szCs w:val="24"/>
        </w:rPr>
        <w:t>,</w:t>
      </w:r>
      <w:r w:rsidR="005C76B8" w:rsidRPr="008B3C8C">
        <w:rPr>
          <w:sz w:val="24"/>
          <w:szCs w:val="24"/>
        </w:rPr>
        <w:t xml:space="preserve"> under article 14 which is the “retention of residence” </w:t>
      </w:r>
      <w:r w:rsidR="000E0253" w:rsidRPr="008B3C8C">
        <w:rPr>
          <w:sz w:val="24"/>
          <w:szCs w:val="24"/>
        </w:rPr>
        <w:t>it</w:t>
      </w:r>
      <w:r w:rsidR="005C76B8" w:rsidRPr="008B3C8C">
        <w:rPr>
          <w:sz w:val="24"/>
          <w:szCs w:val="24"/>
        </w:rPr>
        <w:t xml:space="preserve"> states that they </w:t>
      </w:r>
      <w:r w:rsidR="003420AA" w:rsidRPr="008B3C8C">
        <w:rPr>
          <w:sz w:val="24"/>
          <w:szCs w:val="24"/>
        </w:rPr>
        <w:t>must</w:t>
      </w:r>
      <w:r w:rsidR="005C76B8" w:rsidRPr="008B3C8C">
        <w:rPr>
          <w:sz w:val="24"/>
          <w:szCs w:val="24"/>
        </w:rPr>
        <w:t xml:space="preserve"> meet the requirement</w:t>
      </w:r>
      <w:r w:rsidR="000E0253" w:rsidRPr="008B3C8C">
        <w:rPr>
          <w:sz w:val="24"/>
          <w:szCs w:val="24"/>
        </w:rPr>
        <w:t>s</w:t>
      </w:r>
      <w:r w:rsidR="005C76B8" w:rsidRPr="008B3C8C">
        <w:rPr>
          <w:sz w:val="24"/>
          <w:szCs w:val="24"/>
        </w:rPr>
        <w:t xml:space="preserve"> that are asked of them by the member state</w:t>
      </w:r>
      <w:r w:rsidR="00C45E1E" w:rsidRPr="008B3C8C">
        <w:rPr>
          <w:sz w:val="24"/>
          <w:szCs w:val="24"/>
        </w:rPr>
        <w:t xml:space="preserve"> (Forster, 2020)</w:t>
      </w:r>
      <w:r w:rsidR="000E0253" w:rsidRPr="008B3C8C">
        <w:rPr>
          <w:sz w:val="24"/>
          <w:szCs w:val="24"/>
        </w:rPr>
        <w:t xml:space="preserve"> (EUR-Lex 2021)</w:t>
      </w:r>
      <w:r w:rsidR="00043921" w:rsidRPr="008B3C8C">
        <w:rPr>
          <w:sz w:val="24"/>
          <w:szCs w:val="24"/>
        </w:rPr>
        <w:t xml:space="preserve"> (European Parliament, 2004)</w:t>
      </w:r>
      <w:r w:rsidR="005C76B8" w:rsidRPr="008B3C8C">
        <w:rPr>
          <w:sz w:val="24"/>
          <w:szCs w:val="24"/>
        </w:rPr>
        <w:t>.</w:t>
      </w:r>
      <w:r w:rsidR="00FF1BE4" w:rsidRPr="008B3C8C">
        <w:rPr>
          <w:sz w:val="24"/>
          <w:szCs w:val="24"/>
        </w:rPr>
        <w:t xml:space="preserve"> It is likely that Nadine will have to apply for her move to the Netherland separate from Mary. She in her own right is an EU citizen because of her French nationality therefore, she has the same rights to free movement as Mary. Under article 29 of Directive 2004/38 Nadine shall be granted entry into the Netherlands as she does not suffer from disease. </w:t>
      </w:r>
      <w:r w:rsidR="00340B23" w:rsidRPr="008B3C8C">
        <w:rPr>
          <w:sz w:val="24"/>
          <w:szCs w:val="24"/>
        </w:rPr>
        <w:t>However,</w:t>
      </w:r>
      <w:r w:rsidR="00FF1BE4" w:rsidRPr="008B3C8C">
        <w:rPr>
          <w:sz w:val="24"/>
          <w:szCs w:val="24"/>
        </w:rPr>
        <w:t xml:space="preserve"> it is likely that she will have to undergo a medical examination </w:t>
      </w:r>
      <w:r w:rsidR="00043921" w:rsidRPr="008B3C8C">
        <w:rPr>
          <w:sz w:val="24"/>
          <w:szCs w:val="24"/>
        </w:rPr>
        <w:t xml:space="preserve">(European Parliament, 2004) </w:t>
      </w:r>
      <w:r w:rsidR="00FF1BE4" w:rsidRPr="008B3C8C">
        <w:rPr>
          <w:sz w:val="24"/>
          <w:szCs w:val="24"/>
        </w:rPr>
        <w:t>(Forster, 2020).</w:t>
      </w:r>
    </w:p>
    <w:p w14:paraId="3E541A3A" w14:textId="2D55A8F6" w:rsidR="008C051E" w:rsidRDefault="002B2536" w:rsidP="007C4921">
      <w:pPr>
        <w:spacing w:line="360" w:lineRule="auto"/>
        <w:jc w:val="both"/>
      </w:pPr>
      <w:r w:rsidRPr="008B3C8C">
        <w:rPr>
          <w:sz w:val="24"/>
          <w:szCs w:val="24"/>
        </w:rPr>
        <w:t>In terms of Oscar</w:t>
      </w:r>
      <w:r w:rsidR="002C1DF1" w:rsidRPr="008B3C8C">
        <w:rPr>
          <w:sz w:val="24"/>
          <w:szCs w:val="24"/>
        </w:rPr>
        <w:t>,</w:t>
      </w:r>
      <w:r w:rsidR="0003182F" w:rsidRPr="008B3C8C">
        <w:rPr>
          <w:sz w:val="24"/>
          <w:szCs w:val="24"/>
        </w:rPr>
        <w:t xml:space="preserve"> he maintains the same rights as Mary under Article 20, 21 and 45 of the TFEU.</w:t>
      </w:r>
      <w:r w:rsidRPr="008B3C8C">
        <w:rPr>
          <w:sz w:val="24"/>
          <w:szCs w:val="24"/>
        </w:rPr>
        <w:t xml:space="preserve"> </w:t>
      </w:r>
      <w:r w:rsidR="0003182F" w:rsidRPr="008B3C8C">
        <w:rPr>
          <w:sz w:val="24"/>
          <w:szCs w:val="24"/>
        </w:rPr>
        <w:t>i</w:t>
      </w:r>
      <w:r w:rsidRPr="008B3C8C">
        <w:rPr>
          <w:sz w:val="24"/>
          <w:szCs w:val="24"/>
        </w:rPr>
        <w:t xml:space="preserve">t is important to reference council Directive 64/221 which deals specifically with the issue of public security. This directive under Article 2 refers to family members of the individual that is attempting to also enter the member state. </w:t>
      </w:r>
      <w:r w:rsidR="00F96CF0" w:rsidRPr="008B3C8C">
        <w:rPr>
          <w:sz w:val="24"/>
          <w:szCs w:val="24"/>
        </w:rPr>
        <w:t>The Annex that refers to article 4 2 (b) states that profound mental disturbance or psychotic disturbances may constitute to the manifestation of a security threat</w:t>
      </w:r>
      <w:r w:rsidR="00340B23" w:rsidRPr="008B3C8C">
        <w:rPr>
          <w:sz w:val="24"/>
          <w:szCs w:val="24"/>
        </w:rPr>
        <w:t xml:space="preserve"> (CEU, 1964)</w:t>
      </w:r>
      <w:r w:rsidR="00F96CF0" w:rsidRPr="008B3C8C">
        <w:rPr>
          <w:sz w:val="24"/>
          <w:szCs w:val="24"/>
        </w:rPr>
        <w:t xml:space="preserve">. In Oscars case setting fire to hospital property </w:t>
      </w:r>
      <w:r w:rsidR="000E0253" w:rsidRPr="008B3C8C">
        <w:rPr>
          <w:sz w:val="24"/>
          <w:szCs w:val="24"/>
        </w:rPr>
        <w:t>because of</w:t>
      </w:r>
      <w:r w:rsidR="00F96CF0" w:rsidRPr="008B3C8C">
        <w:rPr>
          <w:sz w:val="24"/>
          <w:szCs w:val="24"/>
        </w:rPr>
        <w:t xml:space="preserve"> his mental health may be considered to a threat to public security</w:t>
      </w:r>
      <w:r w:rsidR="00532450" w:rsidRPr="008B3C8C">
        <w:rPr>
          <w:sz w:val="24"/>
          <w:szCs w:val="24"/>
        </w:rPr>
        <w:t xml:space="preserve"> if this behaviour is a regular occurrence</w:t>
      </w:r>
      <w:r w:rsidR="00F96CF0" w:rsidRPr="008B3C8C">
        <w:rPr>
          <w:sz w:val="24"/>
          <w:szCs w:val="24"/>
        </w:rPr>
        <w:t xml:space="preserve"> </w:t>
      </w:r>
      <w:r w:rsidR="00532450" w:rsidRPr="008B3C8C">
        <w:rPr>
          <w:sz w:val="24"/>
          <w:szCs w:val="24"/>
        </w:rPr>
        <w:t>s</w:t>
      </w:r>
      <w:r w:rsidR="00F96CF0" w:rsidRPr="008B3C8C">
        <w:rPr>
          <w:sz w:val="24"/>
          <w:szCs w:val="24"/>
        </w:rPr>
        <w:t>ee case Bonsignore [1975]. Furthermore, it is important t</w:t>
      </w:r>
      <w:r w:rsidR="002A6FA3" w:rsidRPr="008B3C8C">
        <w:rPr>
          <w:sz w:val="24"/>
          <w:szCs w:val="24"/>
        </w:rPr>
        <w:t>o reference the European union’s stance on previous convictions. Bouchereau [1977] follows directive 64/221 article 3 (2) on the limitations of an individual based on personal conduct</w:t>
      </w:r>
      <w:r w:rsidR="00340B23" w:rsidRPr="008B3C8C">
        <w:rPr>
          <w:sz w:val="24"/>
          <w:szCs w:val="24"/>
        </w:rPr>
        <w:t xml:space="preserve"> (Eur-Lex, 2021)</w:t>
      </w:r>
      <w:r w:rsidR="002A6FA3" w:rsidRPr="008B3C8C">
        <w:rPr>
          <w:sz w:val="24"/>
          <w:szCs w:val="24"/>
        </w:rPr>
        <w:t xml:space="preserve">. This article does not suggest that Oscar should be restricted in his ability to move freely between Member states based on rights given to him in </w:t>
      </w:r>
      <w:r w:rsidR="00532450" w:rsidRPr="008B3C8C">
        <w:rPr>
          <w:sz w:val="24"/>
          <w:szCs w:val="24"/>
        </w:rPr>
        <w:t xml:space="preserve">Article </w:t>
      </w:r>
      <w:r w:rsidR="002A6FA3" w:rsidRPr="008B3C8C">
        <w:rPr>
          <w:sz w:val="24"/>
          <w:szCs w:val="24"/>
        </w:rPr>
        <w:t>48 of the treaty on grounds of public policy and public security</w:t>
      </w:r>
      <w:r w:rsidR="00043921" w:rsidRPr="008B3C8C">
        <w:rPr>
          <w:sz w:val="24"/>
          <w:szCs w:val="24"/>
        </w:rPr>
        <w:t xml:space="preserve"> (CEU, 1964) (European Parliament, 2004)</w:t>
      </w:r>
      <w:r w:rsidR="002A6FA3" w:rsidRPr="008B3C8C">
        <w:rPr>
          <w:sz w:val="24"/>
          <w:szCs w:val="24"/>
        </w:rPr>
        <w:t>. What is of importance however is down to</w:t>
      </w:r>
      <w:r w:rsidR="00532450" w:rsidRPr="008B3C8C">
        <w:rPr>
          <w:sz w:val="24"/>
          <w:szCs w:val="24"/>
        </w:rPr>
        <w:t xml:space="preserve"> the</w:t>
      </w:r>
      <w:r w:rsidR="002A6FA3" w:rsidRPr="008B3C8C">
        <w:rPr>
          <w:sz w:val="24"/>
          <w:szCs w:val="24"/>
        </w:rPr>
        <w:t xml:space="preserve"> interpretation of the circumstances that gave rise to his actions. Furthermore, whether his </w:t>
      </w:r>
      <w:r w:rsidR="008C3A82" w:rsidRPr="008B3C8C">
        <w:rPr>
          <w:sz w:val="24"/>
          <w:szCs w:val="24"/>
        </w:rPr>
        <w:t xml:space="preserve">infringement of the Law would pose as a genuine </w:t>
      </w:r>
      <w:r w:rsidR="008C3A82" w:rsidRPr="008B3C8C">
        <w:rPr>
          <w:sz w:val="24"/>
          <w:szCs w:val="24"/>
        </w:rPr>
        <w:lastRenderedPageBreak/>
        <w:t>or sufficient threat to the fundamental interests of society. Therefore, it would be down to the interpretation of the Member states to determine whether Oscar would be able to reside within the Netherlands</w:t>
      </w:r>
      <w:r w:rsidR="001565FC" w:rsidRPr="008B3C8C">
        <w:rPr>
          <w:sz w:val="24"/>
          <w:szCs w:val="24"/>
        </w:rPr>
        <w:t xml:space="preserve">. It is likely that Oscar’s health condition will not play a significant role in his entry to the Netherlands as under article 29 of Directive 2004/38 is not considered to a threat to public health </w:t>
      </w:r>
      <w:r w:rsidR="00043921" w:rsidRPr="008B3C8C">
        <w:rPr>
          <w:sz w:val="24"/>
          <w:szCs w:val="24"/>
        </w:rPr>
        <w:t>(European Parliament, 2004)</w:t>
      </w:r>
      <w:r w:rsidR="001565FC" w:rsidRPr="008B3C8C">
        <w:rPr>
          <w:sz w:val="24"/>
          <w:szCs w:val="24"/>
        </w:rPr>
        <w:t>.</w:t>
      </w:r>
      <w:r w:rsidR="00026251" w:rsidRPr="008B3C8C">
        <w:rPr>
          <w:sz w:val="24"/>
          <w:szCs w:val="24"/>
        </w:rPr>
        <w:t xml:space="preserve"> Under Article 1 of Directive 73/148</w:t>
      </w:r>
      <w:r w:rsidR="006651D1" w:rsidRPr="008B3C8C">
        <w:rPr>
          <w:sz w:val="24"/>
          <w:szCs w:val="24"/>
        </w:rPr>
        <w:t xml:space="preserve"> C and D highlight</w:t>
      </w:r>
      <w:r w:rsidR="004218AD" w:rsidRPr="008B3C8C">
        <w:rPr>
          <w:sz w:val="24"/>
          <w:szCs w:val="24"/>
        </w:rPr>
        <w:t xml:space="preserve">s that </w:t>
      </w:r>
      <w:r w:rsidR="003B73F4" w:rsidRPr="008B3C8C">
        <w:rPr>
          <w:sz w:val="24"/>
          <w:szCs w:val="24"/>
        </w:rPr>
        <w:t xml:space="preserve">the children under 21 years of age will be allowed into the host member state irrespective of nationality due to there being an “ascending line” of family. </w:t>
      </w:r>
      <w:r w:rsidR="00E10FDA" w:rsidRPr="008B3C8C">
        <w:rPr>
          <w:sz w:val="24"/>
          <w:szCs w:val="24"/>
        </w:rPr>
        <w:t>This comes from Kunqian Catherine Zhu and Man Lavette Chen v Secretary of State for the Home Department [2002].</w:t>
      </w:r>
      <w:r w:rsidR="00E10FDA">
        <w:t xml:space="preserve"> </w:t>
      </w:r>
    </w:p>
    <w:p w14:paraId="14353139" w14:textId="77777777" w:rsidR="00F53645" w:rsidRDefault="00F53645"/>
    <w:p w14:paraId="05BE74BC" w14:textId="77777777" w:rsidR="000A27D8" w:rsidRDefault="000A27D8"/>
    <w:p w14:paraId="79803775" w14:textId="77777777" w:rsidR="0003182F" w:rsidRDefault="00DA6CE3">
      <w:r>
        <w:t xml:space="preserve"> </w:t>
      </w:r>
    </w:p>
    <w:p w14:paraId="2AE628FA" w14:textId="77777777" w:rsidR="007C4921" w:rsidRDefault="007C4921">
      <w:pPr>
        <w:rPr>
          <w:b/>
          <w:bCs/>
        </w:rPr>
      </w:pPr>
    </w:p>
    <w:p w14:paraId="66BE5ABD" w14:textId="77777777" w:rsidR="007C4921" w:rsidRDefault="007C4921">
      <w:pPr>
        <w:rPr>
          <w:b/>
          <w:bCs/>
        </w:rPr>
      </w:pPr>
    </w:p>
    <w:p w14:paraId="6FD4228C" w14:textId="77777777" w:rsidR="007C4921" w:rsidRDefault="007C4921">
      <w:pPr>
        <w:rPr>
          <w:b/>
          <w:bCs/>
        </w:rPr>
      </w:pPr>
    </w:p>
    <w:p w14:paraId="4A3559DA" w14:textId="77777777" w:rsidR="007C4921" w:rsidRDefault="007C4921">
      <w:pPr>
        <w:rPr>
          <w:b/>
          <w:bCs/>
        </w:rPr>
      </w:pPr>
    </w:p>
    <w:p w14:paraId="4B54ACC6" w14:textId="77777777" w:rsidR="007C4921" w:rsidRDefault="007C4921">
      <w:pPr>
        <w:rPr>
          <w:b/>
          <w:bCs/>
        </w:rPr>
      </w:pPr>
    </w:p>
    <w:p w14:paraId="490D8EFE" w14:textId="77777777" w:rsidR="007C4921" w:rsidRDefault="007C4921">
      <w:pPr>
        <w:rPr>
          <w:b/>
          <w:bCs/>
        </w:rPr>
      </w:pPr>
    </w:p>
    <w:p w14:paraId="5B1166D8" w14:textId="77777777" w:rsidR="007C4921" w:rsidRDefault="007C4921">
      <w:pPr>
        <w:rPr>
          <w:b/>
          <w:bCs/>
        </w:rPr>
      </w:pPr>
    </w:p>
    <w:p w14:paraId="24EC8971" w14:textId="77777777" w:rsidR="007C4921" w:rsidRDefault="007C4921">
      <w:pPr>
        <w:rPr>
          <w:b/>
          <w:bCs/>
        </w:rPr>
      </w:pPr>
    </w:p>
    <w:p w14:paraId="3237A76C" w14:textId="77777777" w:rsidR="007C4921" w:rsidRDefault="007C4921">
      <w:pPr>
        <w:rPr>
          <w:b/>
          <w:bCs/>
        </w:rPr>
      </w:pPr>
    </w:p>
    <w:p w14:paraId="5DCA32C9" w14:textId="77777777" w:rsidR="007C4921" w:rsidRDefault="007C4921">
      <w:pPr>
        <w:rPr>
          <w:b/>
          <w:bCs/>
        </w:rPr>
      </w:pPr>
    </w:p>
    <w:p w14:paraId="13A6DF33" w14:textId="77777777" w:rsidR="007C4921" w:rsidRDefault="007C4921">
      <w:pPr>
        <w:rPr>
          <w:b/>
          <w:bCs/>
        </w:rPr>
      </w:pPr>
    </w:p>
    <w:p w14:paraId="7A1770CA" w14:textId="77777777" w:rsidR="007C4921" w:rsidRDefault="007C4921">
      <w:pPr>
        <w:rPr>
          <w:b/>
          <w:bCs/>
        </w:rPr>
      </w:pPr>
    </w:p>
    <w:p w14:paraId="1D61AD93" w14:textId="77777777" w:rsidR="007C4921" w:rsidRDefault="007C4921">
      <w:pPr>
        <w:rPr>
          <w:b/>
          <w:bCs/>
        </w:rPr>
      </w:pPr>
    </w:p>
    <w:p w14:paraId="5FFA2E99" w14:textId="77777777" w:rsidR="007C4921" w:rsidRDefault="007C4921">
      <w:pPr>
        <w:rPr>
          <w:b/>
          <w:bCs/>
        </w:rPr>
      </w:pPr>
    </w:p>
    <w:p w14:paraId="2AD349D6" w14:textId="77777777" w:rsidR="007C4921" w:rsidRDefault="007C4921">
      <w:pPr>
        <w:rPr>
          <w:b/>
          <w:bCs/>
        </w:rPr>
      </w:pPr>
    </w:p>
    <w:p w14:paraId="355FC0FF" w14:textId="77777777" w:rsidR="007C4921" w:rsidRDefault="007C4921">
      <w:pPr>
        <w:rPr>
          <w:b/>
          <w:bCs/>
        </w:rPr>
      </w:pPr>
    </w:p>
    <w:p w14:paraId="693632C9" w14:textId="77777777" w:rsidR="007C4921" w:rsidRDefault="007C4921">
      <w:pPr>
        <w:rPr>
          <w:b/>
          <w:bCs/>
        </w:rPr>
      </w:pPr>
    </w:p>
    <w:p w14:paraId="48C05032" w14:textId="77777777" w:rsidR="007C4921" w:rsidRDefault="007C4921">
      <w:pPr>
        <w:rPr>
          <w:b/>
          <w:bCs/>
        </w:rPr>
      </w:pPr>
    </w:p>
    <w:p w14:paraId="3FD7C850" w14:textId="77777777" w:rsidR="007C4921" w:rsidRDefault="007C4921">
      <w:pPr>
        <w:rPr>
          <w:b/>
          <w:bCs/>
        </w:rPr>
      </w:pPr>
    </w:p>
    <w:p w14:paraId="002F3AD3" w14:textId="14D16336" w:rsidR="003420AA" w:rsidRPr="00EB236D" w:rsidRDefault="003420AA">
      <w:pPr>
        <w:rPr>
          <w:b/>
          <w:bCs/>
        </w:rPr>
      </w:pPr>
      <w:r w:rsidRPr="00EB236D">
        <w:rPr>
          <w:b/>
          <w:bCs/>
        </w:rPr>
        <w:lastRenderedPageBreak/>
        <w:t>Bibliography</w:t>
      </w:r>
    </w:p>
    <w:p w14:paraId="4568D71A" w14:textId="76218D1B" w:rsidR="007A72C0" w:rsidRDefault="00E26588">
      <w:r>
        <w:t xml:space="preserve">Akman, P., (2018). The Tests of Illegality Under Articles 101 and 102 TFEU. SAGE Journal. </w:t>
      </w:r>
      <w:r w:rsidR="00F92E5D">
        <w:t>Vol. 61. Pp. 96-99</w:t>
      </w:r>
      <w:r w:rsidR="002264E6">
        <w:t xml:space="preserve"> </w:t>
      </w:r>
    </w:p>
    <w:p w14:paraId="4F4819E7" w14:textId="6EE227C2" w:rsidR="005350CD" w:rsidRPr="00730745" w:rsidRDefault="00730745" w:rsidP="00730745">
      <w:r>
        <w:t xml:space="preserve">Burt, B. (1960). </w:t>
      </w:r>
      <w:r>
        <w:t>Antitrust Laws: Judicial Relief for Violations of Section Seven of the Clayton Act</w:t>
      </w:r>
      <w:r>
        <w:t xml:space="preserve"> </w:t>
      </w:r>
      <w:r>
        <w:t>Disenfranchisement in United States v. E. I. du Pont de Nemours &amp; Co.</w:t>
      </w:r>
      <w:r>
        <w:t xml:space="preserve"> </w:t>
      </w:r>
      <w:r>
        <w:rPr>
          <w:i/>
          <w:iCs/>
        </w:rPr>
        <w:t xml:space="preserve">Michigan Law Review Association. </w:t>
      </w:r>
      <w:r>
        <w:t>Vol. 5, No. 7. Pp. 1024-1044</w:t>
      </w:r>
    </w:p>
    <w:p w14:paraId="4CE86B0C" w14:textId="78B0D93B" w:rsidR="002418A4" w:rsidRPr="002418A4" w:rsidRDefault="002418A4" w:rsidP="002418A4">
      <w:r>
        <w:t>Carrera, S. (2005).</w:t>
      </w:r>
      <w:r w:rsidRPr="002418A4">
        <w:t xml:space="preserve"> </w:t>
      </w:r>
      <w:r w:rsidRPr="002418A4">
        <w:rPr>
          <w:i/>
          <w:iCs/>
        </w:rPr>
        <w:t>What Does Free Movement Mean in</w:t>
      </w:r>
      <w:r w:rsidRPr="002418A4">
        <w:rPr>
          <w:i/>
          <w:iCs/>
        </w:rPr>
        <w:t xml:space="preserve"> </w:t>
      </w:r>
      <w:r w:rsidRPr="002418A4">
        <w:rPr>
          <w:i/>
          <w:iCs/>
        </w:rPr>
        <w:t>Theory and Practice in an Enlarged EU</w:t>
      </w:r>
      <w:r>
        <w:rPr>
          <w:i/>
          <w:iCs/>
        </w:rPr>
        <w:t xml:space="preserve">?. </w:t>
      </w:r>
      <w:r>
        <w:t>European Law Journal. Vol. 11, No 6. Pp. 699-721</w:t>
      </w:r>
    </w:p>
    <w:p w14:paraId="578593ED" w14:textId="20DF9399" w:rsidR="00340B23" w:rsidRDefault="00340B23">
      <w:r>
        <w:t xml:space="preserve">CEU. (1964) </w:t>
      </w:r>
      <w:r w:rsidRPr="00340B23">
        <w:t>Council Directive 64/221/EEC of 25 February 1964 on the co-ordination of special measures concerning the movement and residence of foreign nationals which are justified on grounds of public policy, public security or public health</w:t>
      </w:r>
      <w:r>
        <w:t>.</w:t>
      </w:r>
      <w:r w:rsidR="00043921" w:rsidRPr="00043921">
        <w:t xml:space="preserve"> </w:t>
      </w:r>
      <w:r w:rsidR="00043921" w:rsidRPr="00043921">
        <w:t>Official Journal of the European Communities</w:t>
      </w:r>
      <w:r w:rsidR="00043921">
        <w:t xml:space="preserve"> </w:t>
      </w:r>
    </w:p>
    <w:p w14:paraId="16A9CB9E" w14:textId="02BB834A" w:rsidR="00340B23" w:rsidRDefault="00340B23">
      <w:r>
        <w:t>CEU. (1964)</w:t>
      </w:r>
      <w:r w:rsidRPr="00340B23">
        <w:t xml:space="preserve"> </w:t>
      </w:r>
      <w:r w:rsidRPr="00340B23">
        <w:t>Council Directive 73/148/EEC of 21 May 1973 on the abolition of restrictions on movement and residence within the Community for nationals of Member States with regard to establishment and the provision of services</w:t>
      </w:r>
      <w:r w:rsidR="00043921">
        <w:t>. Official</w:t>
      </w:r>
      <w:r w:rsidR="00043921" w:rsidRPr="00043921">
        <w:t xml:space="preserve"> </w:t>
      </w:r>
      <w:r w:rsidR="00043921" w:rsidRPr="00043921">
        <w:t>Journal of the European Communities</w:t>
      </w:r>
      <w:r w:rsidR="00043921">
        <w:t xml:space="preserve">  </w:t>
      </w:r>
    </w:p>
    <w:p w14:paraId="532FD600" w14:textId="79D4BE08" w:rsidR="00043921" w:rsidRDefault="00043921">
      <w:r>
        <w:t xml:space="preserve">EEC, (1968). </w:t>
      </w:r>
      <w:r w:rsidRPr="00043921">
        <w:t>Regulation (EEC) No 1612/68 of the Council of 15 October 1968 on freedom of movement for workers within the Community</w:t>
      </w:r>
      <w:r>
        <w:t>.</w:t>
      </w:r>
      <w:r w:rsidRPr="00043921">
        <w:t xml:space="preserve"> </w:t>
      </w:r>
      <w:r w:rsidRPr="00043921">
        <w:t>THE COUNCIL OF THE EUROPEAN COMMUNITIES</w:t>
      </w:r>
      <w:r>
        <w:t xml:space="preserve"> </w:t>
      </w:r>
    </w:p>
    <w:p w14:paraId="0086984F" w14:textId="5BADC5AF" w:rsidR="0003182F" w:rsidRDefault="0003182F">
      <w:r>
        <w:t xml:space="preserve">European Parliament. (2009). </w:t>
      </w:r>
      <w:r w:rsidRPr="0003182F">
        <w:t>CONSOLIDATED VERSION OF THE TREATY ON THE FUNCTIONING OF THE EUROPEAN UNION</w:t>
      </w:r>
      <w:r>
        <w:t xml:space="preserve">. </w:t>
      </w:r>
      <w:r w:rsidRPr="0003182F">
        <w:t>Official Journal of the European Union</w:t>
      </w:r>
      <w:r>
        <w:t xml:space="preserve">. </w:t>
      </w:r>
    </w:p>
    <w:p w14:paraId="34DADFEE" w14:textId="36DE12DE" w:rsidR="00BE70C5" w:rsidRDefault="00BE70C5">
      <w:r>
        <w:t>European Parliament. (2004).</w:t>
      </w:r>
      <w:r w:rsidRPr="00BE70C5">
        <w:t xml:space="preserve"> </w:t>
      </w:r>
      <w:r w:rsidRPr="00BE70C5">
        <w:t>DIRECTIVE 2004/38/EC OF THE EUROPEAN PARLIAMENT AND OF THE COUNCIL</w:t>
      </w:r>
      <w:r>
        <w:t>.</w:t>
      </w:r>
      <w:r w:rsidRPr="00BE70C5">
        <w:t xml:space="preserve"> </w:t>
      </w:r>
      <w:r w:rsidRPr="00BE70C5">
        <w:t>Official Journal of the European Communities</w:t>
      </w:r>
      <w:r>
        <w:t xml:space="preserve">.   </w:t>
      </w:r>
    </w:p>
    <w:p w14:paraId="21175F41" w14:textId="516865B9" w:rsidR="006E75EE" w:rsidRDefault="00BD0D96">
      <w:r w:rsidRPr="00BD0D96">
        <w:t>European Parliament</w:t>
      </w:r>
      <w:r w:rsidR="006E75EE">
        <w:t>. (2021).</w:t>
      </w:r>
      <w:r w:rsidR="006E75EE" w:rsidRPr="006E75EE">
        <w:t xml:space="preserve"> </w:t>
      </w:r>
      <w:r w:rsidR="006E75EE" w:rsidRPr="006E75EE">
        <w:t>Free movement of persons</w:t>
      </w:r>
      <w:r w:rsidR="006E75EE">
        <w:t>. [online] europarl.europa.eu.</w:t>
      </w:r>
      <w:r w:rsidR="006E75EE" w:rsidRPr="006E75EE">
        <w:t xml:space="preserve"> </w:t>
      </w:r>
      <w:r w:rsidR="006E75EE" w:rsidRPr="006E75EE">
        <w:t xml:space="preserve">Available at: </w:t>
      </w:r>
      <w:hyperlink r:id="rId4" w:history="1">
        <w:r w:rsidR="006E75EE" w:rsidRPr="00DA7122">
          <w:rPr>
            <w:rStyle w:val="Hyperlink"/>
          </w:rPr>
          <w:t>https://www.europarl.europa.eu/factsheets/en/sheet/147/free-movement-of-persons</w:t>
        </w:r>
      </w:hyperlink>
      <w:r w:rsidR="006E75EE">
        <w:t>&gt;</w:t>
      </w:r>
      <w:r w:rsidR="006E75EE" w:rsidRPr="006E75EE">
        <w:t xml:space="preserve">[Accessed 26 April 2021] </w:t>
      </w:r>
      <w:r w:rsidR="006E75EE">
        <w:t xml:space="preserve">  </w:t>
      </w:r>
      <w:r>
        <w:t xml:space="preserve"> </w:t>
      </w:r>
    </w:p>
    <w:p w14:paraId="760F22C1" w14:textId="06165068" w:rsidR="000013DC" w:rsidRDefault="000013DC">
      <w:r>
        <w:t xml:space="preserve">Commission. (1993). Commission Decision </w:t>
      </w:r>
      <w:r w:rsidRPr="000013DC">
        <w:t>Sea Containers v. Stena Sealink (1993)</w:t>
      </w:r>
      <w:r>
        <w:t>. The commissions of European Unions.</w:t>
      </w:r>
    </w:p>
    <w:p w14:paraId="755D4D28" w14:textId="4B64D368" w:rsidR="002264E6" w:rsidRDefault="002264E6">
      <w:r>
        <w:t xml:space="preserve">Craig. P., (2015). EU Law Text, Cases, and Materials. Oxford University Press. Sixth Edition. Pp. 554-1050 </w:t>
      </w:r>
    </w:p>
    <w:p w14:paraId="0E11A028" w14:textId="02AEBE66" w:rsidR="00FE103C" w:rsidRDefault="0078397A">
      <w:r>
        <w:t>Eurofound, 2011. Soft Law. [online] Eurofound.europa.eu. Available at:</w:t>
      </w:r>
      <w:r w:rsidRPr="0078397A">
        <w:t xml:space="preserve"> </w:t>
      </w:r>
      <w:hyperlink r:id="rId5" w:history="1">
        <w:r w:rsidRPr="00582B19">
          <w:rPr>
            <w:rStyle w:val="Hyperlink"/>
          </w:rPr>
          <w:t>https://www.eurofound.europa.eu/observatories/eurwork/industrial-relations-dictionary/soft-law</w:t>
        </w:r>
      </w:hyperlink>
      <w:r>
        <w:t xml:space="preserve">&gt; [Accessed 26 April 2021] </w:t>
      </w:r>
      <w:bookmarkStart w:id="0" w:name="_Hlk71286007"/>
    </w:p>
    <w:p w14:paraId="79F813AE" w14:textId="013FF7CA" w:rsidR="00BE4CEB" w:rsidRDefault="00BE4CEB">
      <w:bookmarkStart w:id="1" w:name="_Hlk71301268"/>
      <w:r>
        <w:t>Eur-Lex, 2021</w:t>
      </w:r>
      <w:bookmarkEnd w:id="1"/>
      <w:r>
        <w:t>.</w:t>
      </w:r>
      <w:bookmarkEnd w:id="0"/>
      <w:r w:rsidRPr="00BE4CEB">
        <w:t xml:space="preserve"> </w:t>
      </w:r>
      <w:r w:rsidRPr="00BE4CEB">
        <w:t>AKZO Chemie BV v Commission of the European Communities</w:t>
      </w:r>
      <w:r>
        <w:t xml:space="preserve">. [online] Eur-Lex.europa. Available at: </w:t>
      </w:r>
      <w:hyperlink r:id="rId6" w:history="1">
        <w:r w:rsidRPr="00DA7122">
          <w:rPr>
            <w:rStyle w:val="Hyperlink"/>
          </w:rPr>
          <w:t>https://eur-lex.europa.eu/legal-content/EN/TXT/HTML/?uri=CELEX:61986CJ0062&amp;from=EN</w:t>
        </w:r>
      </w:hyperlink>
      <w:r>
        <w:t xml:space="preserve">&gt; [Accessed April 30 2021]  </w:t>
      </w:r>
    </w:p>
    <w:p w14:paraId="5E740DE9" w14:textId="41941E4E" w:rsidR="00FE103C" w:rsidRDefault="00FE103C">
      <w:r w:rsidRPr="00FE103C">
        <w:t>Eur-Lex, 2021</w:t>
      </w:r>
      <w:r>
        <w:t>.</w:t>
      </w:r>
      <w:r w:rsidRPr="00FE103C">
        <w:t xml:space="preserve"> </w:t>
      </w:r>
      <w:r w:rsidRPr="00FE103C">
        <w:t>Carmelo Angelo Bonsignore v Oberstadtdirektor der Stadt Köln</w:t>
      </w:r>
      <w:r>
        <w:t xml:space="preserve">. </w:t>
      </w:r>
      <w:r w:rsidRPr="00FE103C">
        <w:t>[online] Eur-Lex.europa. Available at:</w:t>
      </w:r>
      <w:r w:rsidRPr="00FE103C">
        <w:t xml:space="preserve"> </w:t>
      </w:r>
      <w:hyperlink r:id="rId7" w:history="1">
        <w:r w:rsidRPr="00DA7122">
          <w:rPr>
            <w:rStyle w:val="Hyperlink"/>
          </w:rPr>
          <w:t>https://eur-lex.europa.eu/legal-content/EN/TXT/HTML/?uri=CELEX:61974CJ0067&amp;from=EN</w:t>
        </w:r>
      </w:hyperlink>
      <w:r>
        <w:t xml:space="preserve">&gt; </w:t>
      </w:r>
      <w:r w:rsidRPr="00FE103C">
        <w:t>[Accessed 3 May 2021]</w:t>
      </w:r>
      <w:r>
        <w:t xml:space="preserve"> </w:t>
      </w:r>
    </w:p>
    <w:p w14:paraId="7E51F7F6" w14:textId="57B1E391" w:rsidR="005350CD" w:rsidRDefault="005350CD">
      <w:r>
        <w:lastRenderedPageBreak/>
        <w:t>Eur-Lex, 2021.</w:t>
      </w:r>
      <w:r w:rsidRPr="005350CD">
        <w:t xml:space="preserve"> </w:t>
      </w:r>
      <w:r w:rsidRPr="005350CD">
        <w:t>Cooperativa Co-Frutta Srl v Amministrazione delle finanze dello Stato</w:t>
      </w:r>
      <w:r>
        <w:t xml:space="preserve">. [online] eur-lex.europa.eu. </w:t>
      </w:r>
      <w:bookmarkStart w:id="2" w:name="_Hlk71301330"/>
      <w:r>
        <w:t>Available at</w:t>
      </w:r>
      <w:bookmarkEnd w:id="2"/>
      <w:r>
        <w:t xml:space="preserve">: </w:t>
      </w:r>
      <w:hyperlink r:id="rId8" w:history="1">
        <w:r w:rsidRPr="00DA7122">
          <w:rPr>
            <w:rStyle w:val="Hyperlink"/>
          </w:rPr>
          <w:t>https://eur-lex.europa.eu/legal-content/EN/TXT/HTML/?uri=CELEX:61985CJ0193&amp;from=EN</w:t>
        </w:r>
      </w:hyperlink>
      <w:r>
        <w:t>&gt; [Accessed 3 May 2021]</w:t>
      </w:r>
    </w:p>
    <w:p w14:paraId="110C49ED" w14:textId="27DB5276" w:rsidR="002C1DF1" w:rsidRDefault="002C1DF1">
      <w:r w:rsidRPr="002C1DF1">
        <w:t>Eur-Lex, 2021</w:t>
      </w:r>
      <w:r>
        <w:t>.</w:t>
      </w:r>
      <w:r w:rsidRPr="002C1DF1">
        <w:t xml:space="preserve"> </w:t>
      </w:r>
      <w:r w:rsidRPr="002C1DF1">
        <w:t>D.M. Levin v Staatssecretaris van Justitie</w:t>
      </w:r>
      <w:r>
        <w:t>.</w:t>
      </w:r>
      <w:r w:rsidRPr="002C1DF1">
        <w:t xml:space="preserve"> </w:t>
      </w:r>
      <w:r w:rsidRPr="002C1DF1">
        <w:t>[online] eur-lex.europa.eu.</w:t>
      </w:r>
      <w:r>
        <w:t xml:space="preserve"> </w:t>
      </w:r>
      <w:r w:rsidRPr="002C1DF1">
        <w:t>Available at</w:t>
      </w:r>
      <w:r>
        <w:t xml:space="preserve">: </w:t>
      </w:r>
      <w:hyperlink r:id="rId9" w:history="1">
        <w:r w:rsidRPr="00DA7122">
          <w:rPr>
            <w:rStyle w:val="Hyperlink"/>
          </w:rPr>
          <w:t>https://eur-lex.europa.eu/legal-content/EN/TXT/HTML/?uri=CELEX:61981CJ0053&amp;qid=1620405063330&amp;from=EN</w:t>
        </w:r>
      </w:hyperlink>
      <w:r>
        <w:t xml:space="preserve">&gt; </w:t>
      </w:r>
      <w:r w:rsidRPr="002C1DF1">
        <w:t>[Accessed 3 May 2021]</w:t>
      </w:r>
      <w:r>
        <w:t xml:space="preserve"> </w:t>
      </w:r>
    </w:p>
    <w:p w14:paraId="001AEF53" w14:textId="29468295" w:rsidR="002A7E4D" w:rsidRDefault="002A7E4D">
      <w:r>
        <w:t xml:space="preserve">Euro-Lex, 2021. </w:t>
      </w:r>
      <w:r w:rsidRPr="002A7E4D">
        <w:t>Europemballage Corporation and Continental Can Company Inc. v Commission of the European Communities</w:t>
      </w:r>
      <w:r>
        <w:t>. [online] Eur-Lex.europa.eu. Available at:</w:t>
      </w:r>
      <w:r w:rsidRPr="002A7E4D">
        <w:t xml:space="preserve"> </w:t>
      </w:r>
      <w:hyperlink r:id="rId10" w:history="1">
        <w:r w:rsidRPr="00DA7122">
          <w:rPr>
            <w:rStyle w:val="Hyperlink"/>
          </w:rPr>
          <w:t>https://eur-lex.europa.eu/legal-content/EN/TXT/HTML/?uri=CELEX:61972CJ0006&amp;from=EN</w:t>
        </w:r>
      </w:hyperlink>
      <w:r>
        <w:t xml:space="preserve">&gt; [Accessed 3 May 2021] </w:t>
      </w:r>
    </w:p>
    <w:p w14:paraId="43109E10" w14:textId="13A0B044" w:rsidR="00FE103C" w:rsidRDefault="009B02F1" w:rsidP="003420AA">
      <w:r w:rsidRPr="009B02F1">
        <w:t>Euro-Lex, 2021</w:t>
      </w:r>
      <w:r>
        <w:t xml:space="preserve">. </w:t>
      </w:r>
      <w:r w:rsidRPr="009B02F1">
        <w:t>Françoise Gravier v City of Liège</w:t>
      </w:r>
      <w:r>
        <w:t>.</w:t>
      </w:r>
      <w:r w:rsidRPr="009B02F1">
        <w:t xml:space="preserve"> </w:t>
      </w:r>
      <w:r w:rsidRPr="009B02F1">
        <w:t>[online] Eur-Lex.europa.eu. Available at:</w:t>
      </w:r>
      <w:r w:rsidRPr="009B02F1">
        <w:t xml:space="preserve"> </w:t>
      </w:r>
      <w:r w:rsidRPr="009B02F1">
        <w:t>https://eur-lex.europa.eu/legal-content/EN/TXT/HTML/?uri=CELEX:61983CJ0293&amp;from=EN</w:t>
      </w:r>
      <w:r>
        <w:t xml:space="preserve">&gt; </w:t>
      </w:r>
      <w:r w:rsidRPr="009B02F1">
        <w:t xml:space="preserve">[Accessed 3 May 2021]  </w:t>
      </w:r>
      <w:r>
        <w:t xml:space="preserve"> </w:t>
      </w:r>
    </w:p>
    <w:p w14:paraId="44FC7784" w14:textId="5CD3C3EF" w:rsidR="003420AA" w:rsidRDefault="003420AA" w:rsidP="003420AA">
      <w:r w:rsidRPr="003420AA">
        <w:t>Eur-Lex, 2021.</w:t>
      </w:r>
      <w:r>
        <w:t xml:space="preserve"> </w:t>
      </w:r>
      <w:r>
        <w:t>Jobcenter Berlin Neukölln</w:t>
      </w:r>
      <w:r>
        <w:t xml:space="preserve"> v </w:t>
      </w:r>
      <w:r>
        <w:t>Nazifa Alimanovic,</w:t>
      </w:r>
      <w:r>
        <w:t xml:space="preserve"> </w:t>
      </w:r>
      <w:r>
        <w:t>Sonita Alimanovic,</w:t>
      </w:r>
      <w:r>
        <w:t xml:space="preserve"> </w:t>
      </w:r>
      <w:r>
        <w:t>Valentina Alimanovic,</w:t>
      </w:r>
      <w:r>
        <w:t xml:space="preserve"> </w:t>
      </w:r>
      <w:r>
        <w:t>Valentino Alimanovic</w:t>
      </w:r>
      <w:r>
        <w:t xml:space="preserve">. </w:t>
      </w:r>
      <w:r w:rsidRPr="003420AA">
        <w:t xml:space="preserve">[online] Eur-Lex.europa.eu. Available at: </w:t>
      </w:r>
      <w:hyperlink r:id="rId11" w:history="1">
        <w:r w:rsidRPr="00DA7122">
          <w:rPr>
            <w:rStyle w:val="Hyperlink"/>
          </w:rPr>
          <w:t>https://eur-lex.europa.eu/legal-content/EN/TXT/HTML/?uri=CELEX:62014CJ0067&amp;from=EN</w:t>
        </w:r>
      </w:hyperlink>
      <w:r>
        <w:t>&gt;</w:t>
      </w:r>
      <w:r w:rsidRPr="003420AA">
        <w:t>[Accessed 3 May 2021]</w:t>
      </w:r>
      <w:r>
        <w:t xml:space="preserve">   </w:t>
      </w:r>
    </w:p>
    <w:p w14:paraId="1D1AB648" w14:textId="78C52111" w:rsidR="00FE103C" w:rsidRDefault="00FE103C" w:rsidP="001565FC">
      <w:r>
        <w:t>Eur-Lex, 2021</w:t>
      </w:r>
      <w:r w:rsidR="001565FC">
        <w:t xml:space="preserve">. </w:t>
      </w:r>
      <w:r w:rsidR="001565FC">
        <w:t>Kunqian Catherine Zhu and Man Lavette Chen</w:t>
      </w:r>
      <w:r w:rsidR="001565FC">
        <w:t xml:space="preserve"> v </w:t>
      </w:r>
      <w:r w:rsidR="001565FC">
        <w:t>Secretary of State for the Home Department</w:t>
      </w:r>
      <w:r w:rsidR="001565FC">
        <w:t xml:space="preserve">. </w:t>
      </w:r>
      <w:r w:rsidR="001565FC" w:rsidRPr="001565FC">
        <w:t>[online] Eur-Lex.europa.eu. Available at:</w:t>
      </w:r>
      <w:r w:rsidR="001565FC" w:rsidRPr="001565FC">
        <w:t xml:space="preserve"> </w:t>
      </w:r>
      <w:hyperlink r:id="rId12" w:history="1">
        <w:r w:rsidR="001565FC" w:rsidRPr="00DA7122">
          <w:rPr>
            <w:rStyle w:val="Hyperlink"/>
          </w:rPr>
          <w:t>https://eur-lex.europa.eu/legal-content/EN/TXT/HTML/?uri=CELEX:62002CJ0200&amp;from=EN</w:t>
        </w:r>
      </w:hyperlink>
      <w:r w:rsidR="001565FC">
        <w:t xml:space="preserve">&gt; </w:t>
      </w:r>
      <w:r w:rsidR="001565FC" w:rsidRPr="001565FC">
        <w:t xml:space="preserve">[Accessed 3 May 2021] </w:t>
      </w:r>
      <w:r w:rsidR="001565FC">
        <w:t xml:space="preserve">  </w:t>
      </w:r>
    </w:p>
    <w:p w14:paraId="293AB478" w14:textId="0DFD7175" w:rsidR="003420AA" w:rsidRDefault="009B02F1">
      <w:bookmarkStart w:id="3" w:name="_Hlk71300810"/>
      <w:r w:rsidRPr="009B02F1">
        <w:t>Eur-Lex, 2021</w:t>
      </w:r>
      <w:bookmarkEnd w:id="3"/>
      <w:r w:rsidRPr="009B02F1">
        <w:t>. NV Nederlandsche Banden Industrie Michelin v Commission of the European Communities.</w:t>
      </w:r>
      <w:r w:rsidR="00EA286E">
        <w:t xml:space="preserve"> [online]</w:t>
      </w:r>
      <w:r w:rsidRPr="009B02F1">
        <w:t xml:space="preserve"> Eur-Lex.europa.eu Available at: https://eur-lex.europa.eu/legal-content/EN/TXT/HTML/?uri=CELEX:61981CJ0322&amp;from=EN&gt; [Accessed 26 April 2021]  </w:t>
      </w:r>
    </w:p>
    <w:p w14:paraId="49FA6F6A" w14:textId="6FC40AC8" w:rsidR="00EA286E" w:rsidRDefault="00EA286E">
      <w:r w:rsidRPr="00EA286E">
        <w:t>Eur-Lex, 2021</w:t>
      </w:r>
      <w:r>
        <w:t>.</w:t>
      </w:r>
      <w:r w:rsidRPr="00EA286E">
        <w:t xml:space="preserve"> </w:t>
      </w:r>
      <w:r w:rsidRPr="00EA286E">
        <w:t>R. H. Kempf v Staatssecretaris van Justitie</w:t>
      </w:r>
      <w:r>
        <w:t xml:space="preserve">. [online] </w:t>
      </w:r>
      <w:r w:rsidRPr="00EA286E">
        <w:t>Eur-Lex.europa.eu Available at:</w:t>
      </w:r>
      <w:r>
        <w:t xml:space="preserve"> </w:t>
      </w:r>
      <w:hyperlink r:id="rId13" w:history="1">
        <w:r w:rsidRPr="00DA7122">
          <w:rPr>
            <w:rStyle w:val="Hyperlink"/>
          </w:rPr>
          <w:t>https://eur-lex.europa.eu/legal-content/EN/TXT/HTML/?uri=CELEX:61985CJ0139&amp;from=EN</w:t>
        </w:r>
      </w:hyperlink>
      <w:r>
        <w:t xml:space="preserve">&gt; </w:t>
      </w:r>
      <w:r w:rsidRPr="00EA286E">
        <w:t xml:space="preserve">[Accessed 26 April 2021] </w:t>
      </w:r>
      <w:r>
        <w:t xml:space="preserve">  </w:t>
      </w:r>
    </w:p>
    <w:p w14:paraId="1A4A5E2E" w14:textId="550C0A78" w:rsidR="007E7317" w:rsidRDefault="007E7317">
      <w:r>
        <w:t xml:space="preserve">Eur-lex, 2021. </w:t>
      </w:r>
      <w:r w:rsidR="00ED4945" w:rsidRPr="00ED4945">
        <w:t>Rudy Grzelczyk v Centre public d'aide sociale d'Ottignies-Louvain-la-Neuve</w:t>
      </w:r>
      <w:r w:rsidR="00ED4945">
        <w:t xml:space="preserve">. </w:t>
      </w:r>
      <w:bookmarkStart w:id="4" w:name="_Hlk71291547"/>
      <w:r w:rsidR="00ED4945">
        <w:t>[online] eur-lex.europa.eu. Available at:</w:t>
      </w:r>
      <w:bookmarkEnd w:id="4"/>
      <w:r w:rsidR="00ED4945">
        <w:t xml:space="preserve"> </w:t>
      </w:r>
      <w:hyperlink r:id="rId14" w:history="1">
        <w:r w:rsidR="00ED4945" w:rsidRPr="00DA7122">
          <w:rPr>
            <w:rStyle w:val="Hyperlink"/>
          </w:rPr>
          <w:t>https://eur-lex.europa.eu/legal-content/EN/TXT/HTML/?uri=CELEX:61999CJ0184&amp;from=EN</w:t>
        </w:r>
      </w:hyperlink>
      <w:r w:rsidR="00ED4945">
        <w:t xml:space="preserve">&gt; </w:t>
      </w:r>
      <w:bookmarkStart w:id="5" w:name="_Hlk71291586"/>
      <w:r w:rsidR="00ED4945">
        <w:t>[Accessed 29 April 202</w:t>
      </w:r>
      <w:r w:rsidR="007D48F9">
        <w:t>1</w:t>
      </w:r>
      <w:r w:rsidR="00ED4945">
        <w:t>]</w:t>
      </w:r>
      <w:bookmarkEnd w:id="5"/>
    </w:p>
    <w:p w14:paraId="3FA5492E" w14:textId="3A800886" w:rsidR="00FE103C" w:rsidRDefault="00FE103C" w:rsidP="00A80258">
      <w:bookmarkStart w:id="6" w:name="_Hlk71285700"/>
      <w:r w:rsidRPr="00FE103C">
        <w:t>Eur-lex, 2021.</w:t>
      </w:r>
      <w:r>
        <w:t xml:space="preserve"> </w:t>
      </w:r>
      <w:r w:rsidRPr="00FE103C">
        <w:t>Régina v Pierre Bouchereau</w:t>
      </w:r>
      <w:r>
        <w:t xml:space="preserve">. </w:t>
      </w:r>
      <w:r w:rsidRPr="00FE103C">
        <w:t>[online] eur-lex.europa.eu. Available at:</w:t>
      </w:r>
      <w:r w:rsidRPr="00FE103C">
        <w:t xml:space="preserve"> </w:t>
      </w:r>
      <w:hyperlink r:id="rId15" w:history="1">
        <w:r w:rsidRPr="00DA7122">
          <w:rPr>
            <w:rStyle w:val="Hyperlink"/>
          </w:rPr>
          <w:t>https://eur-lex.europa.eu/legal-content/EN/TXT/HTML/?uri=CELEX:61977CJ0030&amp;from=EN</w:t>
        </w:r>
      </w:hyperlink>
      <w:r>
        <w:t xml:space="preserve">&gt; </w:t>
      </w:r>
      <w:r w:rsidRPr="00FE103C">
        <w:t>[Accessed 29 April 2021]</w:t>
      </w:r>
      <w:r>
        <w:t xml:space="preserve">     </w:t>
      </w:r>
    </w:p>
    <w:p w14:paraId="3B9D60D9" w14:textId="63CCB76A" w:rsidR="00A80258" w:rsidRDefault="00A80258" w:rsidP="00A80258">
      <w:r w:rsidRPr="00A80258">
        <w:t>Euro-Lex, 2021</w:t>
      </w:r>
      <w:r>
        <w:t xml:space="preserve">. </w:t>
      </w:r>
      <w:r>
        <w:t>Samantha Elrick</w:t>
      </w:r>
      <w:r>
        <w:t xml:space="preserve"> </w:t>
      </w:r>
      <w:r>
        <w:t>v</w:t>
      </w:r>
      <w:r>
        <w:t xml:space="preserve"> </w:t>
      </w:r>
      <w:r>
        <w:t>Bezirksregierung Köln</w:t>
      </w:r>
      <w:r w:rsidRPr="00A80258">
        <w:t>[online] eur-lex.europa.eu. Available at:</w:t>
      </w:r>
      <w:r w:rsidRPr="00A80258">
        <w:t xml:space="preserve"> </w:t>
      </w:r>
      <w:hyperlink r:id="rId16" w:history="1">
        <w:r w:rsidRPr="00DA7122">
          <w:rPr>
            <w:rStyle w:val="Hyperlink"/>
          </w:rPr>
          <w:t>https://eur-lex.europa.eu/legal-content/EN/TXT/HTML/?uri=CELEX:62012CJ0275&amp;from=en</w:t>
        </w:r>
      </w:hyperlink>
      <w:r>
        <w:t xml:space="preserve">&gt; </w:t>
      </w:r>
      <w:r w:rsidRPr="00A80258">
        <w:t>[Accessed 29 April 2021]</w:t>
      </w:r>
      <w:r>
        <w:t xml:space="preserve">   </w:t>
      </w:r>
      <w:r w:rsidRPr="00A80258">
        <w:t xml:space="preserve"> </w:t>
      </w:r>
      <w:r>
        <w:t xml:space="preserve"> </w:t>
      </w:r>
    </w:p>
    <w:p w14:paraId="61245B97" w14:textId="52986667" w:rsidR="00D62241" w:rsidRDefault="00D62241">
      <w:r>
        <w:t>Euro-Lex, 2021</w:t>
      </w:r>
      <w:bookmarkEnd w:id="6"/>
      <w:r>
        <w:t xml:space="preserve">. </w:t>
      </w:r>
      <w:r w:rsidRPr="00D62241">
        <w:t>Sea Containers v. Stena Sealink</w:t>
      </w:r>
      <w:r>
        <w:t xml:space="preserve"> (1993). [online] Eur-Lex.europa.eu. Available at: </w:t>
      </w:r>
      <w:hyperlink r:id="rId17" w:history="1">
        <w:r w:rsidRPr="00DA7122">
          <w:rPr>
            <w:rStyle w:val="Hyperlink"/>
          </w:rPr>
          <w:t>https://eur-lex.europa.eu/legal-content/EN/TXT/HTML/?uri=CELEX:31994D0019&amp;from=EN</w:t>
        </w:r>
      </w:hyperlink>
      <w:r>
        <w:t>&gt; [</w:t>
      </w:r>
      <w:r w:rsidR="000013DC">
        <w:t>Assessed 3 May 2021]</w:t>
      </w:r>
    </w:p>
    <w:p w14:paraId="60B5FA68" w14:textId="7D76D5B9" w:rsidR="00FF1BE4" w:rsidRDefault="002E2991" w:rsidP="002E2991">
      <w:r w:rsidRPr="002E2991">
        <w:t>Euro-Lex, 2021</w:t>
      </w:r>
      <w:r>
        <w:t xml:space="preserve">. </w:t>
      </w:r>
      <w:r>
        <w:t>Shirley McCarthy</w:t>
      </w:r>
      <w:r>
        <w:t xml:space="preserve"> </w:t>
      </w:r>
      <w:r>
        <w:t>v</w:t>
      </w:r>
      <w:r>
        <w:t xml:space="preserve"> </w:t>
      </w:r>
      <w:r>
        <w:t>Secretary of State for the Home Department</w:t>
      </w:r>
      <w:r>
        <w:t>.</w:t>
      </w:r>
      <w:r w:rsidRPr="002E2991">
        <w:t xml:space="preserve"> </w:t>
      </w:r>
      <w:r w:rsidRPr="002E2991">
        <w:t xml:space="preserve">[online] Eur-Lex.europa.eu. Available at: </w:t>
      </w:r>
      <w:hyperlink r:id="rId18" w:history="1">
        <w:r w:rsidRPr="00DA7122">
          <w:rPr>
            <w:rStyle w:val="Hyperlink"/>
          </w:rPr>
          <w:t>https://eur-lex.europa.eu/legal-content/EN/TXT/HTML/?uri=CELEX:62009CJ0434&amp;from=EN</w:t>
        </w:r>
      </w:hyperlink>
      <w:r>
        <w:t xml:space="preserve">&gt; </w:t>
      </w:r>
      <w:r w:rsidRPr="002E2991">
        <w:t>[Assessed 3 May 2021]</w:t>
      </w:r>
      <w:r>
        <w:t xml:space="preserve">   </w:t>
      </w:r>
    </w:p>
    <w:p w14:paraId="7181DEA1" w14:textId="457626A9" w:rsidR="00A80258" w:rsidRDefault="00A80258">
      <w:r w:rsidRPr="00A80258">
        <w:lastRenderedPageBreak/>
        <w:t>Eur-Lex, 2021</w:t>
      </w:r>
      <w:r>
        <w:t xml:space="preserve">. </w:t>
      </w:r>
      <w:r w:rsidRPr="00A80258">
        <w:t>State of the Netherlands v Ann Florence Reed</w:t>
      </w:r>
      <w:r>
        <w:t xml:space="preserve">. </w:t>
      </w:r>
      <w:r w:rsidRPr="00A80258">
        <w:t>[online] Eur-Lex.europa. Available at:</w:t>
      </w:r>
      <w:r>
        <w:t xml:space="preserve"> </w:t>
      </w:r>
      <w:hyperlink r:id="rId19" w:history="1">
        <w:r w:rsidRPr="00DA7122">
          <w:rPr>
            <w:rStyle w:val="Hyperlink"/>
          </w:rPr>
          <w:t>https://eur-lex.europa.eu/legal-content/EN/TXT/HTML/?uri=CELEX:61985CJ0059&amp;from=EN</w:t>
        </w:r>
      </w:hyperlink>
      <w:r>
        <w:t xml:space="preserve">&gt; </w:t>
      </w:r>
      <w:r w:rsidRPr="00A80258">
        <w:t>[Accessed April 30 2021]</w:t>
      </w:r>
      <w:r>
        <w:t xml:space="preserve"> </w:t>
      </w:r>
    </w:p>
    <w:p w14:paraId="5AFFC950" w14:textId="1AD17BAA" w:rsidR="00A80258" w:rsidRDefault="00A80258">
      <w:bookmarkStart w:id="7" w:name="_Hlk71286583"/>
      <w:r w:rsidRPr="00A80258">
        <w:t>Eur-Lex, 2021</w:t>
      </w:r>
      <w:bookmarkEnd w:id="7"/>
      <w:r w:rsidRPr="00A80258">
        <w:t>. Steven Malcolm Brown v The Secretary of State for Scotland. [online] Eur-Lex.europa. Available at: https://eur-lex.europa.eu/legal-content/EN/TXT/HTML/?uri=CELEX:61986CJ0197&amp;from=EN&gt; [Accessed April 30 2021]</w:t>
      </w:r>
      <w:r>
        <w:t xml:space="preserve"> </w:t>
      </w:r>
    </w:p>
    <w:p w14:paraId="1F47B845" w14:textId="652F19DB" w:rsidR="007D48F9" w:rsidRDefault="007D48F9">
      <w:r w:rsidRPr="007D48F9">
        <w:t>Euro-Lex, 2021</w:t>
      </w:r>
      <w:r>
        <w:t xml:space="preserve">. </w:t>
      </w:r>
      <w:r w:rsidRPr="007D48F9">
        <w:t>Sylvie Lair v Universität Hannover</w:t>
      </w:r>
      <w:r>
        <w:t xml:space="preserve">. </w:t>
      </w:r>
      <w:r w:rsidRPr="007D48F9">
        <w:t>[online] Eur-Lex.europa.eu. Available at:</w:t>
      </w:r>
      <w:r>
        <w:t xml:space="preserve"> </w:t>
      </w:r>
      <w:hyperlink r:id="rId20" w:history="1">
        <w:r w:rsidRPr="00DA7122">
          <w:rPr>
            <w:rStyle w:val="Hyperlink"/>
          </w:rPr>
          <w:t>https://eur-lex.europa.eu/legal-content/EN/TXT/HTML/?uri=CELEX:61986CJ0039&amp;from=EN</w:t>
        </w:r>
      </w:hyperlink>
      <w:r>
        <w:t xml:space="preserve">&gt; </w:t>
      </w:r>
      <w:r w:rsidRPr="007D48F9">
        <w:t>[Accessed 29 April 2021]</w:t>
      </w:r>
      <w:r>
        <w:t xml:space="preserve"> </w:t>
      </w:r>
    </w:p>
    <w:p w14:paraId="797E908D" w14:textId="2A33C635" w:rsidR="00637DF6" w:rsidRDefault="00637DF6">
      <w:r w:rsidRPr="00637DF6">
        <w:t>Eur-Lex, 2021. United Brands Company and United Brands Continentaal BV v Commission of the European Communities [1978]. [online] Eur-Lex.europa.eu</w:t>
      </w:r>
      <w:r w:rsidR="0078397A">
        <w:t>.</w:t>
      </w:r>
      <w:r w:rsidRPr="00637DF6">
        <w:t xml:space="preserve"> Available at: https://eur-lex.europa.eu/legal-content/EN/TXT/HTML/?uri=CELEX:61976CJ0027&amp;from=EN&gt; [Accessed 26 April 2021] </w:t>
      </w:r>
    </w:p>
    <w:p w14:paraId="42043FC6" w14:textId="04B66AEF" w:rsidR="009B02F1" w:rsidRDefault="009B02F1" w:rsidP="009B02F1">
      <w:r>
        <w:t>Epiney, A.</w:t>
      </w:r>
      <w:r w:rsidRPr="009B02F1">
        <w:t xml:space="preserve"> </w:t>
      </w:r>
      <w:r>
        <w:t>The Scope of Article 12 EC:</w:t>
      </w:r>
      <w:r>
        <w:t xml:space="preserve"> </w:t>
      </w:r>
      <w:r>
        <w:t>Some Remarks on the Influence of</w:t>
      </w:r>
      <w:r>
        <w:t xml:space="preserve"> </w:t>
      </w:r>
      <w:r>
        <w:t>European Citizenship</w:t>
      </w:r>
      <w:r>
        <w:t xml:space="preserve"> </w:t>
      </w:r>
    </w:p>
    <w:p w14:paraId="7F99A1E8" w14:textId="027D1524" w:rsidR="00FE103C" w:rsidRDefault="007A72C0">
      <w:r>
        <w:t>European Commission, 2019.</w:t>
      </w:r>
      <w:r w:rsidRPr="007A72C0">
        <w:t xml:space="preserve"> Antitrust: Commission opens investigation into possible anti-competitive conduct of Amazon</w:t>
      </w:r>
      <w:r>
        <w:t xml:space="preserve">. [online] Europa.eu. Available at: </w:t>
      </w:r>
      <w:hyperlink r:id="rId21" w:history="1">
        <w:r w:rsidRPr="00582B19">
          <w:rPr>
            <w:rStyle w:val="Hyperlink"/>
          </w:rPr>
          <w:t>https://ec.europa.eu/commission/presscorner/detail/en/ip_19_4291</w:t>
        </w:r>
      </w:hyperlink>
      <w:r w:rsidR="00004957">
        <w:t xml:space="preserve"> </w:t>
      </w:r>
      <w:r>
        <w:t xml:space="preserve">&gt; [Accessed 4 </w:t>
      </w:r>
      <w:r w:rsidR="00004957">
        <w:t>May</w:t>
      </w:r>
      <w:r>
        <w:t xml:space="preserve"> 2021] </w:t>
      </w:r>
    </w:p>
    <w:p w14:paraId="39293762" w14:textId="6F8C976A" w:rsidR="00637DF6" w:rsidRDefault="00637DF6">
      <w:r>
        <w:t>European Commission, 2021.</w:t>
      </w:r>
      <w:r w:rsidRPr="00637DF6">
        <w:t xml:space="preserve"> Evaluation of the Commission Notice on the definition of relevant market for the purposes of Community competition law</w:t>
      </w:r>
      <w:r>
        <w:t xml:space="preserve">. [Online] ec.europa.eu. Available at: </w:t>
      </w:r>
      <w:hyperlink r:id="rId22" w:anchor=":~:text=The%20Commission%20Notice%20on%20the%20definition%20of%20relevant,enforcement%20pursuant%20to%20Council%20Regulation%20%28EC%29%20No%20139%2F2004" w:history="1">
        <w:r w:rsidRPr="00582B19">
          <w:rPr>
            <w:rStyle w:val="Hyperlink"/>
          </w:rPr>
          <w:t>https://ec.europa.eu/competition/consultations/2020_market_definition_notice/index_en.html#:~:text=The%20Commission%20Notice%20on%20the%20definition%20of%20relevant,enforcement%20pursuant%20to%20Council%20Regulation%20%28EC%29%20No%20139%2F2004</w:t>
        </w:r>
      </w:hyperlink>
      <w:r w:rsidRPr="00637DF6">
        <w:t>.</w:t>
      </w:r>
      <w:r>
        <w:t xml:space="preserve">&gt; </w:t>
      </w:r>
      <w:r w:rsidR="0078397A">
        <w:t xml:space="preserve">[Accessed 27 April 2021] </w:t>
      </w:r>
    </w:p>
    <w:p w14:paraId="353EC464" w14:textId="23766A8B" w:rsidR="00E54154" w:rsidRPr="00E54154" w:rsidRDefault="00E54154" w:rsidP="0090422A">
      <w:r>
        <w:t xml:space="preserve">Fletcher, A. (2016). Geographic Market Definition in European Commission Merger Control. </w:t>
      </w:r>
      <w:r>
        <w:rPr>
          <w:i/>
          <w:iCs/>
        </w:rPr>
        <w:t xml:space="preserve">University of East Anglia. </w:t>
      </w:r>
      <w:r>
        <w:t>Pp. 15-19</w:t>
      </w:r>
    </w:p>
    <w:p w14:paraId="022123F0" w14:textId="648DF6B7" w:rsidR="0090422A" w:rsidRDefault="0090422A" w:rsidP="0090422A">
      <w:r w:rsidRPr="0090422A">
        <w:t>Hurwitz</w:t>
      </w:r>
      <w:r>
        <w:t>. J. (1974).</w:t>
      </w:r>
      <w:r w:rsidRPr="0090422A">
        <w:t xml:space="preserve"> </w:t>
      </w:r>
      <w:r>
        <w:t>The Impact of the Continental Can Case on</w:t>
      </w:r>
      <w:r>
        <w:t xml:space="preserve"> </w:t>
      </w:r>
      <w:r>
        <w:t>Combinations and Concentrations within the</w:t>
      </w:r>
      <w:r>
        <w:t xml:space="preserve"> </w:t>
      </w:r>
      <w:r>
        <w:t>Common Market</w:t>
      </w:r>
      <w:r>
        <w:t xml:space="preserve">. </w:t>
      </w:r>
      <w:r w:rsidRPr="0090422A">
        <w:rPr>
          <w:i/>
          <w:iCs/>
        </w:rPr>
        <w:t>Hastings Law Journal</w:t>
      </w:r>
      <w:r>
        <w:t>. Vol. 25. Issue 3. pp 469-517</w:t>
      </w:r>
    </w:p>
    <w:p w14:paraId="123A89BD" w14:textId="4E0A746C" w:rsidR="00004957" w:rsidRDefault="00004957">
      <w:r w:rsidRPr="00004957">
        <w:t>Parenti</w:t>
      </w:r>
      <w:r>
        <w:t xml:space="preserve">, R, 2020. </w:t>
      </w:r>
      <w:r w:rsidRPr="00004957">
        <w:t>Competition policy</w:t>
      </w:r>
      <w:r>
        <w:t>. [online] europal.europa.eu. Available at:</w:t>
      </w:r>
      <w:r w:rsidRPr="00004957">
        <w:t xml:space="preserve"> </w:t>
      </w:r>
      <w:hyperlink r:id="rId23" w:history="1">
        <w:r w:rsidRPr="00582B19">
          <w:rPr>
            <w:rStyle w:val="Hyperlink"/>
          </w:rPr>
          <w:t>https://www.europarl.europa.eu/factsheets/en/sheet/82/competition-policy</w:t>
        </w:r>
      </w:hyperlink>
      <w:r>
        <w:t xml:space="preserve">&gt; [Accessed 3 May 2021] </w:t>
      </w:r>
    </w:p>
    <w:p w14:paraId="298AA268" w14:textId="240B4C34" w:rsidR="00340B23" w:rsidRDefault="004049D2" w:rsidP="00705E85">
      <w:r>
        <w:t>Petit, N. (2015).</w:t>
      </w:r>
      <w:r w:rsidR="004A0ED9">
        <w:t xml:space="preserve"> </w:t>
      </w:r>
      <w:r w:rsidR="004A0ED9" w:rsidRPr="004A0ED9">
        <w:t>INTEL, LEVERAGING REBATES AND THE GOALS OF ARTICLE 102 TFEU</w:t>
      </w:r>
      <w:r w:rsidR="004A0ED9">
        <w:t>. University Liege. Pp. 1-35</w:t>
      </w:r>
    </w:p>
    <w:p w14:paraId="6B090142" w14:textId="03F00208" w:rsidR="00705E85" w:rsidRDefault="00705E85" w:rsidP="00705E85">
      <w:r>
        <w:t>Roundtable, 2012. DIRECTORATE FOR FINANCIAL AND ENTERPRISE AFFAIRS COMPETITION COMMITTEE. [online] ec.europa.eu. Available at:</w:t>
      </w:r>
      <w:r w:rsidRPr="00705E85">
        <w:t xml:space="preserve"> </w:t>
      </w:r>
      <w:hyperlink r:id="rId24" w:history="1">
        <w:r w:rsidRPr="00582B19">
          <w:rPr>
            <w:rStyle w:val="Hyperlink"/>
          </w:rPr>
          <w:t>https://ec.europa.eu/competition/international/multilateral/2012_jun_market_definition_en.pdf</w:t>
        </w:r>
      </w:hyperlink>
      <w:r>
        <w:t xml:space="preserve">&gt; [Accessed 28 April 2021] </w:t>
      </w:r>
    </w:p>
    <w:p w14:paraId="7FFA5F27" w14:textId="5DBE4A79" w:rsidR="00ED4945" w:rsidRPr="00ED4945" w:rsidRDefault="00ED4945" w:rsidP="00ED4945">
      <w:r>
        <w:t xml:space="preserve">Solanke, I. (2012). </w:t>
      </w:r>
      <w:r>
        <w:t>Using the Citizen to Bring the Refugee In: "Gerardo Ruiz Zambrano" v "Office national</w:t>
      </w:r>
      <w:r>
        <w:t xml:space="preserve"> </w:t>
      </w:r>
      <w:r>
        <w:t>de l'emploi (ONEM)"</w:t>
      </w:r>
      <w:r>
        <w:t xml:space="preserve">. </w:t>
      </w:r>
      <w:r>
        <w:rPr>
          <w:i/>
          <w:iCs/>
        </w:rPr>
        <w:t xml:space="preserve">Modern law review. </w:t>
      </w:r>
      <w:r>
        <w:t>Vol. 75. Pp. 101-111</w:t>
      </w:r>
    </w:p>
    <w:p w14:paraId="508CC6E6" w14:textId="77777777" w:rsidR="007C4921" w:rsidRDefault="00366263">
      <w:r>
        <w:t>U</w:t>
      </w:r>
      <w:r w:rsidRPr="00366263">
        <w:t>nited Brands Company and United Brands Continentaal BV v Commission of the European Communities</w:t>
      </w:r>
      <w:r>
        <w:t xml:space="preserve"> [1978] Case 27/76</w:t>
      </w:r>
      <w:r w:rsidR="00637DF6">
        <w:t xml:space="preserve"> </w:t>
      </w:r>
    </w:p>
    <w:p w14:paraId="2A7966BD" w14:textId="4943FEA4" w:rsidR="00EB236D" w:rsidRPr="002C1DF1" w:rsidRDefault="00EB236D">
      <w:r w:rsidRPr="00EB236D">
        <w:rPr>
          <w:b/>
          <w:bCs/>
        </w:rPr>
        <w:lastRenderedPageBreak/>
        <w:t>Case Law</w:t>
      </w:r>
    </w:p>
    <w:p w14:paraId="7EA13B7B" w14:textId="587CBD43" w:rsidR="00090888" w:rsidRDefault="00090888">
      <w:r>
        <w:t>Case 6-72</w:t>
      </w:r>
      <w:r w:rsidRPr="00090888">
        <w:t xml:space="preserve"> </w:t>
      </w:r>
      <w:r w:rsidRPr="00090888">
        <w:t>Europemballage Corporation and Continental Can Company Inc. v Commission of the European Communities</w:t>
      </w:r>
      <w:r>
        <w:t xml:space="preserve"> [1973]  </w:t>
      </w:r>
    </w:p>
    <w:p w14:paraId="34B2C440" w14:textId="091ED36A" w:rsidR="00637DF6" w:rsidRDefault="00090888">
      <w:r>
        <w:t xml:space="preserve">Case 27/76 </w:t>
      </w:r>
      <w:r w:rsidRPr="00090888">
        <w:t>United Brands Company and United Brands Continentaal BV v Commission of the European Communities</w:t>
      </w:r>
      <w:r>
        <w:t xml:space="preserve"> [1978] </w:t>
      </w:r>
    </w:p>
    <w:p w14:paraId="0FE35DFF" w14:textId="4BD63BAA" w:rsidR="00BD30FE" w:rsidRDefault="00BD30FE">
      <w:r w:rsidRPr="00BD30FE">
        <w:t>Case 30-77</w:t>
      </w:r>
      <w:r>
        <w:t xml:space="preserve"> </w:t>
      </w:r>
      <w:r w:rsidRPr="00BD30FE">
        <w:t>Régina v Pierre Bouchereau</w:t>
      </w:r>
      <w:r>
        <w:t xml:space="preserve"> [1977]</w:t>
      </w:r>
    </w:p>
    <w:p w14:paraId="504DA69F" w14:textId="739E02EE" w:rsidR="00E749AD" w:rsidRDefault="00E749AD">
      <w:r>
        <w:t xml:space="preserve">Case 39/86 </w:t>
      </w:r>
      <w:r w:rsidRPr="00E749AD">
        <w:t>Sylvie Lair v Universität Hannover</w:t>
      </w:r>
      <w:r>
        <w:t xml:space="preserve"> [1988]</w:t>
      </w:r>
    </w:p>
    <w:p w14:paraId="716AF381" w14:textId="59C673CF" w:rsidR="002C1DF1" w:rsidRDefault="002C1DF1">
      <w:r w:rsidRPr="002C1DF1">
        <w:t>Case 53/81D.M. Levin v Staatssecretaris van Justitie</w:t>
      </w:r>
      <w:r>
        <w:t xml:space="preserve"> [1982] </w:t>
      </w:r>
    </w:p>
    <w:p w14:paraId="76ECD1DE" w14:textId="12F8E4B7" w:rsidR="00E749AD" w:rsidRDefault="00E749AD">
      <w:r w:rsidRPr="00E749AD">
        <w:t>Case 59/85</w:t>
      </w:r>
      <w:r w:rsidR="00EA286E" w:rsidRPr="00EA286E">
        <w:t xml:space="preserve"> </w:t>
      </w:r>
      <w:r w:rsidR="00EA286E" w:rsidRPr="00EA286E">
        <w:t>State of the Netherlands v Ann Florence Reed</w:t>
      </w:r>
      <w:r w:rsidR="00EA286E">
        <w:t xml:space="preserve"> [1986]</w:t>
      </w:r>
      <w:r>
        <w:t xml:space="preserve"> </w:t>
      </w:r>
    </w:p>
    <w:p w14:paraId="09E6C439" w14:textId="3D3F1993" w:rsidR="00BD30FE" w:rsidRDefault="00BD30FE">
      <w:r w:rsidRPr="00BD30FE">
        <w:t>Case 67-74</w:t>
      </w:r>
      <w:r w:rsidRPr="00BD30FE">
        <w:t xml:space="preserve"> </w:t>
      </w:r>
      <w:r w:rsidRPr="00BD30FE">
        <w:t>Carmelo Angelo Bonsignore v Oberstadtdirektor der Stadt Köln</w:t>
      </w:r>
      <w:r>
        <w:t xml:space="preserve"> [1975] </w:t>
      </w:r>
    </w:p>
    <w:p w14:paraId="4CC81D04" w14:textId="6E493798" w:rsidR="00EA286E" w:rsidRDefault="00EA286E">
      <w:r>
        <w:t xml:space="preserve">Case 139/85 </w:t>
      </w:r>
      <w:r w:rsidRPr="00EA286E">
        <w:t>R. H. Kempf v Staatssecretaris van Justitie</w:t>
      </w:r>
      <w:r>
        <w:t xml:space="preserve"> [1986]</w:t>
      </w:r>
    </w:p>
    <w:p w14:paraId="1ABBDFB0" w14:textId="4EDE9A09" w:rsidR="00090888" w:rsidRDefault="00090888">
      <w:r>
        <w:t>Case 193/85</w:t>
      </w:r>
      <w:r w:rsidRPr="00090888">
        <w:t xml:space="preserve"> </w:t>
      </w:r>
      <w:r w:rsidRPr="00090888">
        <w:t>Cooperativa Co-Frutta Srl v Amministrazione delle finanze dello Stato</w:t>
      </w:r>
      <w:r>
        <w:t xml:space="preserve"> [1987] </w:t>
      </w:r>
    </w:p>
    <w:p w14:paraId="53B81E4F" w14:textId="03AB7B50" w:rsidR="00E749AD" w:rsidRDefault="00E749AD">
      <w:r w:rsidRPr="00E749AD">
        <w:t>Case 197/86</w:t>
      </w:r>
      <w:r>
        <w:t xml:space="preserve"> </w:t>
      </w:r>
      <w:r w:rsidRPr="00E749AD">
        <w:t>Steven Malcolm Brown v The Secretary of State for Scotland</w:t>
      </w:r>
      <w:r>
        <w:t xml:space="preserve"> [1988]</w:t>
      </w:r>
    </w:p>
    <w:p w14:paraId="76F72978" w14:textId="3822FA49" w:rsidR="00BD30FE" w:rsidRDefault="00BD30FE">
      <w:r w:rsidRPr="00BD30FE">
        <w:t>Case C-200/02</w:t>
      </w:r>
      <w:r w:rsidRPr="00BD30FE">
        <w:t xml:space="preserve"> </w:t>
      </w:r>
      <w:r w:rsidRPr="00BD30FE">
        <w:t>Kunqian Catherine Zhu and Man Lavette Chen v Secretary of State for the Home Department</w:t>
      </w:r>
      <w:r>
        <w:t xml:space="preserve"> [2004] </w:t>
      </w:r>
    </w:p>
    <w:p w14:paraId="31DBCF4D" w14:textId="332D9699" w:rsidR="00E749AD" w:rsidRDefault="00E749AD">
      <w:r>
        <w:t xml:space="preserve">Case 293/83 </w:t>
      </w:r>
      <w:r w:rsidRPr="00E749AD">
        <w:t>Françoise Gravier v City of Liège</w:t>
      </w:r>
      <w:r>
        <w:t xml:space="preserve"> [1985]</w:t>
      </w:r>
    </w:p>
    <w:p w14:paraId="3C9D9A4D" w14:textId="45CF0411" w:rsidR="00090888" w:rsidRDefault="00090888">
      <w:r>
        <w:t>Case 322/81</w:t>
      </w:r>
      <w:r w:rsidRPr="00090888">
        <w:t xml:space="preserve"> </w:t>
      </w:r>
      <w:r w:rsidRPr="00090888">
        <w:t>NV Nederlandsche Banden Industrie Michelin v Commission of the European Communities</w:t>
      </w:r>
      <w:r>
        <w:t xml:space="preserve"> [1983] </w:t>
      </w:r>
    </w:p>
    <w:p w14:paraId="51CFB241" w14:textId="16689A2C" w:rsidR="002C1DF1" w:rsidRDefault="002C1DF1">
      <w:r w:rsidRPr="002C1DF1">
        <w:t>Case C-434/09</w:t>
      </w:r>
      <w:r>
        <w:t xml:space="preserve"> </w:t>
      </w:r>
      <w:r w:rsidRPr="002C1DF1">
        <w:t>McCarthy v Secretary of State for the Home Department</w:t>
      </w:r>
      <w:r>
        <w:t xml:space="preserve"> [2009]</w:t>
      </w:r>
    </w:p>
    <w:p w14:paraId="719A638D" w14:textId="4FED271D" w:rsidR="00BD30FE" w:rsidRDefault="00BD30FE">
      <w:r w:rsidRPr="00BD30FE">
        <w:t>Case C-67/14</w:t>
      </w:r>
      <w:r w:rsidRPr="00BD30FE">
        <w:t xml:space="preserve"> </w:t>
      </w:r>
      <w:r w:rsidRPr="00BD30FE">
        <w:t>Jobcenter Berlin Neukölln v Nazifa Alimanovic and Others</w:t>
      </w:r>
      <w:r>
        <w:t xml:space="preserve"> [2015] </w:t>
      </w:r>
    </w:p>
    <w:p w14:paraId="4CA8B2A1" w14:textId="2D7EB960" w:rsidR="00DE15BB" w:rsidRDefault="00DE15BB">
      <w:r>
        <w:t>Case C-97/08</w:t>
      </w:r>
      <w:r w:rsidR="00215700" w:rsidRPr="00215700">
        <w:t xml:space="preserve"> </w:t>
      </w:r>
      <w:r w:rsidR="00215700" w:rsidRPr="00215700">
        <w:t>Akzo Nobel Functional Chemicals BV v Commission of the European Communities</w:t>
      </w:r>
      <w:r w:rsidR="00215700">
        <w:t xml:space="preserve"> [2003] </w:t>
      </w:r>
    </w:p>
    <w:p w14:paraId="39BED154" w14:textId="574ECA79" w:rsidR="00215700" w:rsidRDefault="00215700">
      <w:r>
        <w:t>Case C-184/99</w:t>
      </w:r>
      <w:r w:rsidRPr="00215700">
        <w:t xml:space="preserve"> </w:t>
      </w:r>
      <w:r w:rsidRPr="00215700">
        <w:t>Rudy Grzelczyk v Centre public d'aide sociale d'Ottignies-Louvain-la-Neuve</w:t>
      </w:r>
      <w:r>
        <w:t xml:space="preserve"> [2001]</w:t>
      </w:r>
    </w:p>
    <w:p w14:paraId="3CAD6C94" w14:textId="4178BEBC" w:rsidR="00E749AD" w:rsidRDefault="00E749AD">
      <w:r w:rsidRPr="00E749AD">
        <w:t>Case C-275/12</w:t>
      </w:r>
      <w:r>
        <w:t xml:space="preserve"> </w:t>
      </w:r>
      <w:r w:rsidRPr="00E749AD">
        <w:t>Samantha Elrick v Bezirksregierung Köln</w:t>
      </w:r>
      <w:r>
        <w:t xml:space="preserve"> [2013]</w:t>
      </w:r>
    </w:p>
    <w:p w14:paraId="7D738BB6" w14:textId="1ED06B34" w:rsidR="00090888" w:rsidRDefault="00090888">
      <w:r>
        <w:t xml:space="preserve">Case T-30/89 </w:t>
      </w:r>
      <w:r w:rsidRPr="00090888">
        <w:t>Hilti AG v Commission of the European Communities</w:t>
      </w:r>
      <w:r>
        <w:t xml:space="preserve"> [1991]</w:t>
      </w:r>
      <w:r w:rsidR="00DE15BB">
        <w:t xml:space="preserve"> </w:t>
      </w:r>
    </w:p>
    <w:p w14:paraId="6683BCEE" w14:textId="10D7363B" w:rsidR="00215700" w:rsidRDefault="00215700">
      <w:r w:rsidRPr="00215700">
        <w:t>Sea Containers v. Stena Sealink</w:t>
      </w:r>
      <w:r>
        <w:t xml:space="preserve"> [1993]</w:t>
      </w:r>
    </w:p>
    <w:sectPr w:rsidR="0021570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067A"/>
    <w:rsid w:val="000013DC"/>
    <w:rsid w:val="00002958"/>
    <w:rsid w:val="00004957"/>
    <w:rsid w:val="00012F18"/>
    <w:rsid w:val="0002297F"/>
    <w:rsid w:val="00026251"/>
    <w:rsid w:val="0003182F"/>
    <w:rsid w:val="00032C10"/>
    <w:rsid w:val="00043921"/>
    <w:rsid w:val="00064EAE"/>
    <w:rsid w:val="0008005C"/>
    <w:rsid w:val="0008047A"/>
    <w:rsid w:val="00090888"/>
    <w:rsid w:val="000A27D8"/>
    <w:rsid w:val="000A7F21"/>
    <w:rsid w:val="000B198A"/>
    <w:rsid w:val="000D5B18"/>
    <w:rsid w:val="000E0253"/>
    <w:rsid w:val="000F4C53"/>
    <w:rsid w:val="001036E4"/>
    <w:rsid w:val="001226D2"/>
    <w:rsid w:val="00130713"/>
    <w:rsid w:val="001415B2"/>
    <w:rsid w:val="00147BFB"/>
    <w:rsid w:val="00150C17"/>
    <w:rsid w:val="001565FC"/>
    <w:rsid w:val="001A6E65"/>
    <w:rsid w:val="001D7127"/>
    <w:rsid w:val="001F024C"/>
    <w:rsid w:val="001F5982"/>
    <w:rsid w:val="001F7DDE"/>
    <w:rsid w:val="00212C06"/>
    <w:rsid w:val="00213259"/>
    <w:rsid w:val="00215700"/>
    <w:rsid w:val="002264E6"/>
    <w:rsid w:val="002418A4"/>
    <w:rsid w:val="002A6FA3"/>
    <w:rsid w:val="002A7E4D"/>
    <w:rsid w:val="002B2536"/>
    <w:rsid w:val="002C1DF1"/>
    <w:rsid w:val="002C42D9"/>
    <w:rsid w:val="002D1167"/>
    <w:rsid w:val="002E2991"/>
    <w:rsid w:val="00304502"/>
    <w:rsid w:val="003157D3"/>
    <w:rsid w:val="00320948"/>
    <w:rsid w:val="00340B23"/>
    <w:rsid w:val="003420AA"/>
    <w:rsid w:val="00366263"/>
    <w:rsid w:val="00377855"/>
    <w:rsid w:val="003954E9"/>
    <w:rsid w:val="003A0DC6"/>
    <w:rsid w:val="003B73F4"/>
    <w:rsid w:val="003F049F"/>
    <w:rsid w:val="004049D2"/>
    <w:rsid w:val="004218AD"/>
    <w:rsid w:val="00424CA1"/>
    <w:rsid w:val="00474D39"/>
    <w:rsid w:val="0048152A"/>
    <w:rsid w:val="004A08A3"/>
    <w:rsid w:val="004A0ED9"/>
    <w:rsid w:val="004A6915"/>
    <w:rsid w:val="005051F4"/>
    <w:rsid w:val="00532450"/>
    <w:rsid w:val="00534B90"/>
    <w:rsid w:val="005350CD"/>
    <w:rsid w:val="005A2BF2"/>
    <w:rsid w:val="005C76B8"/>
    <w:rsid w:val="005F4515"/>
    <w:rsid w:val="0060698F"/>
    <w:rsid w:val="00614393"/>
    <w:rsid w:val="006165ED"/>
    <w:rsid w:val="006178B4"/>
    <w:rsid w:val="00637DF6"/>
    <w:rsid w:val="006651D1"/>
    <w:rsid w:val="00666B52"/>
    <w:rsid w:val="006857A2"/>
    <w:rsid w:val="0069190B"/>
    <w:rsid w:val="006B2EC8"/>
    <w:rsid w:val="006C7063"/>
    <w:rsid w:val="006E75EE"/>
    <w:rsid w:val="006F3FB9"/>
    <w:rsid w:val="00705E85"/>
    <w:rsid w:val="007208E5"/>
    <w:rsid w:val="00720975"/>
    <w:rsid w:val="00730745"/>
    <w:rsid w:val="00754554"/>
    <w:rsid w:val="00773FA4"/>
    <w:rsid w:val="0078397A"/>
    <w:rsid w:val="00785C71"/>
    <w:rsid w:val="007A72C0"/>
    <w:rsid w:val="007C4921"/>
    <w:rsid w:val="007D48F9"/>
    <w:rsid w:val="007E3941"/>
    <w:rsid w:val="007E7317"/>
    <w:rsid w:val="00813A1E"/>
    <w:rsid w:val="0084067A"/>
    <w:rsid w:val="00870011"/>
    <w:rsid w:val="008879F0"/>
    <w:rsid w:val="00892EBE"/>
    <w:rsid w:val="008956C8"/>
    <w:rsid w:val="00896241"/>
    <w:rsid w:val="008B3C8C"/>
    <w:rsid w:val="008C051E"/>
    <w:rsid w:val="008C3A82"/>
    <w:rsid w:val="008D0B09"/>
    <w:rsid w:val="00901554"/>
    <w:rsid w:val="0090422A"/>
    <w:rsid w:val="009134E5"/>
    <w:rsid w:val="00922BA9"/>
    <w:rsid w:val="009A30DD"/>
    <w:rsid w:val="009A5557"/>
    <w:rsid w:val="009B02F1"/>
    <w:rsid w:val="009F2498"/>
    <w:rsid w:val="009F6D28"/>
    <w:rsid w:val="009F78C8"/>
    <w:rsid w:val="00A21B82"/>
    <w:rsid w:val="00A43AD2"/>
    <w:rsid w:val="00A765C5"/>
    <w:rsid w:val="00A80258"/>
    <w:rsid w:val="00A84C12"/>
    <w:rsid w:val="00AE6CBD"/>
    <w:rsid w:val="00B169C2"/>
    <w:rsid w:val="00B22C64"/>
    <w:rsid w:val="00B31C76"/>
    <w:rsid w:val="00B4075D"/>
    <w:rsid w:val="00B415FE"/>
    <w:rsid w:val="00B561B2"/>
    <w:rsid w:val="00B6334C"/>
    <w:rsid w:val="00BD0D96"/>
    <w:rsid w:val="00BD30FE"/>
    <w:rsid w:val="00BE4CEB"/>
    <w:rsid w:val="00BE70C5"/>
    <w:rsid w:val="00C33224"/>
    <w:rsid w:val="00C353B5"/>
    <w:rsid w:val="00C36080"/>
    <w:rsid w:val="00C45E1E"/>
    <w:rsid w:val="00C811CD"/>
    <w:rsid w:val="00C8656B"/>
    <w:rsid w:val="00C9690B"/>
    <w:rsid w:val="00CB64AC"/>
    <w:rsid w:val="00CC1616"/>
    <w:rsid w:val="00D16265"/>
    <w:rsid w:val="00D457C0"/>
    <w:rsid w:val="00D5503B"/>
    <w:rsid w:val="00D62241"/>
    <w:rsid w:val="00D65B5D"/>
    <w:rsid w:val="00DA6CE3"/>
    <w:rsid w:val="00DB345E"/>
    <w:rsid w:val="00DE15BB"/>
    <w:rsid w:val="00E10FDA"/>
    <w:rsid w:val="00E26588"/>
    <w:rsid w:val="00E44DD6"/>
    <w:rsid w:val="00E54154"/>
    <w:rsid w:val="00E749AD"/>
    <w:rsid w:val="00E85481"/>
    <w:rsid w:val="00E91FD2"/>
    <w:rsid w:val="00E94045"/>
    <w:rsid w:val="00E95588"/>
    <w:rsid w:val="00EA286E"/>
    <w:rsid w:val="00EB236D"/>
    <w:rsid w:val="00ED4945"/>
    <w:rsid w:val="00EE54CA"/>
    <w:rsid w:val="00F53645"/>
    <w:rsid w:val="00F63A9C"/>
    <w:rsid w:val="00F92E5D"/>
    <w:rsid w:val="00F94745"/>
    <w:rsid w:val="00F96CF0"/>
    <w:rsid w:val="00FD2AE5"/>
    <w:rsid w:val="00FE103C"/>
    <w:rsid w:val="00FF1B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56D86"/>
  <w15:chartTrackingRefBased/>
  <w15:docId w15:val="{6945374E-7089-40B7-AE6C-ABD1A7C3D9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72C0"/>
    <w:rPr>
      <w:color w:val="0563C1" w:themeColor="hyperlink"/>
      <w:u w:val="single"/>
    </w:rPr>
  </w:style>
  <w:style w:type="character" w:styleId="UnresolvedMention">
    <w:name w:val="Unresolved Mention"/>
    <w:basedOn w:val="DefaultParagraphFont"/>
    <w:uiPriority w:val="99"/>
    <w:semiHidden/>
    <w:unhideWhenUsed/>
    <w:rsid w:val="007A72C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lex.europa.eu/legal-content/EN/TXT/HTML/?uri=CELEX:61985CJ0193&amp;from=EN" TargetMode="External"/><Relationship Id="rId13" Type="http://schemas.openxmlformats.org/officeDocument/2006/relationships/hyperlink" Target="https://eur-lex.europa.eu/legal-content/EN/TXT/HTML/?uri=CELEX:61985CJ0139&amp;from=EN" TargetMode="External"/><Relationship Id="rId18" Type="http://schemas.openxmlformats.org/officeDocument/2006/relationships/hyperlink" Target="https://eur-lex.europa.eu/legal-content/EN/TXT/HTML/?uri=CELEX:62009CJ0434&amp;from=EN"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ec.europa.eu/commission/presscorner/detail/en/ip_19_4291" TargetMode="External"/><Relationship Id="rId7" Type="http://schemas.openxmlformats.org/officeDocument/2006/relationships/hyperlink" Target="https://eur-lex.europa.eu/legal-content/EN/TXT/HTML/?uri=CELEX:61974CJ0067&amp;from=EN" TargetMode="External"/><Relationship Id="rId12" Type="http://schemas.openxmlformats.org/officeDocument/2006/relationships/hyperlink" Target="https://eur-lex.europa.eu/legal-content/EN/TXT/HTML/?uri=CELEX:62002CJ0200&amp;from=EN" TargetMode="External"/><Relationship Id="rId17" Type="http://schemas.openxmlformats.org/officeDocument/2006/relationships/hyperlink" Target="https://eur-lex.europa.eu/legal-content/EN/TXT/HTML/?uri=CELEX:31994D0019&amp;from=EN"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eur-lex.europa.eu/legal-content/EN/TXT/HTML/?uri=CELEX:62012CJ0275&amp;from=en" TargetMode="External"/><Relationship Id="rId20" Type="http://schemas.openxmlformats.org/officeDocument/2006/relationships/hyperlink" Target="https://eur-lex.europa.eu/legal-content/EN/TXT/HTML/?uri=CELEX:61986CJ0039&amp;from=EN" TargetMode="External"/><Relationship Id="rId1" Type="http://schemas.openxmlformats.org/officeDocument/2006/relationships/styles" Target="styles.xml"/><Relationship Id="rId6" Type="http://schemas.openxmlformats.org/officeDocument/2006/relationships/hyperlink" Target="https://eur-lex.europa.eu/legal-content/EN/TXT/HTML/?uri=CELEX:61986CJ0062&amp;from=EN" TargetMode="External"/><Relationship Id="rId11" Type="http://schemas.openxmlformats.org/officeDocument/2006/relationships/hyperlink" Target="https://eur-lex.europa.eu/legal-content/EN/TXT/HTML/?uri=CELEX:62014CJ0067&amp;from=EN" TargetMode="External"/><Relationship Id="rId24" Type="http://schemas.openxmlformats.org/officeDocument/2006/relationships/hyperlink" Target="https://ec.europa.eu/competition/international/multilateral/2012_jun_market_definition_en.pdf" TargetMode="External"/><Relationship Id="rId5" Type="http://schemas.openxmlformats.org/officeDocument/2006/relationships/hyperlink" Target="https://www.eurofound.europa.eu/observatories/eurwork/industrial-relations-dictionary/soft-law" TargetMode="External"/><Relationship Id="rId15" Type="http://schemas.openxmlformats.org/officeDocument/2006/relationships/hyperlink" Target="https://eur-lex.europa.eu/legal-content/EN/TXT/HTML/?uri=CELEX:61977CJ0030&amp;from=EN" TargetMode="External"/><Relationship Id="rId23" Type="http://schemas.openxmlformats.org/officeDocument/2006/relationships/hyperlink" Target="https://www.europarl.europa.eu/factsheets/en/sheet/82/competition-policy" TargetMode="External"/><Relationship Id="rId10" Type="http://schemas.openxmlformats.org/officeDocument/2006/relationships/hyperlink" Target="https://eur-lex.europa.eu/legal-content/EN/TXT/HTML/?uri=CELEX:61972CJ0006&amp;from=EN" TargetMode="External"/><Relationship Id="rId19" Type="http://schemas.openxmlformats.org/officeDocument/2006/relationships/hyperlink" Target="https://eur-lex.europa.eu/legal-content/EN/TXT/HTML/?uri=CELEX:61985CJ0059&amp;from=EN" TargetMode="External"/><Relationship Id="rId4" Type="http://schemas.openxmlformats.org/officeDocument/2006/relationships/hyperlink" Target="https://www.europarl.europa.eu/factsheets/en/sheet/147/free-movement-of-persons" TargetMode="External"/><Relationship Id="rId9" Type="http://schemas.openxmlformats.org/officeDocument/2006/relationships/hyperlink" Target="https://eur-lex.europa.eu/legal-content/EN/TXT/HTML/?uri=CELEX:61981CJ0053&amp;qid=1620405063330&amp;from=EN" TargetMode="External"/><Relationship Id="rId14" Type="http://schemas.openxmlformats.org/officeDocument/2006/relationships/hyperlink" Target="https://eur-lex.europa.eu/legal-content/EN/TXT/HTML/?uri=CELEX:61999CJ0184&amp;from=EN" TargetMode="External"/><Relationship Id="rId22" Type="http://schemas.openxmlformats.org/officeDocument/2006/relationships/hyperlink" Target="https://ec.europa.eu/competition/consultations/2020_market_definition_notice/index_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4370</Words>
  <Characters>24912</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Hopson</dc:creator>
  <cp:keywords/>
  <dc:description/>
  <cp:lastModifiedBy>Sam Hopson</cp:lastModifiedBy>
  <cp:revision>3</cp:revision>
  <dcterms:created xsi:type="dcterms:W3CDTF">2021-05-07T16:54:00Z</dcterms:created>
  <dcterms:modified xsi:type="dcterms:W3CDTF">2021-05-07T16:54:00Z</dcterms:modified>
</cp:coreProperties>
</file>