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3051A6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D1F4D">
              <w:rPr>
                <w:rFonts w:ascii="Times New Roman" w:hAnsi="Times New Roman" w:cs="Times New Roman"/>
                <w:b/>
                <w:color w:val="auto"/>
                <w:sz w:val="48"/>
              </w:rPr>
              <w:t>Hayley Berry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797ED8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D1F4D">
              <w:rPr>
                <w:rFonts w:ascii="Times New Roman" w:hAnsi="Times New Roman" w:cs="Times New Roman"/>
                <w:b/>
                <w:color w:val="auto"/>
                <w:sz w:val="48"/>
              </w:rPr>
              <w:t xml:space="preserve"> H.berry@hotmail.co.uk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202FE29" w14:textId="77777777" w:rsidR="000D1F4D" w:rsidRDefault="0085230E" w:rsidP="000D1F4D">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D1F4D">
              <w:rPr>
                <w:rFonts w:ascii="Times New Roman" w:hAnsi="Times New Roman" w:cs="Times New Roman"/>
                <w:b/>
                <w:color w:val="auto"/>
                <w:sz w:val="48"/>
              </w:rPr>
              <w:t xml:space="preserve"> </w:t>
            </w:r>
          </w:p>
          <w:p w14:paraId="6FD172E8" w14:textId="7530F3B9" w:rsidR="000D1F4D" w:rsidRPr="000D1F4D" w:rsidRDefault="000D1F4D" w:rsidP="000D1F4D">
            <w:pPr>
              <w:ind w:right="-957"/>
              <w:rPr>
                <w:rFonts w:ascii="Times New Roman" w:eastAsiaTheme="minorHAnsi" w:hAnsi="Times New Roman" w:cs="Times New Roman"/>
                <w:b/>
                <w:color w:val="auto"/>
                <w:sz w:val="48"/>
                <w:szCs w:val="24"/>
                <w:lang w:eastAsia="en-US"/>
              </w:rPr>
            </w:pPr>
            <w:r w:rsidRPr="000D1F4D">
              <w:rPr>
                <w:rFonts w:ascii="Times New Roman" w:eastAsiaTheme="minorHAnsi" w:hAnsi="Times New Roman" w:cs="Times New Roman"/>
                <w:b/>
                <w:color w:val="auto"/>
                <w:sz w:val="48"/>
                <w:szCs w:val="24"/>
                <w:lang w:eastAsia="en-US"/>
              </w:rPr>
              <w:t>2421187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BBC4519"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115ED3">
        <w:rPr>
          <w:sz w:val="24"/>
          <w:szCs w:val="24"/>
        </w:rPr>
        <w:t>04.04.25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5B04714E" w14:textId="77777777" w:rsidR="000D1F4D" w:rsidRDefault="000D1F4D" w:rsidP="00D3203C">
            <w:pPr>
              <w:jc w:val="both"/>
              <w:rPr>
                <w:i/>
                <w:sz w:val="24"/>
                <w:szCs w:val="24"/>
              </w:rPr>
            </w:pPr>
          </w:p>
          <w:p w14:paraId="58260884" w14:textId="77777777" w:rsidR="000D1F4D" w:rsidRDefault="000D1F4D" w:rsidP="000D1F4D">
            <w:pPr>
              <w:spacing w:line="360" w:lineRule="auto"/>
              <w:jc w:val="both"/>
              <w:rPr>
                <w:iCs/>
                <w:sz w:val="24"/>
                <w:szCs w:val="24"/>
              </w:rPr>
            </w:pPr>
            <w:r>
              <w:rPr>
                <w:iCs/>
                <w:sz w:val="24"/>
                <w:szCs w:val="24"/>
              </w:rPr>
              <w:t>Following a hospital admission, Individual 1 was discharged to a care home near his home. Individual 1 agreed with the Occupational Therapists recommendation to a period of assessment and rehabilitation, with his outcome being to return home with a domiciliary package of care.</w:t>
            </w:r>
          </w:p>
          <w:p w14:paraId="46218812" w14:textId="77777777" w:rsidR="000D1F4D" w:rsidRDefault="000D1F4D" w:rsidP="000D1F4D">
            <w:pPr>
              <w:spacing w:line="360" w:lineRule="auto"/>
              <w:jc w:val="both"/>
              <w:rPr>
                <w:iCs/>
                <w:sz w:val="24"/>
                <w:szCs w:val="24"/>
              </w:rPr>
            </w:pPr>
            <w:r>
              <w:rPr>
                <w:iCs/>
                <w:sz w:val="24"/>
                <w:szCs w:val="24"/>
              </w:rPr>
              <w:t xml:space="preserve">Individual 1 usually has a notepad to record any pertinent information, and I ensure this is available prior to any conversations. Individual 1 wears hearing </w:t>
            </w:r>
            <w:proofErr w:type="gramStart"/>
            <w:r>
              <w:rPr>
                <w:iCs/>
                <w:sz w:val="24"/>
                <w:szCs w:val="24"/>
              </w:rPr>
              <w:t>aids</w:t>
            </w:r>
            <w:proofErr w:type="gramEnd"/>
            <w:r>
              <w:rPr>
                <w:iCs/>
                <w:sz w:val="24"/>
                <w:szCs w:val="24"/>
              </w:rPr>
              <w:t xml:space="preserve">, which he fits himself. </w:t>
            </w:r>
          </w:p>
          <w:p w14:paraId="0F6DE565" w14:textId="77777777" w:rsidR="000D1F4D" w:rsidRDefault="000D1F4D" w:rsidP="000D1F4D">
            <w:pPr>
              <w:spacing w:line="360" w:lineRule="auto"/>
              <w:jc w:val="both"/>
              <w:rPr>
                <w:iCs/>
                <w:sz w:val="24"/>
                <w:szCs w:val="24"/>
              </w:rPr>
            </w:pPr>
            <w:r>
              <w:rPr>
                <w:iCs/>
                <w:sz w:val="24"/>
                <w:szCs w:val="24"/>
              </w:rPr>
              <w:t xml:space="preserve">The guiding legislation for this piece of social work intervention is the Social Services and Wellbeing (Wales) Act (2014). Part 3 of the Act sets out the legislative context of assessing needs of citizens and their </w:t>
            </w:r>
            <w:proofErr w:type="spellStart"/>
            <w:r>
              <w:rPr>
                <w:iCs/>
                <w:sz w:val="24"/>
                <w:szCs w:val="24"/>
              </w:rPr>
              <w:t>carers</w:t>
            </w:r>
            <w:proofErr w:type="spellEnd"/>
            <w:r>
              <w:rPr>
                <w:iCs/>
                <w:sz w:val="24"/>
                <w:szCs w:val="24"/>
              </w:rPr>
              <w:t xml:space="preserve"> and Part 4 guides practitioners on meetings needs of those people who have eligible care and support needs. </w:t>
            </w:r>
          </w:p>
          <w:p w14:paraId="060618C7" w14:textId="77777777" w:rsidR="000D1F4D" w:rsidRPr="00DA3BD2" w:rsidRDefault="000D1F4D" w:rsidP="000D1F4D">
            <w:pPr>
              <w:spacing w:line="360" w:lineRule="auto"/>
              <w:jc w:val="both"/>
              <w:rPr>
                <w:iCs/>
                <w:sz w:val="24"/>
                <w:szCs w:val="24"/>
              </w:rPr>
            </w:pPr>
            <w:r>
              <w:rPr>
                <w:iCs/>
                <w:sz w:val="24"/>
                <w:szCs w:val="24"/>
              </w:rPr>
              <w:t xml:space="preserve">The geographical area in which Individual 1 resides is urban. The </w:t>
            </w:r>
            <w:r w:rsidRPr="00C7759B">
              <w:rPr>
                <w:iCs/>
                <w:sz w:val="24"/>
                <w:szCs w:val="24"/>
              </w:rPr>
              <w:t xml:space="preserve">Welsh Index of Multiple Deprivation (WIMD) 2019 </w:t>
            </w:r>
            <w:r>
              <w:rPr>
                <w:iCs/>
                <w:sz w:val="24"/>
                <w:szCs w:val="24"/>
              </w:rPr>
              <w:t>r</w:t>
            </w:r>
            <w:r w:rsidRPr="00C7759B">
              <w:rPr>
                <w:iCs/>
                <w:sz w:val="24"/>
                <w:szCs w:val="24"/>
              </w:rPr>
              <w:t>esults report</w:t>
            </w:r>
            <w:r>
              <w:rPr>
                <w:iCs/>
                <w:sz w:val="24"/>
                <w:szCs w:val="24"/>
              </w:rPr>
              <w:t xml:space="preserve"> lists the area in the top 5 of areas of deprivation. In the month Individual 1 was discharged the wait time for an initial physiotherapy appointment was between 8-14 weeks (Welsh Government, 2025). </w:t>
            </w:r>
          </w:p>
          <w:p w14:paraId="32F14FE7" w14:textId="77777777" w:rsidR="000D1F4D" w:rsidRDefault="000D1F4D" w:rsidP="000D1F4D">
            <w:pPr>
              <w:spacing w:line="360" w:lineRule="auto"/>
              <w:jc w:val="both"/>
              <w:rPr>
                <w:b/>
                <w:bCs/>
                <w:iCs/>
                <w:sz w:val="24"/>
                <w:szCs w:val="24"/>
                <w:u w:val="single"/>
              </w:rPr>
            </w:pPr>
            <w:r>
              <w:rPr>
                <w:iCs/>
                <w:sz w:val="24"/>
                <w:szCs w:val="24"/>
              </w:rPr>
              <w:t>I gained consent by asking Individual 1 on a prior visit if he consented to myself and my colleague attending at the next visit, with the purpose of my colleague observing my practice. The day of the observation, I sought consent again, Individual 1 informed me that his daughter would be present, I gained consent from the daughter. Both parties’ capacity to consent was not in question. I considered the impact of the observation on both Individual 1 and 2 from an emotional and practical point of view; the purpose of the visit was to discuss Individual 1 returning home and he may feel he had to explain the ‘back story’ to the observer. I was also conscious that his room was small, it was a hot day, and the room may feel crowded.</w:t>
            </w:r>
            <w:r w:rsidRPr="00661A9F">
              <w:rPr>
                <w:b/>
                <w:bCs/>
                <w:iCs/>
                <w:sz w:val="24"/>
                <w:szCs w:val="24"/>
                <w:u w:val="single"/>
              </w:rPr>
              <w:t xml:space="preserve"> </w:t>
            </w:r>
          </w:p>
          <w:p w14:paraId="2388F4DA" w14:textId="77777777" w:rsidR="000D1F4D" w:rsidRDefault="000D1F4D" w:rsidP="00D3203C">
            <w:pPr>
              <w:jc w:val="both"/>
              <w:rPr>
                <w:i/>
                <w:sz w:val="24"/>
                <w:szCs w:val="24"/>
              </w:rPr>
            </w:pPr>
          </w:p>
          <w:p w14:paraId="6E25DE74" w14:textId="37FC386A" w:rsidR="00D3203C" w:rsidRPr="009F4289" w:rsidRDefault="000D1F4D" w:rsidP="00D3203C">
            <w:pPr>
              <w:jc w:val="both"/>
              <w:rPr>
                <w:b/>
                <w:bCs/>
                <w:iCs/>
                <w:sz w:val="24"/>
                <w:szCs w:val="24"/>
                <w:u w:val="single"/>
              </w:rPr>
            </w:pPr>
            <w:r w:rsidRPr="000D1F4D">
              <w:rPr>
                <w:b/>
                <w:bCs/>
                <w:iCs/>
                <w:sz w:val="24"/>
                <w:szCs w:val="24"/>
                <w:u w:val="single"/>
              </w:rPr>
              <w:t>Word Count 315</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1073777" w14:textId="77777777" w:rsidR="00DD1D37" w:rsidRDefault="00DD1D37" w:rsidP="00243DB0">
            <w:pPr>
              <w:jc w:val="both"/>
              <w:rPr>
                <w:i/>
                <w:sz w:val="24"/>
                <w:szCs w:val="24"/>
              </w:rPr>
            </w:pPr>
          </w:p>
          <w:p w14:paraId="58E438A9" w14:textId="3541D242" w:rsidR="00DD1D37" w:rsidRDefault="00DD1D37" w:rsidP="00DD1D37">
            <w:pPr>
              <w:spacing w:line="360" w:lineRule="auto"/>
              <w:jc w:val="both"/>
              <w:rPr>
                <w:iCs/>
                <w:sz w:val="24"/>
                <w:szCs w:val="24"/>
              </w:rPr>
            </w:pPr>
            <w:r>
              <w:rPr>
                <w:iCs/>
                <w:sz w:val="24"/>
                <w:szCs w:val="24"/>
              </w:rPr>
              <w:t>I have previously made the ‘active offer’ to Individual 1. His language preference has been recorded on the local authority’s database. The more than just words framework sets out guidance on delivering the active offer in health and social care, the underpinning message is that practitioners take the onus away from the citizen having to ask for a service in Welsh and passes the responsibility of making the offer to the practitioner(</w:t>
            </w:r>
            <w:proofErr w:type="spellStart"/>
            <w:r w:rsidRPr="00CE21C4">
              <w:rPr>
                <w:iCs/>
                <w:sz w:val="24"/>
                <w:szCs w:val="24"/>
              </w:rPr>
              <w:t>careinspectorate.wales</w:t>
            </w:r>
            <w:proofErr w:type="spellEnd"/>
            <w:r w:rsidRPr="00CE21C4">
              <w:rPr>
                <w:iCs/>
                <w:sz w:val="24"/>
                <w:szCs w:val="24"/>
              </w:rPr>
              <w:t>/more-just-words</w:t>
            </w:r>
            <w:r>
              <w:rPr>
                <w:iCs/>
                <w:sz w:val="24"/>
                <w:szCs w:val="24"/>
              </w:rPr>
              <w:t xml:space="preserve">). I had not met Individual 2 in person before but had conversations on the telephone in which the active offer was made which established language preference. </w:t>
            </w:r>
          </w:p>
          <w:p w14:paraId="465E9D6F" w14:textId="77777777" w:rsidR="00DD1D37" w:rsidRDefault="00DD1D37" w:rsidP="00DD1D37">
            <w:pPr>
              <w:spacing w:line="360" w:lineRule="auto"/>
              <w:jc w:val="both"/>
              <w:rPr>
                <w:iCs/>
                <w:sz w:val="24"/>
                <w:szCs w:val="24"/>
              </w:rPr>
            </w:pPr>
            <w:r>
              <w:rPr>
                <w:iCs/>
                <w:sz w:val="24"/>
                <w:szCs w:val="24"/>
              </w:rPr>
              <w:t xml:space="preserve">It was agreed prior to arriving that I would see Individual 1 and Individual 2 would arrive a little later. I introduced myself and the observer and our roles. Koprowska (2014) suggests introductions are vital to setting a professional tone and provides an opportunity for phatic exchanges. Individual 1 is usually happy and indeed initiates pleasantries and conversation, however when I asked, ‘How are you today’ he stated, ‘Fed up I want to get home’. It appeared that Individual 1 wished to address matters immediately. I was conscious of the room space, the temperate and that Individual 2 would also need a place to sit. I asked if he would like to move to a larger meeting room, he said ‘no just sit on the bed’. I asked if he would like the window open as it was very warm, he replied ‘no it’s fine isn’t it’. I noticed that on his table was a water jug and a juice. A recent report conducted highlights the barriers faced when conducting assessments in extreme temperatures, observing that social care practitioners’ interventions are negatively impacted (UK Government, 2024). As Individual 1 was keen to continue, I stated that if he wanted a drink or me to open the window at any time to let me know. </w:t>
            </w:r>
          </w:p>
          <w:p w14:paraId="36CA96B3" w14:textId="77777777" w:rsidR="00DD1D37" w:rsidRDefault="00DD1D37" w:rsidP="00DD1D37">
            <w:pPr>
              <w:spacing w:line="360" w:lineRule="auto"/>
              <w:jc w:val="both"/>
              <w:rPr>
                <w:iCs/>
                <w:sz w:val="24"/>
                <w:szCs w:val="24"/>
              </w:rPr>
            </w:pPr>
          </w:p>
          <w:p w14:paraId="15040FAC" w14:textId="77777777" w:rsidR="00DD1D37" w:rsidRDefault="00DD1D37" w:rsidP="00DD1D37">
            <w:pPr>
              <w:spacing w:line="360" w:lineRule="auto"/>
              <w:jc w:val="both"/>
              <w:rPr>
                <w:iCs/>
                <w:sz w:val="24"/>
                <w:szCs w:val="24"/>
              </w:rPr>
            </w:pPr>
            <w:r>
              <w:rPr>
                <w:iCs/>
                <w:sz w:val="24"/>
                <w:szCs w:val="24"/>
              </w:rPr>
              <w:t>Robinson et al (2003) research project concluded that person centred practice starts with a focus on citizens issues and their priorities, any other method of assessment is viewed by citizens as ‘tokenistic’.</w:t>
            </w:r>
            <w:r w:rsidRPr="00E12616">
              <w:rPr>
                <w:iCs/>
                <w:sz w:val="24"/>
                <w:szCs w:val="24"/>
              </w:rPr>
              <w:t xml:space="preserve"> </w:t>
            </w:r>
            <w:r>
              <w:rPr>
                <w:iCs/>
                <w:sz w:val="24"/>
                <w:szCs w:val="24"/>
              </w:rPr>
              <w:t>The Code of Professional Practice states social care workers must promote the wellbeing voice and control of individuals (Social Care Wales, 2017). As Individual 1 had immediately said he was fed up and wanted to go home, I started the conversation referring to this. Maclean (2020) suggests person centred approaches links in with an outcome focused approach. By beginning on this subject, I felt I was placing the Individual 1 at the centre of the assessment (Maclean, 2020) and focusing on their outcome which was to go home</w:t>
            </w:r>
            <w:r w:rsidRPr="004477F2">
              <w:rPr>
                <w:iCs/>
                <w:sz w:val="24"/>
                <w:szCs w:val="24"/>
              </w:rPr>
              <w:t>. A what matters conversation is a skilled approach of understanding a person’s situation and from this coproducing a plan which equally shares power and responsibility (Social care Wales, 2025).</w:t>
            </w:r>
            <w:r>
              <w:rPr>
                <w:iCs/>
                <w:sz w:val="24"/>
                <w:szCs w:val="24"/>
              </w:rPr>
              <w:t xml:space="preserve"> Individual 1 felt that he had been discharged to the care home on false pretences and that he was yet to have any physiotherapy input. I apologised for this and stated I work in the same office as the physiotherapists and would pursue this I also gave information on current waiting times; I advised a social care OT had been allocated to support with his outcome of going home. The BASW code of ethics (2021) states social workers have a responsibility to be transparent and trustworthy.</w:t>
            </w:r>
            <w:r w:rsidRPr="006B2A10">
              <w:rPr>
                <w:b/>
                <w:bCs/>
                <w:iCs/>
                <w:sz w:val="24"/>
                <w:szCs w:val="24"/>
              </w:rPr>
              <w:t xml:space="preserve"> </w:t>
            </w:r>
            <w:r>
              <w:rPr>
                <w:iCs/>
                <w:sz w:val="24"/>
                <w:szCs w:val="24"/>
              </w:rPr>
              <w:t xml:space="preserve"> I acknowledged Individual 1 frustrations and reassured I am working towards his identified outcomes.</w:t>
            </w:r>
            <w:r w:rsidRPr="001C12D2">
              <w:rPr>
                <w:iCs/>
                <w:sz w:val="24"/>
                <w:szCs w:val="24"/>
              </w:rPr>
              <w:t xml:space="preserve"> </w:t>
            </w:r>
            <w:r>
              <w:rPr>
                <w:iCs/>
                <w:sz w:val="24"/>
                <w:szCs w:val="24"/>
              </w:rPr>
              <w:t>Listening during social work interventions according to Koprowska (2014) requires a more intent competence to understand the persons point of view and to considers one’s own responses. Thompson (2021) expands by explaining active listening involves becoming engaged with the message, paraphrasing and responding to ensure the person feels understood and validated. At this point Individual 2 arrived and introductions made. Individual 1 was again eager to continue plans to go home. I discussed that after reviewing all the care records the recommendation would initially to return home for four care calls per day and as discussed previously, I had made a request to care brokers for this support I said the good news is that a domiciliary care package has come forward that can offer this support next week. The reactions of both individuals were very different, but from previous conversations expected, in previous conversations I have felt that both individuals have felt Individual 1s age is a barrier to returning home. According to Hardy (2018</w:t>
            </w:r>
            <w:r w:rsidRPr="00901543">
              <w:rPr>
                <w:iCs/>
                <w:sz w:val="24"/>
                <w:szCs w:val="24"/>
              </w:rPr>
              <w:t>) cultural competence views the person as the expert and adopts anti-discriminatory practice</w:t>
            </w:r>
            <w:r>
              <w:rPr>
                <w:b/>
                <w:bCs/>
                <w:iCs/>
                <w:sz w:val="24"/>
                <w:szCs w:val="24"/>
              </w:rPr>
              <w:t>.</w:t>
            </w:r>
            <w:r>
              <w:rPr>
                <w:iCs/>
                <w:sz w:val="24"/>
                <w:szCs w:val="24"/>
              </w:rPr>
              <w:t xml:space="preserve">  Individual 1 instantly went into planning his return home, </w:t>
            </w:r>
            <w:r>
              <w:rPr>
                <w:iCs/>
                <w:sz w:val="24"/>
                <w:szCs w:val="24"/>
              </w:rPr>
              <w:lastRenderedPageBreak/>
              <w:t xml:space="preserve">Individual 2 wished to express her concerns. Dalrymple and Boylan (2014) state chronological aging has an impact on what is expected by others including family and social workers must actively empower and advocate for older people in their care planning and outcomes. I focused on using a narrative and a positive risk-taking approach to direct the conversation forward (Maclean 2020). Individual 2 had raised  concerns which she felt were barriers to her father going home. Individual 2 identified risks in relation to falls, a possible decline in memory and alcohol use. I attempted to address this using a problem-solving approach, focusing on strengths and a benefit of a return home and how risks can be reduced. The code of professional practice instructs social care professionals to promote the voice of citizens whilst supporting safety (Social Care Wales, 2017) in conjunction with this the Social Services and Wellbeing Act (Wales) 2014 promotes recognising people’s strengths and co-producing care and planning enhancing a person’s autonomy and human rights. I attempted to engage Individual 1 in the conversation to address Individual 2 concerns rather than myself solely address this on individuals A behalf, I used guided conversation to facilitate this ‘Individual 2 feels that when you go home you may fall again and end up in hospital’. This led to a conversation regarding how the package of care will support, how the Occupational therapist and physiotherapist can complete assessments and visit the home prior to returning. I felt I was advocating for Individual 1’s return home which was upholding his rights and his choices. The International Federation of social workers global definition of social work (IFSW, 2025), the Code of professional practice (Social Care Wales, 2027) and the social services and wellbeing (Wales) act (2014) all refer to advocacy and social justice as an underpinning value and role of a social worker. </w:t>
            </w:r>
          </w:p>
          <w:p w14:paraId="57D9E744" w14:textId="77777777" w:rsidR="00DD1D37" w:rsidRDefault="00DD1D37" w:rsidP="00DD1D37">
            <w:pPr>
              <w:spacing w:line="360" w:lineRule="auto"/>
              <w:jc w:val="both"/>
              <w:rPr>
                <w:iCs/>
                <w:sz w:val="24"/>
                <w:szCs w:val="24"/>
              </w:rPr>
            </w:pPr>
            <w:r>
              <w:rPr>
                <w:iCs/>
                <w:sz w:val="24"/>
                <w:szCs w:val="24"/>
              </w:rPr>
              <w:t xml:space="preserve">Individual 2 voiced that she has concerns about her own wellbeing and detailed the impact of caring responsibilities. It is estimated that around 12 percent of the population in Wales are unpaid carer’s (Welsh Government, 2021). I offered Individual 1 B a carer’s assessment which is a duty placed on the local authority under the social services and wellbeing act (Wales) 2014. Individual 2 declined this saying she had contact from the service before and did not find it of any benefit. Conflict began to build between the two individuals due to differing feelings which I felt both revolved around guilt, guilt from Individual 1 around his daughter providing support which was having a negative impact on her wellbeing and guilt from Individual 2 around feeling it was her responsibility to provide this support and guilt for voicing </w:t>
            </w:r>
            <w:r>
              <w:rPr>
                <w:iCs/>
                <w:sz w:val="24"/>
                <w:szCs w:val="24"/>
              </w:rPr>
              <w:lastRenderedPageBreak/>
              <w:t>her worries for a return home which she knows is what her Dad wants but will impact her. I adopted an emphatic and conflict resolution approach, detailing my understanding for both views from my knowledge around guilt of carers and cared for. Crossroads (2023) states both parties may experience feelings of guilt due to their own frustrations, tiredness and expectations that they have placed on themselves. Individual 2 said she was unsure what she will do about completing grocery shopping and what she would do if she went on holiday. I discussed support options both from 3</w:t>
            </w:r>
            <w:r w:rsidRPr="00503089">
              <w:rPr>
                <w:iCs/>
                <w:sz w:val="24"/>
                <w:szCs w:val="24"/>
                <w:vertAlign w:val="superscript"/>
              </w:rPr>
              <w:t>rd</w:t>
            </w:r>
            <w:r>
              <w:rPr>
                <w:iCs/>
                <w:sz w:val="24"/>
                <w:szCs w:val="24"/>
              </w:rPr>
              <w:t xml:space="preserve"> section and statutory organisations that could support regularly or as a one off. Both agreed to explore this with me further. As we had arrived at a point where both understood the plan was to return home and options to support this, I felt this was a good time to draw the visit to a close. According to Maclean (2020) outcome focussed interventions should conclude with a recap of actions for involved and timescales. I provided these to both citizens and offered my contact details if they wish to discuss further prior to my next visit. The observer and I both thanked individuals 1 and 2 for their time and wished them a nice day. </w:t>
            </w:r>
          </w:p>
          <w:p w14:paraId="5D89F4DE" w14:textId="77777777" w:rsidR="00DD1D37" w:rsidRDefault="00DD1D37" w:rsidP="00DD1D37">
            <w:pPr>
              <w:jc w:val="both"/>
              <w:rPr>
                <w:i/>
                <w:sz w:val="24"/>
                <w:szCs w:val="24"/>
              </w:rPr>
            </w:pPr>
          </w:p>
          <w:p w14:paraId="1083C856" w14:textId="77777777" w:rsidR="00DD1D37" w:rsidRPr="000D1F4D" w:rsidRDefault="00DD1D37" w:rsidP="00DD1D37">
            <w:pPr>
              <w:jc w:val="both"/>
              <w:rPr>
                <w:b/>
                <w:bCs/>
                <w:iCs/>
                <w:sz w:val="24"/>
                <w:szCs w:val="24"/>
                <w:u w:val="single"/>
              </w:rPr>
            </w:pPr>
            <w:r w:rsidRPr="000D1F4D">
              <w:rPr>
                <w:b/>
                <w:bCs/>
                <w:iCs/>
                <w:sz w:val="24"/>
                <w:szCs w:val="24"/>
                <w:u w:val="single"/>
              </w:rPr>
              <w:t>Word Count 1407</w:t>
            </w:r>
          </w:p>
          <w:p w14:paraId="5F519C40" w14:textId="77777777" w:rsidR="00DD1D37" w:rsidRDefault="00DD1D37"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2928FF25" w14:textId="77777777" w:rsidR="009F4289" w:rsidRDefault="009F4289" w:rsidP="00BC4ED3">
      <w:pPr>
        <w:jc w:val="center"/>
        <w:rPr>
          <w:b/>
          <w:sz w:val="28"/>
          <w:szCs w:val="28"/>
        </w:rPr>
      </w:pPr>
    </w:p>
    <w:p w14:paraId="0190CB55" w14:textId="77777777" w:rsidR="009F4289" w:rsidRDefault="009F4289" w:rsidP="00BC4ED3">
      <w:pPr>
        <w:jc w:val="center"/>
        <w:rPr>
          <w:b/>
          <w:sz w:val="28"/>
          <w:szCs w:val="28"/>
        </w:rPr>
      </w:pPr>
    </w:p>
    <w:p w14:paraId="50C8793F" w14:textId="77777777" w:rsidR="009F4289" w:rsidRDefault="009F4289" w:rsidP="00BC4ED3">
      <w:pPr>
        <w:jc w:val="center"/>
        <w:rPr>
          <w:b/>
          <w:sz w:val="28"/>
          <w:szCs w:val="28"/>
        </w:rPr>
      </w:pPr>
    </w:p>
    <w:p w14:paraId="78739345" w14:textId="77777777" w:rsidR="009F4289" w:rsidRDefault="009F4289" w:rsidP="00BC4ED3">
      <w:pPr>
        <w:jc w:val="center"/>
        <w:rPr>
          <w:b/>
          <w:sz w:val="28"/>
          <w:szCs w:val="28"/>
        </w:rPr>
      </w:pPr>
    </w:p>
    <w:p w14:paraId="7C7C31EA" w14:textId="77777777" w:rsidR="009F4289" w:rsidRDefault="009F4289" w:rsidP="00BC4ED3">
      <w:pPr>
        <w:jc w:val="center"/>
        <w:rPr>
          <w:b/>
          <w:sz w:val="28"/>
          <w:szCs w:val="28"/>
        </w:rPr>
      </w:pPr>
    </w:p>
    <w:p w14:paraId="194DC020" w14:textId="77777777" w:rsidR="009F4289" w:rsidRDefault="009F4289" w:rsidP="00BC4ED3">
      <w:pPr>
        <w:jc w:val="center"/>
        <w:rPr>
          <w:b/>
          <w:sz w:val="28"/>
          <w:szCs w:val="28"/>
        </w:rPr>
      </w:pPr>
    </w:p>
    <w:p w14:paraId="0F452C48" w14:textId="77777777" w:rsidR="009F4289" w:rsidRDefault="009F4289" w:rsidP="00BC4ED3">
      <w:pPr>
        <w:jc w:val="center"/>
        <w:rPr>
          <w:b/>
          <w:sz w:val="28"/>
          <w:szCs w:val="28"/>
        </w:rPr>
      </w:pPr>
    </w:p>
    <w:p w14:paraId="54DE4CCE" w14:textId="77777777" w:rsidR="009F4289" w:rsidRDefault="009F4289" w:rsidP="00BC4ED3">
      <w:pPr>
        <w:jc w:val="center"/>
        <w:rPr>
          <w:b/>
          <w:sz w:val="28"/>
          <w:szCs w:val="28"/>
        </w:rPr>
      </w:pPr>
    </w:p>
    <w:p w14:paraId="6AEA4EEF" w14:textId="77777777" w:rsidR="009F4289" w:rsidRDefault="009F4289" w:rsidP="00BC4ED3">
      <w:pPr>
        <w:jc w:val="center"/>
        <w:rPr>
          <w:b/>
          <w:sz w:val="28"/>
          <w:szCs w:val="28"/>
        </w:rPr>
      </w:pPr>
    </w:p>
    <w:p w14:paraId="565DB754" w14:textId="77777777" w:rsidR="009F4289" w:rsidRDefault="009F4289" w:rsidP="00BC4ED3">
      <w:pPr>
        <w:jc w:val="center"/>
        <w:rPr>
          <w:b/>
          <w:sz w:val="28"/>
          <w:szCs w:val="28"/>
        </w:rPr>
      </w:pPr>
    </w:p>
    <w:p w14:paraId="45065871" w14:textId="77777777" w:rsidR="009F4289" w:rsidRDefault="009F4289" w:rsidP="00BC4ED3">
      <w:pPr>
        <w:jc w:val="center"/>
        <w:rPr>
          <w:b/>
          <w:sz w:val="28"/>
          <w:szCs w:val="28"/>
        </w:rPr>
      </w:pPr>
    </w:p>
    <w:p w14:paraId="6B7E0729" w14:textId="77777777" w:rsidR="009F4289" w:rsidRDefault="009F4289" w:rsidP="00BC4ED3">
      <w:pPr>
        <w:jc w:val="center"/>
        <w:rPr>
          <w:b/>
          <w:sz w:val="28"/>
          <w:szCs w:val="28"/>
        </w:rPr>
      </w:pPr>
    </w:p>
    <w:p w14:paraId="3010E67A" w14:textId="1F7BCD41"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61BD00D7" w:rsidR="00CA3593" w:rsidRPr="008B28E7" w:rsidRDefault="002E6206" w:rsidP="00FF7EBB">
            <w:pPr>
              <w:jc w:val="both"/>
              <w:rPr>
                <w:sz w:val="24"/>
                <w:szCs w:val="24"/>
              </w:rPr>
            </w:pPr>
            <w:r>
              <w:rPr>
                <w:sz w:val="24"/>
                <w:szCs w:val="24"/>
              </w:rPr>
              <w:t>Yes, on time.</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7285DF75" w:rsidR="002E6206" w:rsidRPr="008B28E7" w:rsidRDefault="002E6206" w:rsidP="00FF7EBB">
            <w:pPr>
              <w:jc w:val="both"/>
              <w:rPr>
                <w:sz w:val="24"/>
                <w:szCs w:val="24"/>
              </w:rPr>
            </w:pPr>
            <w:r>
              <w:rPr>
                <w:sz w:val="24"/>
                <w:szCs w:val="24"/>
              </w:rPr>
              <w:t>Yes -  my daughter has come for the meeting.  I understand.</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3CB3364D" w:rsidR="00CA3593" w:rsidRPr="008B28E7" w:rsidRDefault="002E6206" w:rsidP="00FF7EBB">
            <w:pPr>
              <w:jc w:val="both"/>
              <w:rPr>
                <w:sz w:val="24"/>
                <w:szCs w:val="24"/>
              </w:rPr>
            </w:pPr>
            <w:r>
              <w:rPr>
                <w:sz w:val="24"/>
                <w:szCs w:val="24"/>
              </w:rPr>
              <w:t>Yes- I want to go home!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BC8D200" w:rsidR="00CA3593" w:rsidRPr="008B28E7" w:rsidRDefault="002E6206" w:rsidP="00FF7EBB">
            <w:pPr>
              <w:jc w:val="both"/>
              <w:rPr>
                <w:sz w:val="24"/>
                <w:szCs w:val="24"/>
              </w:rPr>
            </w:pPr>
            <w:r>
              <w:rPr>
                <w:sz w:val="24"/>
                <w:szCs w:val="24"/>
              </w:rPr>
              <w:t>Very good, she knew what I wanted.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18901AEF" w:rsidR="00CA3593" w:rsidRPr="008B28E7" w:rsidRDefault="002E6206" w:rsidP="00FF7EBB">
            <w:pPr>
              <w:jc w:val="both"/>
              <w:rPr>
                <w:sz w:val="24"/>
                <w:szCs w:val="24"/>
              </w:rPr>
            </w:pPr>
            <w:r>
              <w:rPr>
                <w:sz w:val="24"/>
                <w:szCs w:val="24"/>
              </w:rPr>
              <w:t xml:space="preserve">Yes, I want to go </w:t>
            </w:r>
            <w:proofErr w:type="gramStart"/>
            <w:r>
              <w:rPr>
                <w:sz w:val="24"/>
                <w:szCs w:val="24"/>
              </w:rPr>
              <w:t>home</w:t>
            </w:r>
            <w:proofErr w:type="gramEnd"/>
            <w:r>
              <w:rPr>
                <w:sz w:val="24"/>
                <w:szCs w:val="24"/>
              </w:rPr>
              <w:t xml:space="preserve"> and she has supported me with this.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30D36EAD" w:rsidR="00A12F22" w:rsidRPr="008B28E7" w:rsidRDefault="002E6206" w:rsidP="00FF7EBB">
            <w:pPr>
              <w:jc w:val="both"/>
              <w:rPr>
                <w:sz w:val="24"/>
                <w:szCs w:val="24"/>
              </w:rPr>
            </w:pPr>
            <w:r>
              <w:rPr>
                <w:sz w:val="24"/>
                <w:szCs w:val="24"/>
              </w:rPr>
              <w:t xml:space="preserve">Yes, she reminded me of our last </w:t>
            </w:r>
            <w:proofErr w:type="gramStart"/>
            <w:r>
              <w:rPr>
                <w:sz w:val="24"/>
                <w:szCs w:val="24"/>
              </w:rPr>
              <w:t>meeting</w:t>
            </w:r>
            <w:proofErr w:type="gramEnd"/>
            <w:r>
              <w:rPr>
                <w:sz w:val="24"/>
                <w:szCs w:val="24"/>
              </w:rPr>
              <w:t xml:space="preserve"> and I understand everything.</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2EE4ACE1" w:rsidR="00D0503D" w:rsidRPr="008B28E7" w:rsidRDefault="002E6206" w:rsidP="00D0503D">
            <w:pPr>
              <w:jc w:val="both"/>
              <w:rPr>
                <w:sz w:val="24"/>
                <w:szCs w:val="24"/>
              </w:rPr>
            </w:pPr>
            <w:proofErr w:type="spellStart"/>
            <w:r>
              <w:rPr>
                <w:sz w:val="24"/>
                <w:szCs w:val="24"/>
              </w:rPr>
              <w:t>Im</w:t>
            </w:r>
            <w:proofErr w:type="spellEnd"/>
            <w:r>
              <w:rPr>
                <w:sz w:val="24"/>
                <w:szCs w:val="24"/>
              </w:rPr>
              <w:t xml:space="preserve"> </w:t>
            </w:r>
            <w:proofErr w:type="gramStart"/>
            <w:r>
              <w:rPr>
                <w:sz w:val="24"/>
                <w:szCs w:val="24"/>
              </w:rPr>
              <w:t>really happy</w:t>
            </w:r>
            <w:proofErr w:type="gramEnd"/>
            <w:r>
              <w:rPr>
                <w:sz w:val="24"/>
                <w:szCs w:val="24"/>
              </w:rPr>
              <w:t xml:space="preserve"> that </w:t>
            </w:r>
            <w:proofErr w:type="spellStart"/>
            <w:r>
              <w:rPr>
                <w:sz w:val="24"/>
                <w:szCs w:val="24"/>
              </w:rPr>
              <w:t>im</w:t>
            </w:r>
            <w:proofErr w:type="spellEnd"/>
            <w:r>
              <w:rPr>
                <w:sz w:val="24"/>
                <w:szCs w:val="24"/>
              </w:rPr>
              <w:t xml:space="preserve"> going home.  I do not want to stay here long term.</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0FECD7A6" w:rsidR="00D0503D" w:rsidRPr="008B28E7" w:rsidRDefault="002E6206" w:rsidP="00D0503D">
            <w:pPr>
              <w:jc w:val="both"/>
              <w:rPr>
                <w:sz w:val="24"/>
                <w:szCs w:val="24"/>
              </w:rPr>
            </w:pPr>
            <w:r>
              <w:rPr>
                <w:sz w:val="24"/>
                <w:szCs w:val="24"/>
              </w:rPr>
              <w:t>We will manage.  I will go in another room or to my bedroom if I am annoyed.</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8238D" w14:textId="77777777" w:rsidR="005A2FC1" w:rsidRDefault="005A2FC1">
      <w:r>
        <w:separator/>
      </w:r>
    </w:p>
  </w:endnote>
  <w:endnote w:type="continuationSeparator" w:id="0">
    <w:p w14:paraId="2A583058" w14:textId="77777777" w:rsidR="005A2FC1" w:rsidRDefault="005A2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41D65" w14:textId="77777777" w:rsidR="005A2FC1" w:rsidRDefault="005A2FC1">
      <w:r>
        <w:separator/>
      </w:r>
    </w:p>
  </w:footnote>
  <w:footnote w:type="continuationSeparator" w:id="0">
    <w:p w14:paraId="6B60E688" w14:textId="77777777" w:rsidR="005A2FC1" w:rsidRDefault="005A2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D43"/>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F4D"/>
    <w:rsid w:val="000D2ED2"/>
    <w:rsid w:val="000D6653"/>
    <w:rsid w:val="000E0D51"/>
    <w:rsid w:val="000E26B0"/>
    <w:rsid w:val="000E302D"/>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5ED3"/>
    <w:rsid w:val="00130119"/>
    <w:rsid w:val="00132812"/>
    <w:rsid w:val="001347F8"/>
    <w:rsid w:val="001359EE"/>
    <w:rsid w:val="00137BB5"/>
    <w:rsid w:val="00137E05"/>
    <w:rsid w:val="00142271"/>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461"/>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206"/>
    <w:rsid w:val="002E6D17"/>
    <w:rsid w:val="002E7017"/>
    <w:rsid w:val="002E7F2C"/>
    <w:rsid w:val="002F1FC7"/>
    <w:rsid w:val="002F2185"/>
    <w:rsid w:val="002F4F6E"/>
    <w:rsid w:val="002F5D9A"/>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94E"/>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2FC1"/>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3EAB"/>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E18"/>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289"/>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052D"/>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1D37"/>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140"/>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Berry (2421187)</cp:lastModifiedBy>
  <cp:revision>4</cp:revision>
  <cp:lastPrinted>2020-02-11T19:20:00Z</cp:lastPrinted>
  <dcterms:created xsi:type="dcterms:W3CDTF">2025-09-29T13:21:00Z</dcterms:created>
  <dcterms:modified xsi:type="dcterms:W3CDTF">2025-10-01T14:59:00Z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