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D7E0A" w:rsidRPr="00074402" w:rsidRDefault="00074402" w:rsidP="00074402">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074402">
      <w:pPr>
        <w:spacing w:line="360" w:lineRule="auto"/>
        <w:rPr>
          <w:rFonts w:ascii="Arial" w:hAnsi="Arial" w:cs="Arial"/>
          <w:szCs w:val="24"/>
        </w:rPr>
      </w:pPr>
    </w:p>
    <w:p w14:paraId="4E267F2C" w14:textId="35E99859" w:rsidR="00074402" w:rsidRPr="00074402" w:rsidRDefault="00074402" w:rsidP="00074402">
      <w:pPr>
        <w:spacing w:line="360" w:lineRule="auto"/>
        <w:rPr>
          <w:rFonts w:ascii="Arial" w:hAnsi="Arial" w:cs="Arial"/>
          <w:szCs w:val="24"/>
        </w:rPr>
      </w:pPr>
    </w:p>
    <w:p w14:paraId="5D864E3F" w14:textId="24C9E314" w:rsidR="00074402" w:rsidRDefault="00074402" w:rsidP="00074402">
      <w:pPr>
        <w:spacing w:line="360" w:lineRule="auto"/>
        <w:rPr>
          <w:rFonts w:ascii="Arial" w:hAnsi="Arial" w:cs="Arial"/>
          <w:szCs w:val="24"/>
        </w:rPr>
      </w:pPr>
    </w:p>
    <w:p w14:paraId="7019459D" w14:textId="14907F97" w:rsidR="00964AB3" w:rsidRDefault="00964AB3" w:rsidP="00074402">
      <w:pPr>
        <w:spacing w:line="360" w:lineRule="auto"/>
        <w:rPr>
          <w:rFonts w:ascii="Arial" w:hAnsi="Arial" w:cs="Arial"/>
          <w:szCs w:val="24"/>
        </w:rPr>
      </w:pPr>
    </w:p>
    <w:p w14:paraId="067B7889" w14:textId="77777777" w:rsidR="00964AB3" w:rsidRPr="00074402" w:rsidRDefault="00964AB3" w:rsidP="00074402">
      <w:pPr>
        <w:spacing w:line="360" w:lineRule="auto"/>
        <w:rPr>
          <w:rFonts w:ascii="Arial" w:hAnsi="Arial" w:cs="Arial"/>
          <w:szCs w:val="24"/>
        </w:rPr>
      </w:pPr>
    </w:p>
    <w:p w14:paraId="3F2DE234" w14:textId="77777777" w:rsidR="00964AB3" w:rsidRDefault="00964AB3" w:rsidP="00964AB3">
      <w:pPr>
        <w:spacing w:after="0" w:line="240" w:lineRule="auto"/>
        <w:jc w:val="center"/>
        <w:rPr>
          <w:rFonts w:ascii="Arial" w:hAnsi="Arial" w:cs="Arial"/>
          <w:b/>
          <w:bCs/>
          <w:sz w:val="28"/>
          <w:szCs w:val="28"/>
          <w:u w:val="single"/>
        </w:rPr>
      </w:pPr>
      <w:r>
        <w:rPr>
          <w:rFonts w:ascii="Arial" w:hAnsi="Arial" w:cs="Arial"/>
          <w:b/>
          <w:bCs/>
          <w:sz w:val="28"/>
          <w:szCs w:val="28"/>
          <w:u w:val="single"/>
        </w:rPr>
        <w:t xml:space="preserve">Assessment Component 2 </w:t>
      </w:r>
    </w:p>
    <w:p w14:paraId="5E4BAF25" w14:textId="77777777" w:rsidR="00964AB3" w:rsidRDefault="00964AB3" w:rsidP="00964AB3">
      <w:pPr>
        <w:spacing w:after="0" w:line="240" w:lineRule="auto"/>
        <w:jc w:val="center"/>
        <w:rPr>
          <w:rFonts w:ascii="Arial" w:hAnsi="Arial" w:cs="Arial"/>
          <w:b/>
          <w:bCs/>
          <w:sz w:val="28"/>
          <w:szCs w:val="28"/>
          <w:u w:val="single"/>
        </w:rPr>
      </w:pPr>
    </w:p>
    <w:p w14:paraId="188AF882" w14:textId="77777777" w:rsidR="00964AB3" w:rsidRDefault="00964AB3" w:rsidP="00964AB3">
      <w:pPr>
        <w:spacing w:after="0" w:line="240" w:lineRule="auto"/>
        <w:jc w:val="center"/>
        <w:rPr>
          <w:rFonts w:ascii="Arial" w:hAnsi="Arial" w:cs="Arial"/>
          <w:b/>
          <w:bCs/>
          <w:sz w:val="28"/>
          <w:szCs w:val="28"/>
          <w:u w:val="single"/>
        </w:rPr>
      </w:pPr>
      <w:r>
        <w:rPr>
          <w:rFonts w:ascii="Arial" w:hAnsi="Arial" w:cs="Arial"/>
          <w:b/>
          <w:bCs/>
          <w:sz w:val="28"/>
          <w:szCs w:val="28"/>
          <w:u w:val="single"/>
        </w:rPr>
        <w:t>Written Essay</w:t>
      </w:r>
    </w:p>
    <w:p w14:paraId="266C5371" w14:textId="77777777" w:rsidR="00964AB3" w:rsidRDefault="00964AB3" w:rsidP="00964AB3">
      <w:pPr>
        <w:spacing w:after="0" w:line="240" w:lineRule="auto"/>
        <w:jc w:val="center"/>
        <w:rPr>
          <w:rFonts w:ascii="Arial" w:hAnsi="Arial" w:cs="Arial"/>
          <w:b/>
          <w:bCs/>
          <w:sz w:val="28"/>
          <w:szCs w:val="28"/>
        </w:rPr>
      </w:pPr>
    </w:p>
    <w:p w14:paraId="22F2817A" w14:textId="73FF0B94" w:rsidR="00074402" w:rsidRDefault="00074402" w:rsidP="00074402">
      <w:pPr>
        <w:tabs>
          <w:tab w:val="left" w:pos="6540"/>
        </w:tabs>
        <w:spacing w:line="360" w:lineRule="auto"/>
        <w:rPr>
          <w:rFonts w:ascii="Arial" w:hAnsi="Arial" w:cs="Arial"/>
          <w:sz w:val="28"/>
          <w:szCs w:val="28"/>
        </w:rPr>
      </w:pPr>
    </w:p>
    <w:p w14:paraId="1056820A" w14:textId="77777777" w:rsidR="009B28B0" w:rsidRDefault="009B28B0" w:rsidP="00074402">
      <w:pPr>
        <w:tabs>
          <w:tab w:val="left" w:pos="6540"/>
        </w:tabs>
        <w:spacing w:line="360" w:lineRule="auto"/>
        <w:rPr>
          <w:rFonts w:ascii="Arial" w:hAnsi="Arial" w:cs="Arial"/>
          <w:sz w:val="28"/>
          <w:szCs w:val="28"/>
        </w:rPr>
      </w:pPr>
    </w:p>
    <w:p w14:paraId="0A48766D" w14:textId="4419B876"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973C0C">
        <w:rPr>
          <w:rFonts w:ascii="Arial" w:hAnsi="Arial" w:cs="Arial"/>
          <w:sz w:val="28"/>
          <w:szCs w:val="28"/>
        </w:rPr>
        <w:t xml:space="preserve"> RUTH SENE </w:t>
      </w:r>
    </w:p>
    <w:p w14:paraId="39AA4413" w14:textId="516607B7"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973C0C">
        <w:rPr>
          <w:rFonts w:ascii="Arial" w:hAnsi="Arial" w:cs="Arial"/>
          <w:sz w:val="28"/>
          <w:szCs w:val="28"/>
        </w:rPr>
        <w:t>2029258</w:t>
      </w:r>
    </w:p>
    <w:p w14:paraId="5E81F6AD" w14:textId="77777777" w:rsidR="00074402" w:rsidRDefault="00074402" w:rsidP="00074402">
      <w:pPr>
        <w:tabs>
          <w:tab w:val="left" w:pos="6540"/>
        </w:tabs>
        <w:spacing w:line="360" w:lineRule="auto"/>
        <w:rPr>
          <w:rFonts w:ascii="Arial" w:hAnsi="Arial" w:cs="Arial"/>
          <w:sz w:val="28"/>
          <w:szCs w:val="28"/>
        </w:rPr>
      </w:pPr>
    </w:p>
    <w:p w14:paraId="4F8BE5D2" w14:textId="77777777" w:rsidR="009B28B0" w:rsidRPr="009B28B0" w:rsidRDefault="00074402" w:rsidP="009B28B0">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9B28B0" w:rsidRPr="009B28B0">
        <w:rPr>
          <w:rFonts w:ascii="Arial" w:hAnsi="Arial" w:cs="Arial"/>
          <w:sz w:val="28"/>
          <w:szCs w:val="28"/>
        </w:rPr>
        <w:t>Children, Young People and Families</w:t>
      </w:r>
    </w:p>
    <w:p w14:paraId="4E5B279A" w14:textId="135DFEA9"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9B28B0" w:rsidRPr="009B28B0">
        <w:t xml:space="preserve"> </w:t>
      </w:r>
      <w:r w:rsidR="009B28B0" w:rsidRPr="009B28B0">
        <w:rPr>
          <w:rFonts w:ascii="Arial" w:hAnsi="Arial" w:cs="Arial"/>
          <w:sz w:val="28"/>
          <w:szCs w:val="28"/>
        </w:rPr>
        <w:t>(BMHP5004_LON)</w:t>
      </w:r>
    </w:p>
    <w:p w14:paraId="1A0B2D2B" w14:textId="5650FFC4"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9B28B0">
        <w:rPr>
          <w:rFonts w:ascii="Arial" w:hAnsi="Arial" w:cs="Arial"/>
          <w:sz w:val="28"/>
          <w:szCs w:val="28"/>
        </w:rPr>
        <w:t xml:space="preserve"> </w:t>
      </w:r>
      <w:r w:rsidR="00973C0C">
        <w:rPr>
          <w:rFonts w:ascii="Arial" w:hAnsi="Arial" w:cs="Arial"/>
          <w:sz w:val="28"/>
          <w:szCs w:val="28"/>
        </w:rPr>
        <w:t xml:space="preserve">Laila </w:t>
      </w:r>
      <w:proofErr w:type="spellStart"/>
      <w:r w:rsidR="00973C0C">
        <w:rPr>
          <w:rFonts w:ascii="Arial" w:hAnsi="Arial" w:cs="Arial"/>
          <w:sz w:val="28"/>
          <w:szCs w:val="28"/>
        </w:rPr>
        <w:t>Surari</w:t>
      </w:r>
      <w:proofErr w:type="spellEnd"/>
    </w:p>
    <w:p w14:paraId="39D08584" w14:textId="02AA3E96" w:rsidR="00074402" w:rsidRDefault="00964AB3" w:rsidP="00074402">
      <w:pPr>
        <w:tabs>
          <w:tab w:val="left" w:pos="6540"/>
        </w:tabs>
        <w:spacing w:line="360" w:lineRule="auto"/>
        <w:rPr>
          <w:rFonts w:ascii="Arial" w:hAnsi="Arial" w:cs="Arial"/>
          <w:b/>
          <w:bCs/>
          <w:sz w:val="28"/>
          <w:szCs w:val="28"/>
        </w:rPr>
      </w:pPr>
      <w:r w:rsidRPr="00964AB3">
        <w:rPr>
          <w:rFonts w:ascii="Arial" w:hAnsi="Arial" w:cs="Arial"/>
          <w:b/>
          <w:bCs/>
          <w:sz w:val="28"/>
          <w:szCs w:val="28"/>
        </w:rPr>
        <w:t>Word count</w:t>
      </w:r>
      <w:r>
        <w:rPr>
          <w:rFonts w:ascii="Arial" w:hAnsi="Arial" w:cs="Arial"/>
          <w:b/>
          <w:bCs/>
          <w:sz w:val="28"/>
          <w:szCs w:val="28"/>
        </w:rPr>
        <w:t xml:space="preserve">:  </w:t>
      </w:r>
      <w:r w:rsidR="00356A56">
        <w:rPr>
          <w:rFonts w:ascii="Arial" w:hAnsi="Arial" w:cs="Arial"/>
          <w:b/>
          <w:bCs/>
          <w:sz w:val="28"/>
          <w:szCs w:val="28"/>
        </w:rPr>
        <w:t>2500</w:t>
      </w:r>
    </w:p>
    <w:p w14:paraId="582FB2D8" w14:textId="38ECE4B5" w:rsidR="00356A56" w:rsidRDefault="00356A56" w:rsidP="00074402">
      <w:pPr>
        <w:tabs>
          <w:tab w:val="left" w:pos="6540"/>
        </w:tabs>
        <w:spacing w:line="360" w:lineRule="auto"/>
        <w:rPr>
          <w:rFonts w:ascii="Arial" w:hAnsi="Arial" w:cs="Arial"/>
          <w:b/>
          <w:bCs/>
          <w:sz w:val="28"/>
          <w:szCs w:val="28"/>
        </w:rPr>
      </w:pPr>
    </w:p>
    <w:p w14:paraId="730ED53C" w14:textId="1B1744B4" w:rsidR="00356A56" w:rsidRDefault="00356A56" w:rsidP="00074402">
      <w:pPr>
        <w:tabs>
          <w:tab w:val="left" w:pos="6540"/>
        </w:tabs>
        <w:spacing w:line="360" w:lineRule="auto"/>
        <w:rPr>
          <w:rFonts w:ascii="Arial" w:hAnsi="Arial" w:cs="Arial"/>
          <w:b/>
          <w:bCs/>
          <w:sz w:val="28"/>
          <w:szCs w:val="28"/>
        </w:rPr>
      </w:pPr>
    </w:p>
    <w:p w14:paraId="66B36210" w14:textId="0AC5F441" w:rsidR="00356A56" w:rsidRDefault="00356A56" w:rsidP="00074402">
      <w:pPr>
        <w:tabs>
          <w:tab w:val="left" w:pos="6540"/>
        </w:tabs>
        <w:spacing w:line="360" w:lineRule="auto"/>
        <w:rPr>
          <w:rFonts w:ascii="Arial" w:hAnsi="Arial" w:cs="Arial"/>
          <w:b/>
          <w:bCs/>
          <w:sz w:val="28"/>
          <w:szCs w:val="28"/>
        </w:rPr>
      </w:pPr>
    </w:p>
    <w:p w14:paraId="67381F6D" w14:textId="6F1A932E" w:rsidR="00356A56" w:rsidRDefault="00356A56" w:rsidP="00074402">
      <w:pPr>
        <w:tabs>
          <w:tab w:val="left" w:pos="6540"/>
        </w:tabs>
        <w:spacing w:line="360" w:lineRule="auto"/>
        <w:rPr>
          <w:rFonts w:ascii="Arial" w:hAnsi="Arial" w:cs="Arial"/>
          <w:b/>
          <w:bCs/>
          <w:sz w:val="28"/>
          <w:szCs w:val="28"/>
        </w:rPr>
      </w:pPr>
    </w:p>
    <w:p w14:paraId="3A2BF49B" w14:textId="1A775C5A" w:rsidR="00A82952" w:rsidRDefault="00A82952" w:rsidP="00074402">
      <w:pPr>
        <w:tabs>
          <w:tab w:val="left" w:pos="6540"/>
        </w:tabs>
        <w:spacing w:line="360" w:lineRule="auto"/>
        <w:rPr>
          <w:rFonts w:ascii="Arial" w:hAnsi="Arial" w:cs="Arial"/>
          <w:b/>
          <w:bCs/>
          <w:sz w:val="28"/>
          <w:szCs w:val="28"/>
        </w:rPr>
      </w:pPr>
    </w:p>
    <w:p w14:paraId="1E3DB0A3" w14:textId="673DED72" w:rsidR="00007916" w:rsidRPr="005C3A5F" w:rsidRDefault="00007916" w:rsidP="00074402">
      <w:pPr>
        <w:tabs>
          <w:tab w:val="left" w:pos="6540"/>
        </w:tabs>
        <w:spacing w:line="360" w:lineRule="auto"/>
        <w:rPr>
          <w:rFonts w:ascii="Arial" w:hAnsi="Arial" w:cs="Arial"/>
          <w:sz w:val="28"/>
          <w:szCs w:val="28"/>
        </w:rPr>
      </w:pPr>
      <w:r w:rsidRPr="005C3A5F">
        <w:rPr>
          <w:rFonts w:ascii="Arial" w:hAnsi="Arial" w:cs="Arial"/>
          <w:sz w:val="28"/>
          <w:szCs w:val="28"/>
        </w:rPr>
        <w:lastRenderedPageBreak/>
        <w:t xml:space="preserve">Introduction: </w:t>
      </w:r>
      <w:r w:rsidR="00025267" w:rsidRPr="005C3A5F">
        <w:rPr>
          <w:rFonts w:ascii="Arial" w:hAnsi="Arial" w:cs="Arial"/>
          <w:sz w:val="28"/>
          <w:szCs w:val="28"/>
        </w:rPr>
        <w:t>in this essay I will be talking and explaining the social con</w:t>
      </w:r>
      <w:r w:rsidR="009A2DE2" w:rsidRPr="005C3A5F">
        <w:rPr>
          <w:rFonts w:ascii="Arial" w:hAnsi="Arial" w:cs="Arial"/>
          <w:sz w:val="28"/>
          <w:szCs w:val="28"/>
        </w:rPr>
        <w:t>struction of childhood.</w:t>
      </w:r>
    </w:p>
    <w:p w14:paraId="76DEAD02" w14:textId="7FDECCF1" w:rsidR="00356A56" w:rsidRDefault="00B528E2" w:rsidP="00B528E2">
      <w:pPr>
        <w:tabs>
          <w:tab w:val="left" w:pos="6540"/>
        </w:tabs>
        <w:spacing w:line="360" w:lineRule="auto"/>
        <w:rPr>
          <w:rFonts w:ascii="Arial" w:hAnsi="Arial" w:cs="Arial"/>
          <w:sz w:val="28"/>
          <w:szCs w:val="28"/>
        </w:rPr>
      </w:pPr>
      <w:r>
        <w:rPr>
          <w:rFonts w:ascii="Arial" w:hAnsi="Arial" w:cs="Arial"/>
          <w:sz w:val="28"/>
          <w:szCs w:val="28"/>
        </w:rPr>
        <w:t>1.</w:t>
      </w:r>
      <w:r w:rsidR="00A40B7B" w:rsidRPr="00B528E2">
        <w:rPr>
          <w:rFonts w:ascii="Arial" w:hAnsi="Arial" w:cs="Arial"/>
          <w:sz w:val="28"/>
          <w:szCs w:val="28"/>
        </w:rPr>
        <w:t xml:space="preserve">Childhood </w:t>
      </w:r>
      <w:r w:rsidR="002F203F" w:rsidRPr="00B528E2">
        <w:rPr>
          <w:rFonts w:ascii="Arial" w:hAnsi="Arial" w:cs="Arial"/>
          <w:sz w:val="28"/>
          <w:szCs w:val="28"/>
        </w:rPr>
        <w:t xml:space="preserve">means that </w:t>
      </w:r>
      <w:r w:rsidR="007E2433" w:rsidRPr="00B528E2">
        <w:rPr>
          <w:rFonts w:ascii="Arial" w:hAnsi="Arial" w:cs="Arial"/>
          <w:sz w:val="28"/>
          <w:szCs w:val="28"/>
        </w:rPr>
        <w:t>as</w:t>
      </w:r>
      <w:r w:rsidR="00A40B7B" w:rsidRPr="00B528E2">
        <w:rPr>
          <w:rFonts w:ascii="Arial" w:hAnsi="Arial" w:cs="Arial"/>
          <w:sz w:val="28"/>
          <w:szCs w:val="28"/>
        </w:rPr>
        <w:t xml:space="preserve"> opposed to adulthood, childhood is the state of being a child. between the end of toddlerhood (about age 2) and the commencement of puberty (the start of adolescence) (10–12 years of age). In addition, a person's childhood may be seen as concluding either medically, at the age of puberty, or socially, at the age of legal maturity.</w:t>
      </w:r>
    </w:p>
    <w:p w14:paraId="6FBAABF8" w14:textId="77777777" w:rsidR="009A1DCF" w:rsidRDefault="00927358" w:rsidP="00074402">
      <w:pPr>
        <w:tabs>
          <w:tab w:val="left" w:pos="6540"/>
        </w:tabs>
        <w:spacing w:line="360" w:lineRule="auto"/>
        <w:rPr>
          <w:rFonts w:ascii="Arial" w:hAnsi="Arial" w:cs="Arial"/>
          <w:sz w:val="28"/>
          <w:szCs w:val="28"/>
        </w:rPr>
      </w:pPr>
      <w:r w:rsidRPr="00927358">
        <w:rPr>
          <w:rFonts w:ascii="Arial" w:hAnsi="Arial" w:cs="Arial"/>
          <w:sz w:val="28"/>
          <w:szCs w:val="28"/>
        </w:rPr>
        <w:t>Any individual's childhood is the best and most memorable moment of their life. It's the beginning of our lives, and we may take use of it anyway we like. And, of course, we are living in a moment that will ultimately determine our future. In this family, everyone, parents included, loves and cares deeply for their children.</w:t>
      </w:r>
    </w:p>
    <w:p w14:paraId="42110D7D" w14:textId="36DDA2C8" w:rsidR="002F203F" w:rsidRDefault="003C5219" w:rsidP="00074402">
      <w:pPr>
        <w:tabs>
          <w:tab w:val="left" w:pos="6540"/>
        </w:tabs>
        <w:spacing w:line="360" w:lineRule="auto"/>
        <w:rPr>
          <w:rFonts w:ascii="Arial" w:hAnsi="Arial" w:cs="Arial"/>
          <w:sz w:val="28"/>
          <w:szCs w:val="28"/>
        </w:rPr>
      </w:pPr>
      <w:r w:rsidRPr="005C3A5F">
        <w:rPr>
          <w:rFonts w:ascii="Arial" w:hAnsi="Arial" w:cs="Arial"/>
          <w:sz w:val="28"/>
          <w:szCs w:val="28"/>
        </w:rPr>
        <w:t xml:space="preserve">In this context, "social construct" is a made-up idea or reality that has evolved via social interaction. The beliefs, attitudes, and traditions of a society have a significant impact on how objects are built in that culture. Those who hold this view refer to the fact that childhood may be seen as "a cultural construct that arises from the attitudes, beliefs, and values of different cultures at certain moments in time," making it a social construct (Hays, 1996). This suggests that childhood is more than a superficial stage defined just by one's outward look and abilities. Many, however, contend that childhood is not a product of social </w:t>
      </w:r>
      <w:r w:rsidR="005C3A5F" w:rsidRPr="005C3A5F">
        <w:rPr>
          <w:rFonts w:ascii="Arial" w:hAnsi="Arial" w:cs="Arial"/>
          <w:sz w:val="28"/>
          <w:szCs w:val="28"/>
        </w:rPr>
        <w:t>construction,</w:t>
      </w:r>
      <w:r w:rsidRPr="005C3A5F">
        <w:rPr>
          <w:rFonts w:ascii="Arial" w:hAnsi="Arial" w:cs="Arial"/>
          <w:sz w:val="28"/>
          <w:szCs w:val="28"/>
        </w:rPr>
        <w:t xml:space="preserve"> but </w:t>
      </w:r>
      <w:proofErr w:type="gramStart"/>
      <w:r w:rsidRPr="005C3A5F">
        <w:rPr>
          <w:rFonts w:ascii="Arial" w:hAnsi="Arial" w:cs="Arial"/>
          <w:sz w:val="28"/>
          <w:szCs w:val="28"/>
        </w:rPr>
        <w:t>a period of time</w:t>
      </w:r>
      <w:proofErr w:type="gramEnd"/>
      <w:r w:rsidRPr="005C3A5F">
        <w:rPr>
          <w:rFonts w:ascii="Arial" w:hAnsi="Arial" w:cs="Arial"/>
          <w:sz w:val="28"/>
          <w:szCs w:val="28"/>
        </w:rPr>
        <w:t xml:space="preserve"> predetermined by nature and not subject to the influence of culture. A thorough understanding of childhood necessitates an examination of the ways in which the idea has been created in various cultures. This essay will outline and critically evaluate the many ways in which various communities throughout the world, across cultures, religions, historical eras, and in the modern day conceptualise </w:t>
      </w:r>
      <w:r w:rsidRPr="005C3A5F">
        <w:rPr>
          <w:rFonts w:ascii="Arial" w:hAnsi="Arial" w:cs="Arial"/>
          <w:sz w:val="28"/>
          <w:szCs w:val="28"/>
        </w:rPr>
        <w:lastRenderedPageBreak/>
        <w:t>childhood. I'll also consider arguments against the social construction theory, which hold that childhood exists independently of society.</w:t>
      </w:r>
    </w:p>
    <w:p w14:paraId="6FD0CB3B" w14:textId="5EE8ED0D" w:rsidR="00FB24D6" w:rsidRDefault="00FB24D6" w:rsidP="00074402">
      <w:pPr>
        <w:tabs>
          <w:tab w:val="left" w:pos="6540"/>
        </w:tabs>
        <w:spacing w:line="360" w:lineRule="auto"/>
        <w:rPr>
          <w:rFonts w:ascii="Arial" w:hAnsi="Arial" w:cs="Arial"/>
          <w:sz w:val="28"/>
          <w:szCs w:val="28"/>
        </w:rPr>
      </w:pPr>
    </w:p>
    <w:p w14:paraId="44B465F0" w14:textId="77777777" w:rsidR="003973CE" w:rsidRDefault="003973CE" w:rsidP="00074402">
      <w:pPr>
        <w:tabs>
          <w:tab w:val="left" w:pos="6540"/>
        </w:tabs>
        <w:spacing w:line="360" w:lineRule="auto"/>
        <w:rPr>
          <w:rFonts w:ascii="Arial" w:hAnsi="Arial" w:cs="Arial"/>
          <w:sz w:val="28"/>
          <w:szCs w:val="28"/>
        </w:rPr>
      </w:pPr>
    </w:p>
    <w:p w14:paraId="329492F9" w14:textId="764EB64C" w:rsidR="00356A56" w:rsidRDefault="0021224B" w:rsidP="00074402">
      <w:pPr>
        <w:tabs>
          <w:tab w:val="left" w:pos="6540"/>
        </w:tabs>
        <w:spacing w:line="360" w:lineRule="auto"/>
        <w:rPr>
          <w:rFonts w:ascii="Arial" w:hAnsi="Arial" w:cs="Arial"/>
          <w:sz w:val="28"/>
          <w:szCs w:val="28"/>
        </w:rPr>
      </w:pPr>
      <w:r w:rsidRPr="0021224B">
        <w:rPr>
          <w:rFonts w:ascii="Arial" w:hAnsi="Arial" w:cs="Arial"/>
          <w:sz w:val="28"/>
          <w:szCs w:val="28"/>
        </w:rPr>
        <w:t>The fact that childhood is "rooted in the past and altered by the present" suggests that it is a social creation. In the past, society saw childhood considerably differently than they do today and will in the future. Due to shifting cultural standards, the features that characterise childhood are always changing. That this was not always the case, and that in the nineteenth century childhood was not merged with adulthood and therefore did not stand out as a distinct phase of life, can be seen by the fact that it is now considered a ‘sacred' phase of life, one that, when remembered, evokes feelings of happiness and nostalgia. "Play is also considered a component of childhood since it is a time when children are free from responsibilities," which is a distinguishing trait of childhood. On page eleven of Wynes's (2012) book, Aries concurs and adds that although in the Middle Ages, childhood was a transient and easily forgotten period of life, it is now a respected period of life that is warmly remembered and dwelt upon. According to him, parents were less affected by their child's death or illness since children were little replicas of grownups. Nevertheless, he acknowledges a change in viewpoint starting in the seventeenth century.</w:t>
      </w:r>
    </w:p>
    <w:p w14:paraId="43D73BE5" w14:textId="0C614B78" w:rsidR="00091782" w:rsidRDefault="00091782" w:rsidP="00074402">
      <w:pPr>
        <w:tabs>
          <w:tab w:val="left" w:pos="6540"/>
        </w:tabs>
        <w:spacing w:line="360" w:lineRule="auto"/>
        <w:rPr>
          <w:rFonts w:ascii="Arial" w:hAnsi="Arial" w:cs="Arial"/>
          <w:sz w:val="28"/>
          <w:szCs w:val="28"/>
        </w:rPr>
      </w:pPr>
    </w:p>
    <w:p w14:paraId="403A6107" w14:textId="7C23249C" w:rsidR="00356A56" w:rsidRDefault="007D7F93" w:rsidP="00074402">
      <w:pPr>
        <w:tabs>
          <w:tab w:val="left" w:pos="6540"/>
        </w:tabs>
        <w:spacing w:line="360" w:lineRule="auto"/>
        <w:rPr>
          <w:rFonts w:ascii="Arial" w:hAnsi="Arial" w:cs="Arial"/>
          <w:sz w:val="28"/>
          <w:szCs w:val="28"/>
        </w:rPr>
      </w:pPr>
      <w:r>
        <w:rPr>
          <w:rFonts w:ascii="Arial" w:hAnsi="Arial" w:cs="Arial"/>
          <w:sz w:val="28"/>
          <w:szCs w:val="28"/>
        </w:rPr>
        <w:t xml:space="preserve">2. </w:t>
      </w:r>
      <w:r w:rsidR="00FF7BE0" w:rsidRPr="00FF7BE0">
        <w:rPr>
          <w:rFonts w:ascii="Arial" w:hAnsi="Arial" w:cs="Arial"/>
          <w:sz w:val="28"/>
          <w:szCs w:val="28"/>
        </w:rPr>
        <w:t xml:space="preserve">Environment is often used as evidence that childhood is a social construction. It's not only the country or even the town or village that shapes a child's upbringing, but also the culture and traditions of that community. A </w:t>
      </w:r>
      <w:r w:rsidR="00AB23FF">
        <w:rPr>
          <w:rFonts w:ascii="Arial" w:hAnsi="Arial" w:cs="Arial"/>
          <w:sz w:val="28"/>
          <w:szCs w:val="28"/>
        </w:rPr>
        <w:t>childhood</w:t>
      </w:r>
      <w:r w:rsidR="00FF7BE0" w:rsidRPr="00FF7BE0">
        <w:rPr>
          <w:rFonts w:ascii="Arial" w:hAnsi="Arial" w:cs="Arial"/>
          <w:sz w:val="28"/>
          <w:szCs w:val="28"/>
        </w:rPr>
        <w:t xml:space="preserve"> upbringing in a wealthy region of the globe will </w:t>
      </w:r>
      <w:r w:rsidR="00FF7BE0" w:rsidRPr="00FF7BE0">
        <w:rPr>
          <w:rFonts w:ascii="Arial" w:hAnsi="Arial" w:cs="Arial"/>
          <w:sz w:val="28"/>
          <w:szCs w:val="28"/>
        </w:rPr>
        <w:lastRenderedPageBreak/>
        <w:t xml:space="preserve">be very different from that of a youngster in a less developed region, where the concept of childhood may not even exist. Unfortunately, not all kids get to experience what we may call the "western ideal" childhood since resources like health care and education are not equally distributed. One of the eight Millennium Development Goals (MDGs) is to guarantee that all children attend school and finish a full course of primary education; this highlights the importance placed on education as a positive component of childhood (Wells, 2015, p.92). As a result, it may be inferred that education is seen as a concept that should be implemented everywhere. Education plays a significant role in shaping childhood because it equips kids with the tools they'll need to thrive as adults, helps them make friends and navigate the challenges of daily life, and instils in them a sense of morality and ethics that will serve them well as contributing members of society. Another reason why education is crucial in building childhood is that it alters the way childhood is regarded for the better by creating the circumstances for the institutions that impact social change. However, this goal is not realised in many nations, and many children lack access to education; for example, in 2009, 2 million Ethiopian children were not enrolled in formal education. There is much work must be done so that all children may experience "childhood," as defined by the United Nations Educational, Scientific, and Cultural Organization (U.N.). Education has numerous benefits, but it also has certain drawbacks. Many children nowadays </w:t>
      </w:r>
      <w:proofErr w:type="gramStart"/>
      <w:r w:rsidR="00FF7BE0" w:rsidRPr="00FF7BE0">
        <w:rPr>
          <w:rFonts w:ascii="Arial" w:hAnsi="Arial" w:cs="Arial"/>
          <w:sz w:val="28"/>
          <w:szCs w:val="28"/>
        </w:rPr>
        <w:t>have to</w:t>
      </w:r>
      <w:proofErr w:type="gramEnd"/>
      <w:r w:rsidR="00FF7BE0" w:rsidRPr="00FF7BE0">
        <w:rPr>
          <w:rFonts w:ascii="Arial" w:hAnsi="Arial" w:cs="Arial"/>
          <w:sz w:val="28"/>
          <w:szCs w:val="28"/>
        </w:rPr>
        <w:t xml:space="preserve"> juggle school and job, according to Maitra and Ray (2002), who claim that education does not alleviate their parents' burdens. In addition, the instructors in impoverished nations sometimes lack the proper credentials to instruct youngsters.</w:t>
      </w:r>
    </w:p>
    <w:p w14:paraId="58DE28EB" w14:textId="77777777" w:rsidR="003D043A" w:rsidRPr="005C3A5F" w:rsidRDefault="003D043A" w:rsidP="00074402">
      <w:pPr>
        <w:tabs>
          <w:tab w:val="left" w:pos="6540"/>
        </w:tabs>
        <w:spacing w:line="360" w:lineRule="auto"/>
        <w:rPr>
          <w:rFonts w:ascii="Arial" w:hAnsi="Arial" w:cs="Arial"/>
          <w:sz w:val="28"/>
          <w:szCs w:val="28"/>
        </w:rPr>
      </w:pPr>
    </w:p>
    <w:p w14:paraId="388FAC30" w14:textId="77777777" w:rsidR="009A6913" w:rsidRPr="009A6913" w:rsidRDefault="009A6913" w:rsidP="009A6913">
      <w:pPr>
        <w:tabs>
          <w:tab w:val="left" w:pos="6540"/>
        </w:tabs>
        <w:spacing w:line="360" w:lineRule="auto"/>
        <w:rPr>
          <w:rFonts w:ascii="Arial" w:hAnsi="Arial" w:cs="Arial"/>
          <w:sz w:val="28"/>
          <w:szCs w:val="28"/>
        </w:rPr>
      </w:pPr>
      <w:r w:rsidRPr="009A6913">
        <w:rPr>
          <w:rFonts w:ascii="Arial" w:hAnsi="Arial" w:cs="Arial"/>
          <w:sz w:val="28"/>
          <w:szCs w:val="28"/>
        </w:rPr>
        <w:lastRenderedPageBreak/>
        <w:t>Everything began with the Education Act of 1880.</w:t>
      </w:r>
    </w:p>
    <w:p w14:paraId="7ACD6F12" w14:textId="77777777" w:rsidR="009A6913" w:rsidRPr="009A6913" w:rsidRDefault="009A6913" w:rsidP="009A6913">
      <w:pPr>
        <w:tabs>
          <w:tab w:val="left" w:pos="6540"/>
        </w:tabs>
        <w:spacing w:line="360" w:lineRule="auto"/>
        <w:rPr>
          <w:rFonts w:ascii="Arial" w:hAnsi="Arial" w:cs="Arial"/>
          <w:sz w:val="28"/>
          <w:szCs w:val="28"/>
        </w:rPr>
      </w:pPr>
      <w:r w:rsidRPr="009A6913">
        <w:rPr>
          <w:rFonts w:ascii="Arial" w:hAnsi="Arial" w:cs="Arial"/>
          <w:sz w:val="28"/>
          <w:szCs w:val="28"/>
        </w:rPr>
        <w:t>Every British kid is required to attend school until the age of ten. Regional Institutions of Teacher Control.</w:t>
      </w:r>
    </w:p>
    <w:p w14:paraId="362B0A3D" w14:textId="77777777" w:rsidR="009A6913" w:rsidRPr="009A6913" w:rsidRDefault="009A6913" w:rsidP="009A6913">
      <w:pPr>
        <w:tabs>
          <w:tab w:val="left" w:pos="6540"/>
        </w:tabs>
        <w:spacing w:line="360" w:lineRule="auto"/>
        <w:rPr>
          <w:rFonts w:ascii="Arial" w:hAnsi="Arial" w:cs="Arial"/>
          <w:sz w:val="28"/>
          <w:szCs w:val="28"/>
        </w:rPr>
      </w:pPr>
    </w:p>
    <w:p w14:paraId="2C349403" w14:textId="77777777" w:rsidR="009A6913" w:rsidRPr="009A6913" w:rsidRDefault="009A6913" w:rsidP="009A6913">
      <w:pPr>
        <w:tabs>
          <w:tab w:val="left" w:pos="6540"/>
        </w:tabs>
        <w:spacing w:line="360" w:lineRule="auto"/>
        <w:rPr>
          <w:rFonts w:ascii="Arial" w:hAnsi="Arial" w:cs="Arial"/>
          <w:sz w:val="28"/>
          <w:szCs w:val="28"/>
        </w:rPr>
      </w:pPr>
      <w:r w:rsidRPr="009A6913">
        <w:rPr>
          <w:rFonts w:ascii="Arial" w:hAnsi="Arial" w:cs="Arial"/>
          <w:sz w:val="28"/>
          <w:szCs w:val="28"/>
        </w:rPr>
        <w:t>Preventing Cruelty to Children Act of 1889 (Children's Charter)</w:t>
      </w:r>
    </w:p>
    <w:p w14:paraId="781F065C" w14:textId="77777777" w:rsidR="009A6913" w:rsidRPr="009A6913" w:rsidRDefault="009A6913" w:rsidP="009A6913">
      <w:pPr>
        <w:tabs>
          <w:tab w:val="left" w:pos="6540"/>
        </w:tabs>
        <w:spacing w:line="360" w:lineRule="auto"/>
        <w:rPr>
          <w:rFonts w:ascii="Arial" w:hAnsi="Arial" w:cs="Arial"/>
          <w:sz w:val="28"/>
          <w:szCs w:val="28"/>
        </w:rPr>
      </w:pPr>
      <w:r w:rsidRPr="009A6913">
        <w:rPr>
          <w:rFonts w:ascii="Arial" w:hAnsi="Arial" w:cs="Arial"/>
          <w:sz w:val="28"/>
          <w:szCs w:val="28"/>
        </w:rPr>
        <w:t>This statute was the first time the government could legally intervene in family relations. Police will have the ability to enter a residence and make arrests if they suspect child abuse.</w:t>
      </w:r>
    </w:p>
    <w:p w14:paraId="5943FE5E" w14:textId="77777777" w:rsidR="009A6913" w:rsidRPr="009A6913" w:rsidRDefault="009A6913" w:rsidP="009A6913">
      <w:pPr>
        <w:tabs>
          <w:tab w:val="left" w:pos="6540"/>
        </w:tabs>
        <w:spacing w:line="360" w:lineRule="auto"/>
        <w:rPr>
          <w:rFonts w:ascii="Arial" w:hAnsi="Arial" w:cs="Arial"/>
          <w:sz w:val="28"/>
          <w:szCs w:val="28"/>
        </w:rPr>
      </w:pPr>
      <w:r w:rsidRPr="009A6913">
        <w:rPr>
          <w:rFonts w:ascii="Arial" w:hAnsi="Arial" w:cs="Arial"/>
          <w:sz w:val="28"/>
          <w:szCs w:val="28"/>
        </w:rPr>
        <w:t>The National Society for the Prevention of Cruelty to Children (NSPCC) was also created in the same year.</w:t>
      </w:r>
    </w:p>
    <w:p w14:paraId="20823B3C" w14:textId="77777777" w:rsidR="009A6913" w:rsidRPr="009A6913" w:rsidRDefault="009A6913" w:rsidP="009A6913">
      <w:pPr>
        <w:tabs>
          <w:tab w:val="left" w:pos="6540"/>
        </w:tabs>
        <w:spacing w:line="360" w:lineRule="auto"/>
        <w:rPr>
          <w:rFonts w:ascii="Arial" w:hAnsi="Arial" w:cs="Arial"/>
          <w:sz w:val="28"/>
          <w:szCs w:val="28"/>
        </w:rPr>
      </w:pPr>
      <w:r w:rsidRPr="009A6913">
        <w:rPr>
          <w:rFonts w:ascii="Arial" w:hAnsi="Arial" w:cs="Arial"/>
          <w:sz w:val="28"/>
          <w:szCs w:val="28"/>
        </w:rPr>
        <w:t>This programme and this new organisation are largely responsible for the present conception of child welfare and the idea that the state may intervene if parents are not acting responsibly.</w:t>
      </w:r>
    </w:p>
    <w:p w14:paraId="5DF0ADDD" w14:textId="77777777" w:rsidR="009A6913" w:rsidRPr="009A6913" w:rsidRDefault="009A6913" w:rsidP="009A6913">
      <w:pPr>
        <w:tabs>
          <w:tab w:val="left" w:pos="6540"/>
        </w:tabs>
        <w:spacing w:line="360" w:lineRule="auto"/>
        <w:rPr>
          <w:rFonts w:ascii="Arial" w:hAnsi="Arial" w:cs="Arial"/>
          <w:sz w:val="28"/>
          <w:szCs w:val="28"/>
        </w:rPr>
      </w:pPr>
      <w:r w:rsidRPr="009A6913">
        <w:rPr>
          <w:rFonts w:ascii="Arial" w:hAnsi="Arial" w:cs="Arial"/>
          <w:sz w:val="28"/>
          <w:szCs w:val="28"/>
        </w:rPr>
        <w:t>An Act Concerning Children, Established in 1908</w:t>
      </w:r>
    </w:p>
    <w:p w14:paraId="0DA95A9C" w14:textId="3AF44BE5" w:rsidR="00CC7B22" w:rsidRDefault="009A6913" w:rsidP="00074402">
      <w:pPr>
        <w:tabs>
          <w:tab w:val="left" w:pos="6540"/>
        </w:tabs>
        <w:spacing w:line="360" w:lineRule="auto"/>
        <w:rPr>
          <w:rFonts w:ascii="Arial" w:hAnsi="Arial" w:cs="Arial"/>
          <w:sz w:val="28"/>
          <w:szCs w:val="28"/>
        </w:rPr>
      </w:pPr>
      <w:proofErr w:type="gramStart"/>
      <w:r w:rsidRPr="009A6913">
        <w:rPr>
          <w:rFonts w:ascii="Arial" w:hAnsi="Arial" w:cs="Arial"/>
          <w:sz w:val="28"/>
          <w:szCs w:val="28"/>
        </w:rPr>
        <w:t>As a consequence</w:t>
      </w:r>
      <w:proofErr w:type="gramEnd"/>
      <w:r w:rsidRPr="009A6913">
        <w:rPr>
          <w:rFonts w:ascii="Arial" w:hAnsi="Arial" w:cs="Arial"/>
          <w:sz w:val="28"/>
          <w:szCs w:val="28"/>
        </w:rPr>
        <w:t>, juvenile courts were established, enabling a different legal framework to be used to the prosecution of juveniles than that of adults.</w:t>
      </w:r>
      <w:r w:rsidRPr="003D043A">
        <w:rPr>
          <w:rFonts w:ascii="Arial" w:hAnsi="Arial" w:cs="Arial"/>
          <w:sz w:val="28"/>
          <w:szCs w:val="28"/>
        </w:rPr>
        <w:t xml:space="preserve"> To</w:t>
      </w:r>
      <w:r w:rsidR="003D043A" w:rsidRPr="003D043A">
        <w:rPr>
          <w:rFonts w:ascii="Arial" w:hAnsi="Arial" w:cs="Arial"/>
          <w:sz w:val="28"/>
          <w:szCs w:val="28"/>
        </w:rPr>
        <w:t xml:space="preserve"> prevent criticising individuals whose lives and theologies vary from our own, it is important to examine childhood from a cross-cultural viewpoint, which allows us to recognise the range of childhood's that exist. Because of cultural differences, it's important to examine the concept of childhood with an open mind. And religious teachings corroborate the secular view that infancy is an artificial creation. An individual's religious beliefs may influence their development throughout infancy. Because of the strong ties within the Hindu family, "children experience their family as a large, cohesive whole," and "children spend a great deal of time socialising with," suggesting that Hindu children </w:t>
      </w:r>
      <w:r w:rsidR="003D043A" w:rsidRPr="003D043A">
        <w:rPr>
          <w:rFonts w:ascii="Arial" w:hAnsi="Arial" w:cs="Arial"/>
          <w:sz w:val="28"/>
          <w:szCs w:val="28"/>
        </w:rPr>
        <w:lastRenderedPageBreak/>
        <w:t>spend less time interacting with people outside of their immediate family than children of other faiths. This refines our understanding of childhood, as children learn to interact with people from a wide range of cultural backgrounds, sexes, and races every day.</w:t>
      </w:r>
    </w:p>
    <w:p w14:paraId="6048BE48" w14:textId="1F515151" w:rsidR="00356A56" w:rsidRDefault="00425BC0" w:rsidP="00074402">
      <w:pPr>
        <w:tabs>
          <w:tab w:val="left" w:pos="6540"/>
        </w:tabs>
        <w:spacing w:line="360" w:lineRule="auto"/>
        <w:rPr>
          <w:rFonts w:ascii="Arial" w:hAnsi="Arial" w:cs="Arial"/>
          <w:sz w:val="28"/>
          <w:szCs w:val="28"/>
        </w:rPr>
      </w:pPr>
      <w:r>
        <w:rPr>
          <w:rFonts w:ascii="Arial" w:hAnsi="Arial" w:cs="Arial"/>
          <w:sz w:val="28"/>
          <w:szCs w:val="28"/>
        </w:rPr>
        <w:t>3.</w:t>
      </w:r>
      <w:r w:rsidR="00D3211C" w:rsidRPr="00D3211C">
        <w:rPr>
          <w:rFonts w:ascii="Arial" w:hAnsi="Arial" w:cs="Arial"/>
          <w:sz w:val="28"/>
          <w:szCs w:val="28"/>
        </w:rPr>
        <w:t>The health of children and adolescents (CYP) and reducing access to health care are two of the world's top priorities. Existing large health inequities have been exacerbated by the Covid-19 epidemic, making it much the more imperative to take efforts to reduce them. The objective of this essay was to examine how inequality is conceptualised, how people anticipate differences among children and youth to be minimised, and what factors play a role in the development and implementation of policies intended to achieve this goal.</w:t>
      </w:r>
    </w:p>
    <w:p w14:paraId="0843E070" w14:textId="7DB892D2" w:rsidR="00356A56" w:rsidRDefault="00C57D28" w:rsidP="00074402">
      <w:pPr>
        <w:tabs>
          <w:tab w:val="left" w:pos="6540"/>
        </w:tabs>
        <w:spacing w:line="360" w:lineRule="auto"/>
        <w:rPr>
          <w:rFonts w:ascii="Arial" w:hAnsi="Arial" w:cs="Arial"/>
          <w:sz w:val="28"/>
          <w:szCs w:val="28"/>
        </w:rPr>
      </w:pPr>
      <w:r w:rsidRPr="00C57D28">
        <w:rPr>
          <w:rFonts w:ascii="Arial" w:hAnsi="Arial" w:cs="Arial"/>
          <w:sz w:val="28"/>
          <w:szCs w:val="28"/>
        </w:rPr>
        <w:t>Using semi-structured interviews with service providers responsible for children's health, observations of key meetings involving 43 participants where decisions about children's health are made, and a review of local policy documentation, we conducted a qualitative investigation of one local government region in the North of England (UK). To guide our design and analysis, we used a unique theoretical framework that integrates several perspectives on policy.</w:t>
      </w:r>
    </w:p>
    <w:p w14:paraId="0D357BF2" w14:textId="144FFEEB" w:rsidR="00356A56" w:rsidRDefault="00536B20" w:rsidP="00074402">
      <w:pPr>
        <w:tabs>
          <w:tab w:val="left" w:pos="6540"/>
        </w:tabs>
        <w:spacing w:line="360" w:lineRule="auto"/>
        <w:rPr>
          <w:rFonts w:ascii="Arial" w:hAnsi="Arial" w:cs="Arial"/>
          <w:sz w:val="28"/>
          <w:szCs w:val="28"/>
        </w:rPr>
      </w:pPr>
      <w:r w:rsidRPr="00536B20">
        <w:rPr>
          <w:rFonts w:ascii="Arial" w:hAnsi="Arial" w:cs="Arial"/>
          <w:sz w:val="28"/>
          <w:szCs w:val="28"/>
        </w:rPr>
        <w:t xml:space="preserve">There is now widespread agreement on the need to reduce health inequities and improve the well-being of children and adolescents. In both policy and practise, the outcomes for children and adolescents (CYP) in England are chronically poorer than their global equivalents. At the same time, gaps in </w:t>
      </w:r>
      <w:r w:rsidR="00C30146" w:rsidRPr="00536B20">
        <w:rPr>
          <w:rFonts w:ascii="Arial" w:hAnsi="Arial" w:cs="Arial"/>
          <w:sz w:val="28"/>
          <w:szCs w:val="28"/>
        </w:rPr>
        <w:t>new-born</w:t>
      </w:r>
      <w:r w:rsidRPr="00536B20">
        <w:rPr>
          <w:rFonts w:ascii="Arial" w:hAnsi="Arial" w:cs="Arial"/>
          <w:sz w:val="28"/>
          <w:szCs w:val="28"/>
        </w:rPr>
        <w:t xml:space="preserve"> mortality, mental health, and obesity have increased among English youngsters. </w:t>
      </w:r>
      <w:r w:rsidR="00425BC0" w:rsidRPr="00536B20">
        <w:rPr>
          <w:rFonts w:ascii="Arial" w:hAnsi="Arial" w:cs="Arial"/>
          <w:sz w:val="28"/>
          <w:szCs w:val="28"/>
        </w:rPr>
        <w:t>Therefore</w:t>
      </w:r>
      <w:r w:rsidRPr="00536B20">
        <w:rPr>
          <w:rFonts w:ascii="Arial" w:hAnsi="Arial" w:cs="Arial"/>
          <w:sz w:val="28"/>
          <w:szCs w:val="28"/>
        </w:rPr>
        <w:t xml:space="preserve">, estimations project that 37 percent of children (5.2 million) would be living in relative poverty by 2021. There is evidence that families with children and youth at risk (CYP) have suffered the greatest income losses </w:t>
      </w:r>
      <w:r w:rsidR="00425BC0" w:rsidRPr="00536B20">
        <w:rPr>
          <w:rFonts w:ascii="Arial" w:hAnsi="Arial" w:cs="Arial"/>
          <w:sz w:val="28"/>
          <w:szCs w:val="28"/>
        </w:rPr>
        <w:t>because of</w:t>
      </w:r>
      <w:r w:rsidRPr="00536B20">
        <w:rPr>
          <w:rFonts w:ascii="Arial" w:hAnsi="Arial" w:cs="Arial"/>
          <w:sz w:val="28"/>
          <w:szCs w:val="28"/>
        </w:rPr>
        <w:t xml:space="preserve"> </w:t>
      </w:r>
      <w:r w:rsidRPr="00536B20">
        <w:rPr>
          <w:rFonts w:ascii="Arial" w:hAnsi="Arial" w:cs="Arial"/>
          <w:sz w:val="28"/>
          <w:szCs w:val="28"/>
        </w:rPr>
        <w:lastRenderedPageBreak/>
        <w:t>austerity measures, which is especially concerning in low-income neighbourhoods. In view of the current Covid-19 epidemic, which has exacerbated socioeconomic inequities among the most vulnerable segments of society, such as low-income families, this is of utmost importance.</w:t>
      </w:r>
    </w:p>
    <w:p w14:paraId="5BF32D19" w14:textId="77777777" w:rsidR="00525DA0" w:rsidRPr="005C3A5F" w:rsidRDefault="00525DA0" w:rsidP="00074402">
      <w:pPr>
        <w:tabs>
          <w:tab w:val="left" w:pos="6540"/>
        </w:tabs>
        <w:spacing w:line="360" w:lineRule="auto"/>
        <w:rPr>
          <w:rFonts w:ascii="Arial" w:hAnsi="Arial" w:cs="Arial"/>
          <w:sz w:val="28"/>
          <w:szCs w:val="28"/>
        </w:rPr>
      </w:pPr>
    </w:p>
    <w:p w14:paraId="5F409775" w14:textId="77777777" w:rsidR="00D316E4" w:rsidRDefault="00D316E4" w:rsidP="00074402">
      <w:pPr>
        <w:tabs>
          <w:tab w:val="left" w:pos="6540"/>
        </w:tabs>
        <w:spacing w:line="360" w:lineRule="auto"/>
        <w:rPr>
          <w:rFonts w:ascii="Arial" w:hAnsi="Arial" w:cs="Arial"/>
          <w:sz w:val="28"/>
          <w:szCs w:val="28"/>
        </w:rPr>
      </w:pPr>
    </w:p>
    <w:p w14:paraId="6F4B34A3" w14:textId="1DA3D670" w:rsidR="00356A56" w:rsidRDefault="00D316E4" w:rsidP="00074402">
      <w:pPr>
        <w:tabs>
          <w:tab w:val="left" w:pos="6540"/>
        </w:tabs>
        <w:spacing w:line="360" w:lineRule="auto"/>
        <w:rPr>
          <w:rFonts w:ascii="Arial" w:hAnsi="Arial" w:cs="Arial"/>
          <w:sz w:val="28"/>
          <w:szCs w:val="28"/>
        </w:rPr>
      </w:pPr>
      <w:r>
        <w:rPr>
          <w:rFonts w:ascii="Arial" w:hAnsi="Arial" w:cs="Arial"/>
          <w:sz w:val="28"/>
          <w:szCs w:val="28"/>
        </w:rPr>
        <w:t>4.</w:t>
      </w:r>
      <w:r w:rsidR="00525DA0" w:rsidRPr="00525DA0">
        <w:rPr>
          <w:rFonts w:ascii="Arial" w:hAnsi="Arial" w:cs="Arial"/>
          <w:sz w:val="28"/>
          <w:szCs w:val="28"/>
        </w:rPr>
        <w:t xml:space="preserve">From birth, children must be provided with a secure, stable, and supportive environment, according to investigation on early vulnerabilities and difficulties. The evidence base is limited, so the analysis on adverse childhood experiences should not be considered apart from the much larger field of study on vulnerability and the broader social determinants of health, </w:t>
      </w:r>
      <w:proofErr w:type="gramStart"/>
      <w:r w:rsidR="00525DA0" w:rsidRPr="00525DA0">
        <w:rPr>
          <w:rFonts w:ascii="Arial" w:hAnsi="Arial" w:cs="Arial"/>
          <w:sz w:val="28"/>
          <w:szCs w:val="28"/>
        </w:rPr>
        <w:t>despite the fact that</w:t>
      </w:r>
      <w:proofErr w:type="gramEnd"/>
      <w:r w:rsidR="00525DA0" w:rsidRPr="00525DA0">
        <w:rPr>
          <w:rFonts w:ascii="Arial" w:hAnsi="Arial" w:cs="Arial"/>
          <w:sz w:val="28"/>
          <w:szCs w:val="28"/>
        </w:rPr>
        <w:t xml:space="preserve"> it provides an important perspective on experiences in childhood that are associated with health and wellbeing risks. However, the emphasis on adverse childhood experiences has prompted action to address childhood vulnerability and promoted local collaboration.</w:t>
      </w:r>
    </w:p>
    <w:p w14:paraId="395BE74E" w14:textId="304D3774" w:rsidR="00356A56" w:rsidRDefault="00F83940" w:rsidP="00074402">
      <w:pPr>
        <w:tabs>
          <w:tab w:val="left" w:pos="6540"/>
        </w:tabs>
        <w:spacing w:line="360" w:lineRule="auto"/>
        <w:rPr>
          <w:rFonts w:ascii="Arial" w:hAnsi="Arial" w:cs="Arial"/>
          <w:sz w:val="28"/>
          <w:szCs w:val="28"/>
        </w:rPr>
      </w:pPr>
      <w:r w:rsidRPr="00F83940">
        <w:rPr>
          <w:rFonts w:ascii="Arial" w:hAnsi="Arial" w:cs="Arial"/>
          <w:sz w:val="28"/>
          <w:szCs w:val="28"/>
        </w:rPr>
        <w:t xml:space="preserve">There is limited evidence to support the notion that screening for or regularly enquiring about adverse childhood experiences in adult, paediatric, or family settings would assist in focusing preventative, early intervention, or reduction activities. Early Intervention Foundation advises that using "adverse childhood experience ratings" to assess need and establish criteria for prioritising who receives early intervention services has limitations and issues. According to Lacey and Minnis, the Professional score technique is problematic because it regards all childhood experiences as equally relevant for outcomes without considering their individual patterns. </w:t>
      </w:r>
      <w:proofErr w:type="gramStart"/>
      <w:r w:rsidRPr="00F83940">
        <w:rPr>
          <w:rFonts w:ascii="Arial" w:hAnsi="Arial" w:cs="Arial"/>
          <w:sz w:val="28"/>
          <w:szCs w:val="28"/>
        </w:rPr>
        <w:t>Despite the fact that</w:t>
      </w:r>
      <w:proofErr w:type="gramEnd"/>
      <w:r w:rsidRPr="00F83940">
        <w:rPr>
          <w:rFonts w:ascii="Arial" w:hAnsi="Arial" w:cs="Arial"/>
          <w:sz w:val="28"/>
          <w:szCs w:val="28"/>
        </w:rPr>
        <w:t xml:space="preserve"> many children </w:t>
      </w:r>
      <w:r w:rsidRPr="00F83940">
        <w:rPr>
          <w:rFonts w:ascii="Arial" w:hAnsi="Arial" w:cs="Arial"/>
          <w:sz w:val="28"/>
          <w:szCs w:val="28"/>
        </w:rPr>
        <w:lastRenderedPageBreak/>
        <w:t>may confront obstacles in life, the trajectory of their lives will be determined by protective factors and varied degrees of resilience. The National Screening Committee of the United Kingdom has not proposed universal screening for paediatric diseases.</w:t>
      </w:r>
    </w:p>
    <w:p w14:paraId="49B2CD0F" w14:textId="10BEE010" w:rsidR="003A29E0" w:rsidRDefault="0097220E" w:rsidP="00074402">
      <w:pPr>
        <w:tabs>
          <w:tab w:val="left" w:pos="6540"/>
        </w:tabs>
        <w:spacing w:line="360" w:lineRule="auto"/>
        <w:rPr>
          <w:rFonts w:ascii="Arial" w:hAnsi="Arial" w:cs="Arial"/>
          <w:sz w:val="28"/>
          <w:szCs w:val="28"/>
        </w:rPr>
      </w:pPr>
      <w:r w:rsidRPr="0097220E">
        <w:rPr>
          <w:rFonts w:ascii="Arial" w:hAnsi="Arial" w:cs="Arial"/>
          <w:sz w:val="28"/>
          <w:szCs w:val="28"/>
        </w:rPr>
        <w:t xml:space="preserve">Numerous proponents of the notion that childhood is socially constructed overlook children's numerous universal characteristics that transcend nations, ages, and religions. Due to their immaturity, all children have the same needs and constraints. Simply stated, </w:t>
      </w:r>
      <w:r w:rsidR="00F14109" w:rsidRPr="0097220E">
        <w:rPr>
          <w:rFonts w:ascii="Arial" w:hAnsi="Arial" w:cs="Arial"/>
          <w:sz w:val="28"/>
          <w:szCs w:val="28"/>
        </w:rPr>
        <w:t>new-borns</w:t>
      </w:r>
      <w:r w:rsidRPr="0097220E">
        <w:rPr>
          <w:rFonts w:ascii="Arial" w:hAnsi="Arial" w:cs="Arial"/>
          <w:sz w:val="28"/>
          <w:szCs w:val="28"/>
        </w:rPr>
        <w:t xml:space="preserve"> depend on the care of others for their fundamental physical requirements (Wells, 2009, p.2). Children worldwide are vulnerable to injury and, in some circumstances, need the care of an adult to survive; for example, an abandoned </w:t>
      </w:r>
      <w:r w:rsidR="00F14109" w:rsidRPr="0097220E">
        <w:rPr>
          <w:rFonts w:ascii="Arial" w:hAnsi="Arial" w:cs="Arial"/>
          <w:sz w:val="28"/>
          <w:szCs w:val="28"/>
        </w:rPr>
        <w:t>new-born</w:t>
      </w:r>
      <w:r w:rsidRPr="0097220E">
        <w:rPr>
          <w:rFonts w:ascii="Arial" w:hAnsi="Arial" w:cs="Arial"/>
          <w:sz w:val="28"/>
          <w:szCs w:val="28"/>
        </w:rPr>
        <w:t xml:space="preserve"> would not survive long since they are unable to provide for their own fundamental needs, such as feeding. All children, not only those from specific cultures, need adults to give emotional stability; to learn from their parents, youngsters must develop emotional bonds with them. In various ways, adults are just as reliant on solid ties as children are.</w:t>
      </w:r>
      <w:r w:rsidR="003A29E0" w:rsidRPr="003A29E0">
        <w:t xml:space="preserve"> </w:t>
      </w:r>
      <w:r w:rsidR="003A29E0" w:rsidRPr="003A29E0">
        <w:rPr>
          <w:rFonts w:ascii="Arial" w:hAnsi="Arial" w:cs="Arial"/>
          <w:sz w:val="28"/>
          <w:szCs w:val="28"/>
        </w:rPr>
        <w:t>As a general guideline, we think of childhood as an obligatory developmental period that all human beings must go through before becoming into adults. 'Children are constrained by their biology,' Wyness argues. The onset of menstruation is one biological sign that a girl has reached adulthood (Wyness, 2015, p.19). Biological factors contribute to children's reliance on carers since children's bodies aren't developed enough to deal with the stresses of life on their own; for example, if a small kid is hungry, they can't feed themselves. The conventional understanding of childhood is harshly criticised by the biological premise.</w:t>
      </w:r>
    </w:p>
    <w:p w14:paraId="5FA94BA4" w14:textId="55610904" w:rsidR="00980C43" w:rsidRPr="005C3A5F" w:rsidRDefault="00980C43" w:rsidP="00074402">
      <w:pPr>
        <w:tabs>
          <w:tab w:val="left" w:pos="6540"/>
        </w:tabs>
        <w:spacing w:line="360" w:lineRule="auto"/>
        <w:rPr>
          <w:rFonts w:ascii="Arial" w:hAnsi="Arial" w:cs="Arial"/>
          <w:sz w:val="28"/>
          <w:szCs w:val="28"/>
        </w:rPr>
      </w:pPr>
      <w:r w:rsidRPr="00980C43">
        <w:rPr>
          <w:rFonts w:ascii="Arial" w:hAnsi="Arial" w:cs="Arial"/>
          <w:sz w:val="28"/>
          <w:szCs w:val="28"/>
        </w:rPr>
        <w:t xml:space="preserve">We all have a mental picture of childhood, one filled with carefree fun and innocent fun. I have utilised several analytic tools to show that this </w:t>
      </w:r>
      <w:r w:rsidRPr="00980C43">
        <w:rPr>
          <w:rFonts w:ascii="Arial" w:hAnsi="Arial" w:cs="Arial"/>
          <w:sz w:val="28"/>
          <w:szCs w:val="28"/>
        </w:rPr>
        <w:lastRenderedPageBreak/>
        <w:t xml:space="preserve">depiction is based on a western paradigm of childhood and to emphasise the fact that childhoods vary in many respects. As sociologists, we need to be able to look at the biological and cultural characteristics of children as two sides of the same coin that shape our conceptions of childhood. The child's biology is predetermined and unchangeable, but their social status is immovable. Greater attention from social scientists over the last decade has led to the realisation that childhood is </w:t>
      </w:r>
      <w:r w:rsidR="00864C17" w:rsidRPr="00980C43">
        <w:rPr>
          <w:rFonts w:ascii="Arial" w:hAnsi="Arial" w:cs="Arial"/>
          <w:sz w:val="28"/>
          <w:szCs w:val="28"/>
        </w:rPr>
        <w:t>a ‘social</w:t>
      </w:r>
      <w:r w:rsidRPr="00980C43">
        <w:rPr>
          <w:rFonts w:ascii="Arial" w:hAnsi="Arial" w:cs="Arial"/>
          <w:sz w:val="28"/>
          <w:szCs w:val="28"/>
        </w:rPr>
        <w:t xml:space="preserve"> construct.' Researchers in the social sciences are beginning to appreciate the reality that people of all stripes acknowledge the existence of childhood, even if they do so in very different ways. The norms and values of the culture in which a kid was raised have a large role in shaping their perspectives and perspectives as adults. </w:t>
      </w:r>
      <w:r w:rsidR="00A93086" w:rsidRPr="00980C43">
        <w:rPr>
          <w:rFonts w:ascii="Arial" w:hAnsi="Arial" w:cs="Arial"/>
          <w:sz w:val="28"/>
          <w:szCs w:val="28"/>
        </w:rPr>
        <w:t>Considering</w:t>
      </w:r>
      <w:r w:rsidRPr="00980C43">
        <w:rPr>
          <w:rFonts w:ascii="Arial" w:hAnsi="Arial" w:cs="Arial"/>
          <w:sz w:val="28"/>
          <w:szCs w:val="28"/>
        </w:rPr>
        <w:t xml:space="preserve"> the quick and massive changes in what constitutes childhood, no one description can be offered.</w:t>
      </w:r>
    </w:p>
    <w:p w14:paraId="56CD4722" w14:textId="1C2EB5DA" w:rsidR="00356A56" w:rsidRPr="005C3A5F" w:rsidRDefault="00356A56" w:rsidP="00074402">
      <w:pPr>
        <w:tabs>
          <w:tab w:val="left" w:pos="6540"/>
        </w:tabs>
        <w:spacing w:line="360" w:lineRule="auto"/>
        <w:rPr>
          <w:rFonts w:ascii="Arial" w:hAnsi="Arial" w:cs="Arial"/>
          <w:sz w:val="28"/>
          <w:szCs w:val="28"/>
        </w:rPr>
      </w:pPr>
    </w:p>
    <w:p w14:paraId="47031F25" w14:textId="5DCEBC0F" w:rsidR="00356A56" w:rsidRPr="005C3A5F" w:rsidRDefault="00356A56" w:rsidP="00074402">
      <w:pPr>
        <w:tabs>
          <w:tab w:val="left" w:pos="6540"/>
        </w:tabs>
        <w:spacing w:line="360" w:lineRule="auto"/>
        <w:rPr>
          <w:rFonts w:ascii="Arial" w:hAnsi="Arial" w:cs="Arial"/>
          <w:sz w:val="28"/>
          <w:szCs w:val="28"/>
        </w:rPr>
      </w:pPr>
    </w:p>
    <w:p w14:paraId="5F1181AF" w14:textId="3DA9088A" w:rsidR="00356A56" w:rsidRPr="005C3A5F" w:rsidRDefault="00356A56" w:rsidP="00074402">
      <w:pPr>
        <w:tabs>
          <w:tab w:val="left" w:pos="6540"/>
        </w:tabs>
        <w:spacing w:line="360" w:lineRule="auto"/>
        <w:rPr>
          <w:rFonts w:ascii="Arial" w:hAnsi="Arial" w:cs="Arial"/>
          <w:sz w:val="28"/>
          <w:szCs w:val="28"/>
        </w:rPr>
      </w:pPr>
    </w:p>
    <w:p w14:paraId="18B97A8A" w14:textId="1E9EC2E5" w:rsidR="00356A56" w:rsidRDefault="00356A56" w:rsidP="00074402">
      <w:pPr>
        <w:tabs>
          <w:tab w:val="left" w:pos="6540"/>
        </w:tabs>
        <w:spacing w:line="360" w:lineRule="auto"/>
        <w:rPr>
          <w:rFonts w:ascii="Arial" w:hAnsi="Arial" w:cs="Arial"/>
          <w:b/>
          <w:bCs/>
          <w:sz w:val="28"/>
          <w:szCs w:val="28"/>
        </w:rPr>
      </w:pPr>
    </w:p>
    <w:p w14:paraId="4BA79EF6" w14:textId="788A200D" w:rsidR="00356A56" w:rsidRDefault="00356A56" w:rsidP="00074402">
      <w:pPr>
        <w:tabs>
          <w:tab w:val="left" w:pos="6540"/>
        </w:tabs>
        <w:spacing w:line="360" w:lineRule="auto"/>
        <w:rPr>
          <w:rFonts w:ascii="Arial" w:hAnsi="Arial" w:cs="Arial"/>
          <w:b/>
          <w:bCs/>
          <w:sz w:val="28"/>
          <w:szCs w:val="28"/>
        </w:rPr>
      </w:pPr>
    </w:p>
    <w:p w14:paraId="65FC8702" w14:textId="23D45456" w:rsidR="00356A56" w:rsidRDefault="00356A56" w:rsidP="00074402">
      <w:pPr>
        <w:tabs>
          <w:tab w:val="left" w:pos="6540"/>
        </w:tabs>
        <w:spacing w:line="360" w:lineRule="auto"/>
        <w:rPr>
          <w:rFonts w:ascii="Arial" w:hAnsi="Arial" w:cs="Arial"/>
          <w:b/>
          <w:bCs/>
          <w:sz w:val="28"/>
          <w:szCs w:val="28"/>
        </w:rPr>
      </w:pPr>
    </w:p>
    <w:p w14:paraId="2A3BBF02" w14:textId="77777777" w:rsidR="00EF5B7F" w:rsidRDefault="00EF5B7F" w:rsidP="00074402">
      <w:pPr>
        <w:tabs>
          <w:tab w:val="left" w:pos="6540"/>
        </w:tabs>
        <w:spacing w:line="360" w:lineRule="auto"/>
        <w:rPr>
          <w:rFonts w:ascii="Arial" w:hAnsi="Arial" w:cs="Arial"/>
          <w:b/>
          <w:bCs/>
          <w:sz w:val="28"/>
          <w:szCs w:val="28"/>
        </w:rPr>
      </w:pPr>
    </w:p>
    <w:p w14:paraId="2679A85F" w14:textId="77777777" w:rsidR="00EF5B7F" w:rsidRDefault="00EF5B7F" w:rsidP="00074402">
      <w:pPr>
        <w:tabs>
          <w:tab w:val="left" w:pos="6540"/>
        </w:tabs>
        <w:spacing w:line="360" w:lineRule="auto"/>
        <w:rPr>
          <w:rFonts w:ascii="Arial" w:hAnsi="Arial" w:cs="Arial"/>
          <w:b/>
          <w:bCs/>
          <w:sz w:val="28"/>
          <w:szCs w:val="28"/>
        </w:rPr>
      </w:pPr>
    </w:p>
    <w:p w14:paraId="52A36F57" w14:textId="77777777" w:rsidR="00EF5B7F" w:rsidRDefault="00EF5B7F" w:rsidP="00074402">
      <w:pPr>
        <w:tabs>
          <w:tab w:val="left" w:pos="6540"/>
        </w:tabs>
        <w:spacing w:line="360" w:lineRule="auto"/>
        <w:rPr>
          <w:rFonts w:ascii="Arial" w:hAnsi="Arial" w:cs="Arial"/>
          <w:b/>
          <w:bCs/>
          <w:sz w:val="28"/>
          <w:szCs w:val="28"/>
        </w:rPr>
      </w:pPr>
    </w:p>
    <w:p w14:paraId="275446E6" w14:textId="77777777" w:rsidR="00EF5B7F" w:rsidRDefault="00EF5B7F" w:rsidP="00074402">
      <w:pPr>
        <w:tabs>
          <w:tab w:val="left" w:pos="6540"/>
        </w:tabs>
        <w:spacing w:line="360" w:lineRule="auto"/>
        <w:rPr>
          <w:rFonts w:ascii="Arial" w:hAnsi="Arial" w:cs="Arial"/>
          <w:b/>
          <w:bCs/>
          <w:sz w:val="28"/>
          <w:szCs w:val="28"/>
        </w:rPr>
      </w:pPr>
    </w:p>
    <w:p w14:paraId="513FF8FD" w14:textId="77777777" w:rsidR="00EF5B7F" w:rsidRDefault="00EF5B7F" w:rsidP="00074402">
      <w:pPr>
        <w:tabs>
          <w:tab w:val="left" w:pos="6540"/>
        </w:tabs>
        <w:spacing w:line="360" w:lineRule="auto"/>
        <w:rPr>
          <w:rFonts w:ascii="Arial" w:hAnsi="Arial" w:cs="Arial"/>
          <w:b/>
          <w:bCs/>
          <w:sz w:val="28"/>
          <w:szCs w:val="28"/>
        </w:rPr>
      </w:pPr>
    </w:p>
    <w:p w14:paraId="23B41D58" w14:textId="2E3DFD46" w:rsidR="00356A56" w:rsidRDefault="00917C5A" w:rsidP="00074402">
      <w:pPr>
        <w:tabs>
          <w:tab w:val="left" w:pos="6540"/>
        </w:tabs>
        <w:spacing w:line="360" w:lineRule="auto"/>
        <w:rPr>
          <w:rFonts w:ascii="Arial" w:hAnsi="Arial" w:cs="Arial"/>
          <w:b/>
          <w:bCs/>
          <w:sz w:val="28"/>
          <w:szCs w:val="28"/>
        </w:rPr>
      </w:pPr>
      <w:r>
        <w:rPr>
          <w:rFonts w:ascii="Arial" w:hAnsi="Arial" w:cs="Arial"/>
          <w:b/>
          <w:bCs/>
          <w:sz w:val="28"/>
          <w:szCs w:val="28"/>
        </w:rPr>
        <w:lastRenderedPageBreak/>
        <w:t>R</w:t>
      </w:r>
      <w:r w:rsidR="008C2F25">
        <w:rPr>
          <w:rFonts w:ascii="Arial" w:hAnsi="Arial" w:cs="Arial"/>
          <w:b/>
          <w:bCs/>
          <w:sz w:val="28"/>
          <w:szCs w:val="28"/>
        </w:rPr>
        <w:t>ef</w:t>
      </w:r>
      <w:r>
        <w:rPr>
          <w:rFonts w:ascii="Arial" w:hAnsi="Arial" w:cs="Arial"/>
          <w:b/>
          <w:bCs/>
          <w:sz w:val="28"/>
          <w:szCs w:val="28"/>
        </w:rPr>
        <w:t xml:space="preserve">erences </w:t>
      </w:r>
    </w:p>
    <w:p w14:paraId="4FF5931F" w14:textId="77777777" w:rsidR="00B7655F" w:rsidRDefault="00B7655F" w:rsidP="00917C5A">
      <w:pPr>
        <w:pStyle w:val="NormalWeb"/>
        <w:spacing w:before="0" w:beforeAutospacing="0" w:after="0" w:afterAutospacing="0" w:line="360" w:lineRule="atLeast"/>
        <w:rPr>
          <w:rFonts w:ascii="Calibri" w:hAnsi="Calibri" w:cs="Calibri"/>
          <w:i/>
          <w:iCs/>
          <w:color w:val="000000"/>
          <w:sz w:val="27"/>
          <w:szCs w:val="27"/>
        </w:rPr>
      </w:pPr>
    </w:p>
    <w:p w14:paraId="1563F87E" w14:textId="77777777" w:rsidR="00231E46" w:rsidRDefault="00231E46" w:rsidP="00231E4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Early Intervention Foundation (2018). </w:t>
      </w:r>
      <w:r>
        <w:rPr>
          <w:rFonts w:ascii="Calibri" w:hAnsi="Calibri" w:cs="Calibri"/>
          <w:i/>
          <w:iCs/>
          <w:color w:val="000000"/>
          <w:sz w:val="27"/>
          <w:szCs w:val="27"/>
        </w:rPr>
        <w:t>What Is Early intervention?</w:t>
      </w:r>
      <w:r>
        <w:rPr>
          <w:rFonts w:ascii="Calibri" w:hAnsi="Calibri" w:cs="Calibri"/>
          <w:color w:val="000000"/>
          <w:sz w:val="27"/>
          <w:szCs w:val="27"/>
        </w:rPr>
        <w:t> [online] Early intervention foundation. Available at: https://www.eif.org.uk/why-it-matters/what-is-early-intervention.</w:t>
      </w:r>
    </w:p>
    <w:p w14:paraId="1CE52F2B" w14:textId="2FA770F1" w:rsidR="00B7655F" w:rsidRDefault="00231E46" w:rsidP="00231E46">
      <w:pPr>
        <w:pStyle w:val="NormalWeb"/>
        <w:rPr>
          <w:rFonts w:ascii="Calibri" w:hAnsi="Calibri" w:cs="Calibri"/>
          <w:color w:val="000000"/>
          <w:sz w:val="27"/>
          <w:szCs w:val="27"/>
        </w:rPr>
      </w:pPr>
      <w:r>
        <w:rPr>
          <w:rFonts w:ascii="Calibri" w:hAnsi="Calibri" w:cs="Calibri"/>
          <w:color w:val="000000"/>
          <w:sz w:val="27"/>
          <w:szCs w:val="27"/>
        </w:rPr>
        <w:t>‌</w:t>
      </w:r>
      <w:r w:rsidR="00B7655F">
        <w:rPr>
          <w:rFonts w:ascii="Calibri" w:hAnsi="Calibri" w:cs="Calibri"/>
          <w:color w:val="000000"/>
          <w:sz w:val="27"/>
          <w:szCs w:val="27"/>
        </w:rPr>
        <w:t xml:space="preserve">Holding, E., Fairbrother, H., Griffin, N., </w:t>
      </w:r>
      <w:proofErr w:type="spellStart"/>
      <w:r w:rsidR="00B7655F">
        <w:rPr>
          <w:rFonts w:ascii="Calibri" w:hAnsi="Calibri" w:cs="Calibri"/>
          <w:color w:val="000000"/>
          <w:sz w:val="27"/>
          <w:szCs w:val="27"/>
        </w:rPr>
        <w:t>Wistow</w:t>
      </w:r>
      <w:proofErr w:type="spellEnd"/>
      <w:r w:rsidR="00B7655F">
        <w:rPr>
          <w:rFonts w:ascii="Calibri" w:hAnsi="Calibri" w:cs="Calibri"/>
          <w:color w:val="000000"/>
          <w:sz w:val="27"/>
          <w:szCs w:val="27"/>
        </w:rPr>
        <w:t xml:space="preserve">, J., Powell, K. and Summerbell, C. (2021). Exploring the local policy context for reducing health inequalities in children and young people: an </w:t>
      </w:r>
      <w:proofErr w:type="gramStart"/>
      <w:r w:rsidR="00B7655F">
        <w:rPr>
          <w:rFonts w:ascii="Calibri" w:hAnsi="Calibri" w:cs="Calibri"/>
          <w:color w:val="000000"/>
          <w:sz w:val="27"/>
          <w:szCs w:val="27"/>
        </w:rPr>
        <w:t>in depth</w:t>
      </w:r>
      <w:proofErr w:type="gramEnd"/>
      <w:r w:rsidR="00B7655F">
        <w:rPr>
          <w:rFonts w:ascii="Calibri" w:hAnsi="Calibri" w:cs="Calibri"/>
          <w:color w:val="000000"/>
          <w:sz w:val="27"/>
          <w:szCs w:val="27"/>
        </w:rPr>
        <w:t xml:space="preserve"> qualitative case study of one local authority in the North of England, UK. </w:t>
      </w:r>
      <w:r w:rsidR="00B7655F">
        <w:rPr>
          <w:rFonts w:ascii="Calibri" w:hAnsi="Calibri" w:cs="Calibri"/>
          <w:i/>
          <w:iCs/>
          <w:color w:val="000000"/>
          <w:sz w:val="27"/>
          <w:szCs w:val="27"/>
        </w:rPr>
        <w:t>BMC Public Health</w:t>
      </w:r>
      <w:r w:rsidR="00B7655F">
        <w:rPr>
          <w:rFonts w:ascii="Calibri" w:hAnsi="Calibri" w:cs="Calibri"/>
          <w:color w:val="000000"/>
          <w:sz w:val="27"/>
          <w:szCs w:val="27"/>
        </w:rPr>
        <w:t>, 21(1). doi:10.1186/s12889-021-10782-0.</w:t>
      </w:r>
    </w:p>
    <w:p w14:paraId="0C196868" w14:textId="06601BC2" w:rsidR="001F2EEA" w:rsidRDefault="001F2EEA" w:rsidP="00421D9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Legislation.gov.uk (2010). </w:t>
      </w:r>
      <w:r>
        <w:rPr>
          <w:rFonts w:ascii="Calibri" w:hAnsi="Calibri" w:cs="Calibri"/>
          <w:i/>
          <w:iCs/>
          <w:color w:val="000000"/>
          <w:sz w:val="27"/>
          <w:szCs w:val="27"/>
        </w:rPr>
        <w:t>Children Act 1989</w:t>
      </w:r>
      <w:r>
        <w:rPr>
          <w:rFonts w:ascii="Calibri" w:hAnsi="Calibri" w:cs="Calibri"/>
          <w:color w:val="000000"/>
          <w:sz w:val="27"/>
          <w:szCs w:val="27"/>
        </w:rPr>
        <w:t>. [online] Legislation.gov.uk. Available at: https://www.legislation.gov.uk/ukpga/1989/41.</w:t>
      </w:r>
    </w:p>
    <w:p w14:paraId="30159F72" w14:textId="77777777" w:rsidR="00421D99" w:rsidRDefault="00421D99" w:rsidP="00421D99">
      <w:pPr>
        <w:pStyle w:val="NormalWeb"/>
        <w:spacing w:before="0" w:beforeAutospacing="0" w:after="0" w:afterAutospacing="0" w:line="360" w:lineRule="atLeast"/>
        <w:rPr>
          <w:rFonts w:ascii="Calibri" w:hAnsi="Calibri" w:cs="Calibri"/>
          <w:color w:val="000000"/>
          <w:sz w:val="27"/>
          <w:szCs w:val="27"/>
        </w:rPr>
      </w:pPr>
    </w:p>
    <w:p w14:paraId="5C33ABA9" w14:textId="2E8053BE" w:rsidR="00917C5A" w:rsidRPr="00A27E55" w:rsidRDefault="00B7655F" w:rsidP="00A27E55">
      <w:pPr>
        <w:pStyle w:val="NormalWeb"/>
        <w:rPr>
          <w:rFonts w:ascii="Calibri" w:hAnsi="Calibri" w:cs="Calibri"/>
          <w:color w:val="000000"/>
          <w:sz w:val="27"/>
          <w:szCs w:val="27"/>
        </w:rPr>
      </w:pPr>
      <w:r>
        <w:rPr>
          <w:rFonts w:ascii="Calibri" w:hAnsi="Calibri" w:cs="Calibri"/>
          <w:color w:val="000000"/>
          <w:sz w:val="27"/>
          <w:szCs w:val="27"/>
        </w:rPr>
        <w:t>‌</w:t>
      </w:r>
      <w:r w:rsidR="00917C5A" w:rsidRPr="00917C5A">
        <w:rPr>
          <w:rFonts w:ascii="Calibri" w:hAnsi="Calibri" w:cs="Calibri"/>
          <w:i/>
          <w:iCs/>
          <w:color w:val="000000"/>
          <w:sz w:val="27"/>
          <w:szCs w:val="27"/>
        </w:rPr>
        <w:t>THE NATIONAL SOCIETY FOR THE PREVENTION OF CRUELTY TO CHILDREN. (1894). The Lancet, 144(3719), p.1364. doi:10.1016/s0140-6736(01)59992-4.</w:t>
      </w:r>
    </w:p>
    <w:p w14:paraId="20C6CED6" w14:textId="2EA38CDC" w:rsidR="00082524" w:rsidRDefault="00917C5A" w:rsidP="00D72599">
      <w:pPr>
        <w:pStyle w:val="NormalWeb"/>
        <w:rPr>
          <w:rFonts w:ascii="Calibri" w:hAnsi="Calibri" w:cs="Calibri"/>
          <w:color w:val="000000"/>
          <w:sz w:val="27"/>
          <w:szCs w:val="27"/>
        </w:rPr>
      </w:pPr>
      <w:r>
        <w:rPr>
          <w:rFonts w:ascii="Calibri" w:hAnsi="Calibri" w:cs="Calibri"/>
          <w:color w:val="000000"/>
          <w:sz w:val="27"/>
          <w:szCs w:val="27"/>
        </w:rPr>
        <w:t>‌</w:t>
      </w:r>
      <w:r w:rsidR="00082524">
        <w:rPr>
          <w:rFonts w:ascii="Calibri" w:hAnsi="Calibri" w:cs="Calibri"/>
          <w:color w:val="000000"/>
          <w:sz w:val="27"/>
          <w:szCs w:val="27"/>
        </w:rPr>
        <w:t>Public Health England (2020). </w:t>
      </w:r>
      <w:r w:rsidR="00082524">
        <w:rPr>
          <w:rFonts w:ascii="Calibri" w:hAnsi="Calibri" w:cs="Calibri"/>
          <w:i/>
          <w:iCs/>
          <w:color w:val="000000"/>
          <w:sz w:val="27"/>
          <w:szCs w:val="27"/>
        </w:rPr>
        <w:t>No child left behind A public health informed approach to improving outcomes for vulnerable children</w:t>
      </w:r>
      <w:r w:rsidR="00082524">
        <w:rPr>
          <w:rFonts w:ascii="Calibri" w:hAnsi="Calibri" w:cs="Calibri"/>
          <w:color w:val="000000"/>
          <w:sz w:val="27"/>
          <w:szCs w:val="27"/>
        </w:rPr>
        <w:t>. [online] Available at: https://assets.publishing.service.gov.uk/government/uploads/system/uploads/attachment_data/file/913764/Public_health_approach_to_vulnerability_in_childhood.pdf.</w:t>
      </w:r>
    </w:p>
    <w:p w14:paraId="3EE0F635" w14:textId="76121DE7" w:rsidR="00702217" w:rsidRDefault="00082524" w:rsidP="0070221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702217">
        <w:rPr>
          <w:rFonts w:ascii="Calibri" w:hAnsi="Calibri" w:cs="Calibri"/>
          <w:color w:val="000000"/>
          <w:sz w:val="27"/>
          <w:szCs w:val="27"/>
        </w:rPr>
        <w:t>Public Health England (2014). </w:t>
      </w:r>
      <w:r w:rsidR="00702217">
        <w:rPr>
          <w:rFonts w:ascii="Calibri" w:hAnsi="Calibri" w:cs="Calibri"/>
          <w:i/>
          <w:iCs/>
          <w:color w:val="000000"/>
          <w:sz w:val="27"/>
          <w:szCs w:val="27"/>
        </w:rPr>
        <w:t>Local action on health inequalities: Building children and young people’s resilience in schools</w:t>
      </w:r>
      <w:r w:rsidR="00702217">
        <w:rPr>
          <w:rFonts w:ascii="Calibri" w:hAnsi="Calibri" w:cs="Calibri"/>
          <w:color w:val="000000"/>
          <w:sz w:val="27"/>
          <w:szCs w:val="27"/>
        </w:rPr>
        <w:t>. [online] Available at: https://assets.publishing.service.gov.uk/government/uploads/system/uploads/attachment_data/file/355766/Review2_Resilience_in_schools_health_inequalities.</w:t>
      </w:r>
      <w:r w:rsidR="001D12FC">
        <w:rPr>
          <w:rFonts w:ascii="Calibri" w:hAnsi="Calibri" w:cs="Calibri"/>
          <w:color w:val="000000"/>
          <w:sz w:val="27"/>
          <w:szCs w:val="27"/>
        </w:rPr>
        <w:t>P</w:t>
      </w:r>
      <w:r w:rsidR="00702217">
        <w:rPr>
          <w:rFonts w:ascii="Calibri" w:hAnsi="Calibri" w:cs="Calibri"/>
          <w:color w:val="000000"/>
          <w:sz w:val="27"/>
          <w:szCs w:val="27"/>
        </w:rPr>
        <w:t>df.</w:t>
      </w:r>
    </w:p>
    <w:p w14:paraId="0B27A67D" w14:textId="77777777" w:rsidR="00C8763D" w:rsidRDefault="00702217" w:rsidP="00C8763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C8763D">
        <w:rPr>
          <w:rFonts w:ascii="Calibri" w:hAnsi="Calibri" w:cs="Calibri"/>
          <w:color w:val="000000"/>
          <w:sz w:val="27"/>
          <w:szCs w:val="27"/>
        </w:rPr>
        <w:t>The Health Foundation. (n.d.). </w:t>
      </w:r>
      <w:r w:rsidR="00C8763D">
        <w:rPr>
          <w:rFonts w:ascii="Calibri" w:hAnsi="Calibri" w:cs="Calibri"/>
          <w:i/>
          <w:iCs/>
          <w:color w:val="000000"/>
          <w:sz w:val="27"/>
          <w:szCs w:val="27"/>
        </w:rPr>
        <w:t>Highlighting the health inequalities faced by young people in the UK</w:t>
      </w:r>
      <w:r w:rsidR="00C8763D">
        <w:rPr>
          <w:rFonts w:ascii="Calibri" w:hAnsi="Calibri" w:cs="Calibri"/>
          <w:color w:val="000000"/>
          <w:sz w:val="27"/>
          <w:szCs w:val="27"/>
        </w:rPr>
        <w:t>. [online] Available at: https://www.health.org.uk/news-and-comment/blogs/highlighting-the-health-inequalities-faced-by-young-people-in-the-uk.</w:t>
      </w:r>
    </w:p>
    <w:p w14:paraId="1988D7D5" w14:textId="77777777" w:rsidR="00647A02" w:rsidRDefault="00647A02" w:rsidP="00D0583D">
      <w:pPr>
        <w:pStyle w:val="NormalWeb"/>
        <w:spacing w:before="0" w:beforeAutospacing="0" w:after="0" w:afterAutospacing="0" w:line="360" w:lineRule="atLeast"/>
        <w:rPr>
          <w:rFonts w:ascii="Calibri" w:hAnsi="Calibri" w:cs="Calibri"/>
          <w:color w:val="000000"/>
          <w:sz w:val="27"/>
          <w:szCs w:val="27"/>
        </w:rPr>
      </w:pPr>
    </w:p>
    <w:p w14:paraId="0F5BD7AF" w14:textId="5BD1C53F" w:rsidR="00D0583D" w:rsidRDefault="00C8763D" w:rsidP="00D0583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D0583D">
        <w:rPr>
          <w:rFonts w:ascii="Calibri" w:hAnsi="Calibri" w:cs="Calibri"/>
          <w:color w:val="000000"/>
          <w:sz w:val="27"/>
          <w:szCs w:val="27"/>
        </w:rPr>
        <w:t>Public Health England (2017). </w:t>
      </w:r>
      <w:r w:rsidR="00D0583D">
        <w:rPr>
          <w:rFonts w:ascii="Calibri" w:hAnsi="Calibri" w:cs="Calibri"/>
          <w:i/>
          <w:iCs/>
          <w:color w:val="000000"/>
          <w:sz w:val="27"/>
          <w:szCs w:val="27"/>
        </w:rPr>
        <w:t>Reducing health inequalities: system, scale and sustainability</w:t>
      </w:r>
      <w:r w:rsidR="00D0583D">
        <w:rPr>
          <w:rFonts w:ascii="Calibri" w:hAnsi="Calibri" w:cs="Calibri"/>
          <w:color w:val="000000"/>
          <w:sz w:val="27"/>
          <w:szCs w:val="27"/>
        </w:rPr>
        <w:t>. [online] Available at: https://assets.publishing.service.gov.uk/government/uploads/system/uploads/attachment_data/file/731682/Reducing_health_inequalities_system_scale_and_sustainability.pdf.</w:t>
      </w:r>
    </w:p>
    <w:p w14:paraId="61722C7D" w14:textId="77777777" w:rsidR="00A93086" w:rsidRDefault="00A93086" w:rsidP="000C6151">
      <w:pPr>
        <w:pStyle w:val="NormalWeb"/>
        <w:spacing w:before="0" w:beforeAutospacing="0" w:after="0" w:afterAutospacing="0" w:line="360" w:lineRule="atLeast"/>
        <w:rPr>
          <w:rFonts w:ascii="Calibri" w:hAnsi="Calibri" w:cs="Calibri"/>
          <w:color w:val="000000"/>
          <w:sz w:val="27"/>
          <w:szCs w:val="27"/>
        </w:rPr>
      </w:pPr>
    </w:p>
    <w:p w14:paraId="238B0568" w14:textId="77777777" w:rsidR="00647A02" w:rsidRDefault="00647A02" w:rsidP="000C6151">
      <w:pPr>
        <w:pStyle w:val="NormalWeb"/>
        <w:spacing w:before="0" w:beforeAutospacing="0" w:after="0" w:afterAutospacing="0" w:line="360" w:lineRule="atLeast"/>
        <w:rPr>
          <w:rFonts w:ascii="Calibri" w:hAnsi="Calibri" w:cs="Calibri"/>
          <w:color w:val="000000"/>
          <w:sz w:val="27"/>
          <w:szCs w:val="27"/>
        </w:rPr>
      </w:pPr>
    </w:p>
    <w:p w14:paraId="6E6CB7BD" w14:textId="77777777" w:rsidR="00647A02" w:rsidRDefault="00647A02" w:rsidP="000C6151">
      <w:pPr>
        <w:pStyle w:val="NormalWeb"/>
        <w:spacing w:before="0" w:beforeAutospacing="0" w:after="0" w:afterAutospacing="0" w:line="360" w:lineRule="atLeast"/>
        <w:rPr>
          <w:rFonts w:ascii="Calibri" w:hAnsi="Calibri" w:cs="Calibri"/>
          <w:color w:val="000000"/>
          <w:sz w:val="27"/>
          <w:szCs w:val="27"/>
        </w:rPr>
      </w:pPr>
    </w:p>
    <w:p w14:paraId="7E73D483" w14:textId="275B237A" w:rsidR="000C6151" w:rsidRDefault="00D0583D" w:rsidP="000C615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0C6151">
        <w:rPr>
          <w:rFonts w:ascii="Calibri" w:hAnsi="Calibri" w:cs="Calibri"/>
          <w:color w:val="000000"/>
          <w:sz w:val="27"/>
          <w:szCs w:val="27"/>
        </w:rPr>
        <w:t>Public Health England (2019). </w:t>
      </w:r>
      <w:r w:rsidR="000C6151">
        <w:rPr>
          <w:rFonts w:ascii="Calibri" w:hAnsi="Calibri" w:cs="Calibri"/>
          <w:i/>
          <w:iCs/>
          <w:color w:val="000000"/>
          <w:sz w:val="27"/>
          <w:szCs w:val="27"/>
        </w:rPr>
        <w:t>Health matters: Prevention - a life course approach</w:t>
      </w:r>
      <w:r w:rsidR="000C6151">
        <w:rPr>
          <w:rFonts w:ascii="Calibri" w:hAnsi="Calibri" w:cs="Calibri"/>
          <w:color w:val="000000"/>
          <w:sz w:val="27"/>
          <w:szCs w:val="27"/>
        </w:rPr>
        <w:t>. [online] GOV.UK. Available at: https://www.gov.uk/government/publications/health-matters-life-course-approach-to-prevention/health-matters-prevention-a-life-course-approach.</w:t>
      </w:r>
    </w:p>
    <w:p w14:paraId="73F1339D" w14:textId="77777777" w:rsidR="00472F92" w:rsidRDefault="00472F92" w:rsidP="00472F92">
      <w:pPr>
        <w:pStyle w:val="NormalWeb"/>
        <w:spacing w:before="0" w:beforeAutospacing="0" w:after="0" w:afterAutospacing="0" w:line="360" w:lineRule="atLeast"/>
        <w:rPr>
          <w:rFonts w:ascii="Calibri" w:hAnsi="Calibri" w:cs="Calibri"/>
          <w:color w:val="000000"/>
          <w:sz w:val="27"/>
          <w:szCs w:val="27"/>
        </w:rPr>
      </w:pPr>
    </w:p>
    <w:p w14:paraId="49CDCD36" w14:textId="2EF479CB" w:rsidR="00472F92" w:rsidRDefault="000C6151" w:rsidP="00472F9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roofErr w:type="spellStart"/>
      <w:r w:rsidR="00472F92">
        <w:rPr>
          <w:rFonts w:ascii="Calibri" w:hAnsi="Calibri" w:cs="Calibri"/>
          <w:color w:val="000000"/>
          <w:sz w:val="27"/>
          <w:szCs w:val="27"/>
        </w:rPr>
        <w:t>StudySmarter</w:t>
      </w:r>
      <w:proofErr w:type="spellEnd"/>
      <w:r w:rsidR="00472F92">
        <w:rPr>
          <w:rFonts w:ascii="Calibri" w:hAnsi="Calibri" w:cs="Calibri"/>
          <w:color w:val="000000"/>
          <w:sz w:val="27"/>
          <w:szCs w:val="27"/>
        </w:rPr>
        <w:t xml:space="preserve"> UK. (n.d.). </w:t>
      </w:r>
      <w:r w:rsidR="00472F92">
        <w:rPr>
          <w:rFonts w:ascii="Calibri" w:hAnsi="Calibri" w:cs="Calibri"/>
          <w:i/>
          <w:iCs/>
          <w:color w:val="000000"/>
          <w:sz w:val="27"/>
          <w:szCs w:val="27"/>
        </w:rPr>
        <w:t xml:space="preserve">Childhood As </w:t>
      </w:r>
      <w:proofErr w:type="gramStart"/>
      <w:r w:rsidR="00472F92">
        <w:rPr>
          <w:rFonts w:ascii="Calibri" w:hAnsi="Calibri" w:cs="Calibri"/>
          <w:i/>
          <w:iCs/>
          <w:color w:val="000000"/>
          <w:sz w:val="27"/>
          <w:szCs w:val="27"/>
        </w:rPr>
        <w:t>A</w:t>
      </w:r>
      <w:proofErr w:type="gramEnd"/>
      <w:r w:rsidR="00472F92">
        <w:rPr>
          <w:rFonts w:ascii="Calibri" w:hAnsi="Calibri" w:cs="Calibri"/>
          <w:i/>
          <w:iCs/>
          <w:color w:val="000000"/>
          <w:sz w:val="27"/>
          <w:szCs w:val="27"/>
        </w:rPr>
        <w:t xml:space="preserve"> Social Construct: Examples &amp; History</w:t>
      </w:r>
      <w:r w:rsidR="00472F92">
        <w:rPr>
          <w:rFonts w:ascii="Calibri" w:hAnsi="Calibri" w:cs="Calibri"/>
          <w:color w:val="000000"/>
          <w:sz w:val="27"/>
          <w:szCs w:val="27"/>
        </w:rPr>
        <w:t>. [online] Available at: https://www.studysmarter.co.uk/explanations/social-studies/families-and-households/childhood-as-a-social-construct/.</w:t>
      </w:r>
    </w:p>
    <w:p w14:paraId="5A46E54D" w14:textId="77777777" w:rsidR="009926C1" w:rsidRDefault="009926C1" w:rsidP="009926C1">
      <w:pPr>
        <w:pStyle w:val="NormalWeb"/>
        <w:spacing w:before="0" w:beforeAutospacing="0" w:after="0" w:afterAutospacing="0" w:line="360" w:lineRule="atLeast"/>
        <w:rPr>
          <w:rFonts w:ascii="Calibri" w:hAnsi="Calibri" w:cs="Calibri"/>
          <w:color w:val="000000"/>
          <w:sz w:val="27"/>
          <w:szCs w:val="27"/>
        </w:rPr>
      </w:pPr>
    </w:p>
    <w:p w14:paraId="2C189346" w14:textId="3A90A641" w:rsidR="009926C1" w:rsidRDefault="00472F92" w:rsidP="009926C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9926C1">
        <w:rPr>
          <w:rFonts w:ascii="Calibri" w:hAnsi="Calibri" w:cs="Calibri"/>
          <w:color w:val="000000"/>
          <w:sz w:val="27"/>
          <w:szCs w:val="27"/>
        </w:rPr>
        <w:t>Roberts, J. (2017). </w:t>
      </w:r>
      <w:r w:rsidR="009926C1">
        <w:rPr>
          <w:rFonts w:ascii="Calibri" w:hAnsi="Calibri" w:cs="Calibri"/>
          <w:i/>
          <w:iCs/>
          <w:color w:val="000000"/>
          <w:sz w:val="27"/>
          <w:szCs w:val="27"/>
        </w:rPr>
        <w:t>Reducing Inequalities in Children and Young People’s Mental Health</w:t>
      </w:r>
      <w:r w:rsidR="009926C1">
        <w:rPr>
          <w:rFonts w:ascii="Calibri" w:hAnsi="Calibri" w:cs="Calibri"/>
          <w:color w:val="000000"/>
          <w:sz w:val="27"/>
          <w:szCs w:val="27"/>
        </w:rPr>
        <w:t>. [online] The King’s Fund. Available at: https://www.kingsfund.org.uk/blog/2017/12/reducing-inequalities-children-young-people-mental-health.</w:t>
      </w:r>
    </w:p>
    <w:p w14:paraId="4C6012E1" w14:textId="77777777" w:rsidR="00EE5115" w:rsidRDefault="00EE5115" w:rsidP="00EE5115">
      <w:pPr>
        <w:pStyle w:val="NormalWeb"/>
        <w:spacing w:before="0" w:beforeAutospacing="0" w:after="0" w:afterAutospacing="0" w:line="360" w:lineRule="atLeast"/>
        <w:rPr>
          <w:rFonts w:ascii="Calibri" w:hAnsi="Calibri" w:cs="Calibri"/>
          <w:color w:val="000000"/>
          <w:sz w:val="27"/>
          <w:szCs w:val="27"/>
        </w:rPr>
      </w:pPr>
    </w:p>
    <w:p w14:paraId="544F91C7" w14:textId="1827DD43" w:rsidR="00EE5115" w:rsidRDefault="009926C1" w:rsidP="00EE511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EE5115">
        <w:rPr>
          <w:rFonts w:ascii="Calibri" w:hAnsi="Calibri" w:cs="Calibri"/>
          <w:color w:val="000000"/>
          <w:sz w:val="27"/>
          <w:szCs w:val="27"/>
        </w:rPr>
        <w:t>Williams, E., Buck, D., Babalola, G. and Maguire, D. (2022). </w:t>
      </w:r>
      <w:r w:rsidR="00EE5115">
        <w:rPr>
          <w:rFonts w:ascii="Calibri" w:hAnsi="Calibri" w:cs="Calibri"/>
          <w:i/>
          <w:iCs/>
          <w:color w:val="000000"/>
          <w:sz w:val="27"/>
          <w:szCs w:val="27"/>
        </w:rPr>
        <w:t>What Are Health inequalities?</w:t>
      </w:r>
      <w:r w:rsidR="00EE5115">
        <w:rPr>
          <w:rFonts w:ascii="Calibri" w:hAnsi="Calibri" w:cs="Calibri"/>
          <w:color w:val="000000"/>
          <w:sz w:val="27"/>
          <w:szCs w:val="27"/>
        </w:rPr>
        <w:t> [online] The King’s Fund. Available at: https://www.kingsfund.org.uk/publications/what-are-health-inequalities.</w:t>
      </w:r>
    </w:p>
    <w:p w14:paraId="725D8C74" w14:textId="1D26F23B" w:rsidR="00833DA3" w:rsidRDefault="00EE5115" w:rsidP="000C2828">
      <w:pPr>
        <w:pStyle w:val="NormalWeb"/>
        <w:rPr>
          <w:rFonts w:ascii="Calibri" w:hAnsi="Calibri" w:cs="Calibri"/>
          <w:color w:val="000000"/>
          <w:sz w:val="27"/>
          <w:szCs w:val="27"/>
        </w:rPr>
      </w:pPr>
      <w:r>
        <w:rPr>
          <w:rFonts w:ascii="Calibri" w:hAnsi="Calibri" w:cs="Calibri"/>
          <w:color w:val="000000"/>
          <w:sz w:val="27"/>
          <w:szCs w:val="27"/>
        </w:rPr>
        <w:t>‌</w:t>
      </w:r>
      <w:r w:rsidR="00833DA3">
        <w:rPr>
          <w:rFonts w:ascii="Calibri" w:hAnsi="Calibri" w:cs="Calibri"/>
          <w:color w:val="000000"/>
          <w:sz w:val="27"/>
          <w:szCs w:val="27"/>
        </w:rPr>
        <w:t>Early Intervention Foundation (2018). </w:t>
      </w:r>
      <w:r w:rsidR="00833DA3">
        <w:rPr>
          <w:rFonts w:ascii="Calibri" w:hAnsi="Calibri" w:cs="Calibri"/>
          <w:i/>
          <w:iCs/>
          <w:color w:val="000000"/>
          <w:sz w:val="27"/>
          <w:szCs w:val="27"/>
        </w:rPr>
        <w:t>What Is Early intervention?</w:t>
      </w:r>
      <w:r w:rsidR="00833DA3">
        <w:rPr>
          <w:rFonts w:ascii="Calibri" w:hAnsi="Calibri" w:cs="Calibri"/>
          <w:color w:val="000000"/>
          <w:sz w:val="27"/>
          <w:szCs w:val="27"/>
        </w:rPr>
        <w:t> [online] Early intervention foundation. Available at: https://www.eif.org.uk/why-it-matters/what-is-early-intervention.</w:t>
      </w:r>
    </w:p>
    <w:p w14:paraId="4F5423AF" w14:textId="77777777" w:rsidR="002E4064" w:rsidRDefault="00833DA3" w:rsidP="002E406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2E4064">
        <w:rPr>
          <w:rFonts w:ascii="Calibri" w:hAnsi="Calibri" w:cs="Calibri"/>
          <w:color w:val="000000"/>
          <w:sz w:val="27"/>
          <w:szCs w:val="27"/>
        </w:rPr>
        <w:t>HM Government (2018). </w:t>
      </w:r>
      <w:r w:rsidR="002E4064">
        <w:rPr>
          <w:rFonts w:ascii="Calibri" w:hAnsi="Calibri" w:cs="Calibri"/>
          <w:i/>
          <w:iCs/>
          <w:color w:val="000000"/>
          <w:sz w:val="27"/>
          <w:szCs w:val="27"/>
        </w:rPr>
        <w:t>Working Together to Safeguard Children Statutory framework: legislation relevant to safeguarding and promoting the welfare of children</w:t>
      </w:r>
      <w:r w:rsidR="002E4064">
        <w:rPr>
          <w:rFonts w:ascii="Calibri" w:hAnsi="Calibri" w:cs="Calibri"/>
          <w:color w:val="000000"/>
          <w:sz w:val="27"/>
          <w:szCs w:val="27"/>
        </w:rPr>
        <w:t>. [online] p.6. Available at: https://assets.publishing.service.gov.uk/government/uploads/system/uploads/attachment_data/file/942455/Working_together_to_safeguard_children_Statutory_framework_legislation_relevant_to_safeguarding_and_promoting_the_welfare_of_children.pdf.</w:t>
      </w:r>
    </w:p>
    <w:p w14:paraId="51EA0168" w14:textId="77777777" w:rsidR="00672115" w:rsidRDefault="00672115" w:rsidP="00672115">
      <w:pPr>
        <w:pStyle w:val="NormalWeb"/>
        <w:spacing w:before="0" w:beforeAutospacing="0" w:after="0" w:afterAutospacing="0" w:line="360" w:lineRule="atLeast"/>
        <w:rPr>
          <w:rFonts w:ascii="Calibri" w:hAnsi="Calibri" w:cs="Calibri"/>
          <w:color w:val="000000"/>
          <w:sz w:val="27"/>
          <w:szCs w:val="27"/>
        </w:rPr>
      </w:pPr>
    </w:p>
    <w:p w14:paraId="2E48439A" w14:textId="7101175B" w:rsidR="00672115" w:rsidRDefault="002E4064" w:rsidP="0067211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672115">
        <w:rPr>
          <w:rFonts w:ascii="Calibri" w:hAnsi="Calibri" w:cs="Calibri"/>
          <w:color w:val="000000"/>
          <w:sz w:val="27"/>
          <w:szCs w:val="27"/>
        </w:rPr>
        <w:t>Grasping the nettle: early intervention for children, families and communities. (2011). [online] Available at: https://www.family-action.org.uk/content/uploads/2014/07/Early-Intervention-Grasping-the-Nettle-Full-Report.pdf.</w:t>
      </w:r>
    </w:p>
    <w:p w14:paraId="255641F0" w14:textId="77777777" w:rsidR="00672115" w:rsidRDefault="00672115" w:rsidP="00672115">
      <w:pPr>
        <w:pStyle w:val="NormalWeb"/>
        <w:rPr>
          <w:rFonts w:ascii="Calibri" w:hAnsi="Calibri" w:cs="Calibri"/>
          <w:color w:val="000000"/>
          <w:sz w:val="27"/>
          <w:szCs w:val="27"/>
        </w:rPr>
      </w:pPr>
      <w:r>
        <w:rPr>
          <w:rFonts w:ascii="Calibri" w:hAnsi="Calibri" w:cs="Calibri"/>
          <w:color w:val="000000"/>
          <w:sz w:val="27"/>
          <w:szCs w:val="27"/>
        </w:rPr>
        <w:t>‌</w:t>
      </w:r>
    </w:p>
    <w:p w14:paraId="41D3D383" w14:textId="792C699A" w:rsidR="00356A56" w:rsidRDefault="00356A56" w:rsidP="002E4064">
      <w:pPr>
        <w:pStyle w:val="NormalWeb"/>
        <w:rPr>
          <w:rFonts w:ascii="Arial" w:hAnsi="Arial" w:cs="Arial"/>
          <w:b/>
          <w:bCs/>
          <w:sz w:val="28"/>
          <w:szCs w:val="28"/>
        </w:rPr>
      </w:pPr>
    </w:p>
    <w:p w14:paraId="4629F44F" w14:textId="528E41F5" w:rsidR="00356A56" w:rsidRDefault="00356A56" w:rsidP="00074402">
      <w:pPr>
        <w:tabs>
          <w:tab w:val="left" w:pos="6540"/>
        </w:tabs>
        <w:spacing w:line="360" w:lineRule="auto"/>
        <w:rPr>
          <w:rFonts w:ascii="Arial" w:hAnsi="Arial" w:cs="Arial"/>
          <w:b/>
          <w:bCs/>
          <w:sz w:val="28"/>
          <w:szCs w:val="28"/>
        </w:rPr>
      </w:pPr>
    </w:p>
    <w:p w14:paraId="368523E1" w14:textId="2CBE3A58" w:rsidR="00356A56" w:rsidRDefault="00356A56" w:rsidP="00074402">
      <w:pPr>
        <w:tabs>
          <w:tab w:val="left" w:pos="6540"/>
        </w:tabs>
        <w:spacing w:line="360" w:lineRule="auto"/>
        <w:rPr>
          <w:rFonts w:ascii="Arial" w:hAnsi="Arial" w:cs="Arial"/>
          <w:b/>
          <w:bCs/>
          <w:sz w:val="28"/>
          <w:szCs w:val="28"/>
        </w:rPr>
      </w:pPr>
    </w:p>
    <w:p w14:paraId="18D10003" w14:textId="24FA35DA" w:rsidR="00356A56" w:rsidRDefault="00356A56" w:rsidP="00074402">
      <w:pPr>
        <w:tabs>
          <w:tab w:val="left" w:pos="6540"/>
        </w:tabs>
        <w:spacing w:line="360" w:lineRule="auto"/>
        <w:rPr>
          <w:rFonts w:ascii="Arial" w:hAnsi="Arial" w:cs="Arial"/>
          <w:b/>
          <w:bCs/>
          <w:sz w:val="28"/>
          <w:szCs w:val="28"/>
        </w:rPr>
      </w:pPr>
    </w:p>
    <w:p w14:paraId="2DF0BFF7" w14:textId="0801436C" w:rsidR="00356A56" w:rsidRDefault="00356A56" w:rsidP="00074402">
      <w:pPr>
        <w:tabs>
          <w:tab w:val="left" w:pos="6540"/>
        </w:tabs>
        <w:spacing w:line="360" w:lineRule="auto"/>
        <w:rPr>
          <w:rFonts w:ascii="Arial" w:hAnsi="Arial" w:cs="Arial"/>
          <w:b/>
          <w:bCs/>
          <w:sz w:val="28"/>
          <w:szCs w:val="28"/>
        </w:rPr>
      </w:pPr>
    </w:p>
    <w:p w14:paraId="33842DCC" w14:textId="70DDC159" w:rsidR="00356A56" w:rsidRDefault="00356A56" w:rsidP="00074402">
      <w:pPr>
        <w:tabs>
          <w:tab w:val="left" w:pos="6540"/>
        </w:tabs>
        <w:spacing w:line="360" w:lineRule="auto"/>
        <w:rPr>
          <w:rFonts w:ascii="Arial" w:hAnsi="Arial" w:cs="Arial"/>
          <w:b/>
          <w:bCs/>
          <w:sz w:val="28"/>
          <w:szCs w:val="28"/>
        </w:rPr>
      </w:pPr>
    </w:p>
    <w:p w14:paraId="064F7629" w14:textId="3174BC11" w:rsidR="00356A56" w:rsidRDefault="00356A56" w:rsidP="00074402">
      <w:pPr>
        <w:tabs>
          <w:tab w:val="left" w:pos="6540"/>
        </w:tabs>
        <w:spacing w:line="360" w:lineRule="auto"/>
        <w:rPr>
          <w:rFonts w:ascii="Arial" w:hAnsi="Arial" w:cs="Arial"/>
          <w:b/>
          <w:bCs/>
          <w:sz w:val="28"/>
          <w:szCs w:val="28"/>
        </w:rPr>
      </w:pPr>
    </w:p>
    <w:p w14:paraId="665FA25A" w14:textId="7DE45027" w:rsidR="00356A56" w:rsidRDefault="00356A56" w:rsidP="00074402">
      <w:pPr>
        <w:tabs>
          <w:tab w:val="left" w:pos="6540"/>
        </w:tabs>
        <w:spacing w:line="360" w:lineRule="auto"/>
        <w:rPr>
          <w:rFonts w:ascii="Arial" w:hAnsi="Arial" w:cs="Arial"/>
          <w:b/>
          <w:bCs/>
          <w:sz w:val="28"/>
          <w:szCs w:val="28"/>
        </w:rPr>
      </w:pPr>
    </w:p>
    <w:p w14:paraId="3AE3D2DE" w14:textId="511D5B4D" w:rsidR="00356A56" w:rsidRDefault="00356A56" w:rsidP="00074402">
      <w:pPr>
        <w:tabs>
          <w:tab w:val="left" w:pos="6540"/>
        </w:tabs>
        <w:spacing w:line="360" w:lineRule="auto"/>
        <w:rPr>
          <w:rFonts w:ascii="Arial" w:hAnsi="Arial" w:cs="Arial"/>
          <w:b/>
          <w:bCs/>
          <w:sz w:val="28"/>
          <w:szCs w:val="28"/>
        </w:rPr>
      </w:pPr>
    </w:p>
    <w:p w14:paraId="6E446BD7" w14:textId="51EA1343" w:rsidR="00356A56" w:rsidRDefault="00356A56" w:rsidP="00074402">
      <w:pPr>
        <w:tabs>
          <w:tab w:val="left" w:pos="6540"/>
        </w:tabs>
        <w:spacing w:line="360" w:lineRule="auto"/>
        <w:rPr>
          <w:rFonts w:ascii="Arial" w:hAnsi="Arial" w:cs="Arial"/>
          <w:b/>
          <w:bCs/>
          <w:sz w:val="28"/>
          <w:szCs w:val="28"/>
        </w:rPr>
      </w:pPr>
    </w:p>
    <w:p w14:paraId="1BF1CA6F" w14:textId="77777777" w:rsidR="00356A56" w:rsidRPr="00964AB3" w:rsidRDefault="00356A56" w:rsidP="00074402">
      <w:pPr>
        <w:tabs>
          <w:tab w:val="left" w:pos="6540"/>
        </w:tabs>
        <w:spacing w:line="360" w:lineRule="auto"/>
        <w:rPr>
          <w:rFonts w:ascii="Arial" w:hAnsi="Arial" w:cs="Arial"/>
          <w:b/>
          <w:bCs/>
          <w:sz w:val="28"/>
          <w:szCs w:val="28"/>
        </w:rPr>
      </w:pPr>
    </w:p>
    <w:p w14:paraId="5B66D125" w14:textId="77777777" w:rsidR="00074402" w:rsidRDefault="00074402" w:rsidP="00074402">
      <w:pPr>
        <w:tabs>
          <w:tab w:val="left" w:pos="6540"/>
        </w:tabs>
        <w:spacing w:line="360" w:lineRule="auto"/>
        <w:rPr>
          <w:rFonts w:ascii="Arial" w:hAnsi="Arial" w:cs="Arial"/>
          <w:sz w:val="28"/>
          <w:szCs w:val="28"/>
        </w:rPr>
      </w:pPr>
    </w:p>
    <w:p w14:paraId="291524A2" w14:textId="6505BFF9" w:rsidR="00074402" w:rsidRDefault="00074402" w:rsidP="00074402">
      <w:pPr>
        <w:tabs>
          <w:tab w:val="left" w:pos="6540"/>
        </w:tabs>
        <w:spacing w:line="360" w:lineRule="auto"/>
        <w:rPr>
          <w:rFonts w:ascii="Arial" w:hAnsi="Arial" w:cs="Arial"/>
          <w:sz w:val="28"/>
          <w:szCs w:val="28"/>
        </w:rPr>
      </w:pPr>
    </w:p>
    <w:sectPr w:rsidR="000744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CCD82" w14:textId="77777777" w:rsidR="00446CDF" w:rsidRDefault="00446CDF" w:rsidP="00446CDF">
      <w:pPr>
        <w:spacing w:after="0" w:line="240" w:lineRule="auto"/>
      </w:pPr>
      <w:r>
        <w:separator/>
      </w:r>
    </w:p>
  </w:endnote>
  <w:endnote w:type="continuationSeparator" w:id="0">
    <w:p w14:paraId="083BC3A0" w14:textId="77777777" w:rsidR="00446CDF" w:rsidRDefault="00446CDF" w:rsidP="00446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4DF9B" w14:textId="77777777" w:rsidR="00446CDF" w:rsidRDefault="00446CDF" w:rsidP="00446CDF">
      <w:pPr>
        <w:spacing w:after="0" w:line="240" w:lineRule="auto"/>
      </w:pPr>
      <w:r>
        <w:separator/>
      </w:r>
    </w:p>
  </w:footnote>
  <w:footnote w:type="continuationSeparator" w:id="0">
    <w:p w14:paraId="41020AFE" w14:textId="77777777" w:rsidR="00446CDF" w:rsidRDefault="00446CDF" w:rsidP="00446C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86299"/>
    <w:multiLevelType w:val="hybridMultilevel"/>
    <w:tmpl w:val="F85459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745C27"/>
    <w:multiLevelType w:val="hybridMultilevel"/>
    <w:tmpl w:val="387C6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7096715">
    <w:abstractNumId w:val="1"/>
  </w:num>
  <w:num w:numId="2" w16cid:durableId="1176456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7916"/>
    <w:rsid w:val="00025267"/>
    <w:rsid w:val="00074402"/>
    <w:rsid w:val="00082524"/>
    <w:rsid w:val="00091782"/>
    <w:rsid w:val="000C2828"/>
    <w:rsid w:val="000C6151"/>
    <w:rsid w:val="00190E2E"/>
    <w:rsid w:val="001D12FC"/>
    <w:rsid w:val="001F2EEA"/>
    <w:rsid w:val="0021224B"/>
    <w:rsid w:val="00216C85"/>
    <w:rsid w:val="00221B44"/>
    <w:rsid w:val="00231E46"/>
    <w:rsid w:val="0027356D"/>
    <w:rsid w:val="00273EDD"/>
    <w:rsid w:val="002B20A9"/>
    <w:rsid w:val="002C3965"/>
    <w:rsid w:val="002E4064"/>
    <w:rsid w:val="002F203F"/>
    <w:rsid w:val="00321C4C"/>
    <w:rsid w:val="003423DD"/>
    <w:rsid w:val="00356A56"/>
    <w:rsid w:val="0037097E"/>
    <w:rsid w:val="003973CE"/>
    <w:rsid w:val="003A29E0"/>
    <w:rsid w:val="003C5219"/>
    <w:rsid w:val="003D043A"/>
    <w:rsid w:val="00421D99"/>
    <w:rsid w:val="00425BC0"/>
    <w:rsid w:val="00446CDF"/>
    <w:rsid w:val="00472F92"/>
    <w:rsid w:val="004851F7"/>
    <w:rsid w:val="004C64A4"/>
    <w:rsid w:val="00525DA0"/>
    <w:rsid w:val="00536B20"/>
    <w:rsid w:val="005C3A5F"/>
    <w:rsid w:val="00631266"/>
    <w:rsid w:val="00642BC8"/>
    <w:rsid w:val="00647A02"/>
    <w:rsid w:val="00672115"/>
    <w:rsid w:val="00702217"/>
    <w:rsid w:val="00711C50"/>
    <w:rsid w:val="0076796A"/>
    <w:rsid w:val="007D7F93"/>
    <w:rsid w:val="007E2433"/>
    <w:rsid w:val="00800EF3"/>
    <w:rsid w:val="00820BAD"/>
    <w:rsid w:val="00822A5B"/>
    <w:rsid w:val="00833DA3"/>
    <w:rsid w:val="00864C17"/>
    <w:rsid w:val="008802E4"/>
    <w:rsid w:val="008A55CB"/>
    <w:rsid w:val="008C2F25"/>
    <w:rsid w:val="009043F1"/>
    <w:rsid w:val="00917C5A"/>
    <w:rsid w:val="00927358"/>
    <w:rsid w:val="00964AB3"/>
    <w:rsid w:val="0097220E"/>
    <w:rsid w:val="00973C0C"/>
    <w:rsid w:val="00980C43"/>
    <w:rsid w:val="009926C1"/>
    <w:rsid w:val="009A1DCF"/>
    <w:rsid w:val="009A2DE2"/>
    <w:rsid w:val="009A6913"/>
    <w:rsid w:val="009B28B0"/>
    <w:rsid w:val="009D1D1E"/>
    <w:rsid w:val="00A035FD"/>
    <w:rsid w:val="00A27E55"/>
    <w:rsid w:val="00A40B7B"/>
    <w:rsid w:val="00A82952"/>
    <w:rsid w:val="00A93086"/>
    <w:rsid w:val="00AB23FF"/>
    <w:rsid w:val="00B528E2"/>
    <w:rsid w:val="00B7655F"/>
    <w:rsid w:val="00BD7E0A"/>
    <w:rsid w:val="00BF5CB2"/>
    <w:rsid w:val="00C13711"/>
    <w:rsid w:val="00C30146"/>
    <w:rsid w:val="00C37ABF"/>
    <w:rsid w:val="00C52637"/>
    <w:rsid w:val="00C566F7"/>
    <w:rsid w:val="00C57D28"/>
    <w:rsid w:val="00C825F1"/>
    <w:rsid w:val="00C8763D"/>
    <w:rsid w:val="00CC7B22"/>
    <w:rsid w:val="00D0583D"/>
    <w:rsid w:val="00D316E4"/>
    <w:rsid w:val="00D3211C"/>
    <w:rsid w:val="00D3410B"/>
    <w:rsid w:val="00D72599"/>
    <w:rsid w:val="00EC6E66"/>
    <w:rsid w:val="00EE5115"/>
    <w:rsid w:val="00EF5B7F"/>
    <w:rsid w:val="00F14109"/>
    <w:rsid w:val="00F43E6D"/>
    <w:rsid w:val="00F83940"/>
    <w:rsid w:val="00FA6FC8"/>
    <w:rsid w:val="00FB24D6"/>
    <w:rsid w:val="00FF7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NormalWeb">
    <w:name w:val="Normal (Web)"/>
    <w:basedOn w:val="Normal"/>
    <w:uiPriority w:val="99"/>
    <w:unhideWhenUsed/>
    <w:rsid w:val="00917C5A"/>
    <w:pPr>
      <w:spacing w:before="100" w:beforeAutospacing="1" w:after="100" w:afterAutospacing="1" w:line="240" w:lineRule="auto"/>
    </w:pPr>
    <w:rPr>
      <w:rFonts w:eastAsia="Times New Roman" w:cs="Times New Roman"/>
      <w:szCs w:val="24"/>
      <w:lang w:eastAsia="en-GB"/>
    </w:rPr>
  </w:style>
  <w:style w:type="paragraph" w:styleId="ListParagraph">
    <w:name w:val="List Paragraph"/>
    <w:basedOn w:val="Normal"/>
    <w:uiPriority w:val="34"/>
    <w:qFormat/>
    <w:rsid w:val="007D7F93"/>
    <w:pPr>
      <w:ind w:left="720"/>
      <w:contextualSpacing/>
    </w:pPr>
  </w:style>
  <w:style w:type="paragraph" w:styleId="Header">
    <w:name w:val="header"/>
    <w:basedOn w:val="Normal"/>
    <w:link w:val="HeaderChar"/>
    <w:uiPriority w:val="99"/>
    <w:unhideWhenUsed/>
    <w:rsid w:val="00446C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CDF"/>
  </w:style>
  <w:style w:type="paragraph" w:styleId="Footer">
    <w:name w:val="footer"/>
    <w:basedOn w:val="Normal"/>
    <w:link w:val="FooterChar"/>
    <w:uiPriority w:val="99"/>
    <w:unhideWhenUsed/>
    <w:rsid w:val="00446C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CDF"/>
  </w:style>
  <w:style w:type="character" w:styleId="Hyperlink">
    <w:name w:val="Hyperlink"/>
    <w:basedOn w:val="DefaultParagraphFont"/>
    <w:uiPriority w:val="99"/>
    <w:unhideWhenUsed/>
    <w:rsid w:val="00421D99"/>
    <w:rPr>
      <w:color w:val="0563C1" w:themeColor="hyperlink"/>
      <w:u w:val="single"/>
    </w:rPr>
  </w:style>
  <w:style w:type="character" w:styleId="UnresolvedMention">
    <w:name w:val="Unresolved Mention"/>
    <w:basedOn w:val="DefaultParagraphFont"/>
    <w:uiPriority w:val="99"/>
    <w:semiHidden/>
    <w:unhideWhenUsed/>
    <w:rsid w:val="00421D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2186">
      <w:bodyDiv w:val="1"/>
      <w:marLeft w:val="0"/>
      <w:marRight w:val="0"/>
      <w:marTop w:val="0"/>
      <w:marBottom w:val="0"/>
      <w:divBdr>
        <w:top w:val="none" w:sz="0" w:space="0" w:color="auto"/>
        <w:left w:val="none" w:sz="0" w:space="0" w:color="auto"/>
        <w:bottom w:val="none" w:sz="0" w:space="0" w:color="auto"/>
        <w:right w:val="none" w:sz="0" w:space="0" w:color="auto"/>
      </w:divBdr>
    </w:div>
    <w:div w:id="29762864">
      <w:bodyDiv w:val="1"/>
      <w:marLeft w:val="0"/>
      <w:marRight w:val="0"/>
      <w:marTop w:val="0"/>
      <w:marBottom w:val="0"/>
      <w:divBdr>
        <w:top w:val="none" w:sz="0" w:space="0" w:color="auto"/>
        <w:left w:val="none" w:sz="0" w:space="0" w:color="auto"/>
        <w:bottom w:val="none" w:sz="0" w:space="0" w:color="auto"/>
        <w:right w:val="none" w:sz="0" w:space="0" w:color="auto"/>
      </w:divBdr>
    </w:div>
    <w:div w:id="45419794">
      <w:bodyDiv w:val="1"/>
      <w:marLeft w:val="0"/>
      <w:marRight w:val="0"/>
      <w:marTop w:val="0"/>
      <w:marBottom w:val="0"/>
      <w:divBdr>
        <w:top w:val="none" w:sz="0" w:space="0" w:color="auto"/>
        <w:left w:val="none" w:sz="0" w:space="0" w:color="auto"/>
        <w:bottom w:val="none" w:sz="0" w:space="0" w:color="auto"/>
        <w:right w:val="none" w:sz="0" w:space="0" w:color="auto"/>
      </w:divBdr>
    </w:div>
    <w:div w:id="56442264">
      <w:bodyDiv w:val="1"/>
      <w:marLeft w:val="0"/>
      <w:marRight w:val="0"/>
      <w:marTop w:val="0"/>
      <w:marBottom w:val="0"/>
      <w:divBdr>
        <w:top w:val="none" w:sz="0" w:space="0" w:color="auto"/>
        <w:left w:val="none" w:sz="0" w:space="0" w:color="auto"/>
        <w:bottom w:val="none" w:sz="0" w:space="0" w:color="auto"/>
        <w:right w:val="none" w:sz="0" w:space="0" w:color="auto"/>
      </w:divBdr>
    </w:div>
    <w:div w:id="394280781">
      <w:bodyDiv w:val="1"/>
      <w:marLeft w:val="0"/>
      <w:marRight w:val="0"/>
      <w:marTop w:val="0"/>
      <w:marBottom w:val="0"/>
      <w:divBdr>
        <w:top w:val="none" w:sz="0" w:space="0" w:color="auto"/>
        <w:left w:val="none" w:sz="0" w:space="0" w:color="auto"/>
        <w:bottom w:val="none" w:sz="0" w:space="0" w:color="auto"/>
        <w:right w:val="none" w:sz="0" w:space="0" w:color="auto"/>
      </w:divBdr>
    </w:div>
    <w:div w:id="416176430">
      <w:bodyDiv w:val="1"/>
      <w:marLeft w:val="0"/>
      <w:marRight w:val="0"/>
      <w:marTop w:val="0"/>
      <w:marBottom w:val="0"/>
      <w:divBdr>
        <w:top w:val="none" w:sz="0" w:space="0" w:color="auto"/>
        <w:left w:val="none" w:sz="0" w:space="0" w:color="auto"/>
        <w:bottom w:val="none" w:sz="0" w:space="0" w:color="auto"/>
        <w:right w:val="none" w:sz="0" w:space="0" w:color="auto"/>
      </w:divBdr>
    </w:div>
    <w:div w:id="483470075">
      <w:bodyDiv w:val="1"/>
      <w:marLeft w:val="0"/>
      <w:marRight w:val="0"/>
      <w:marTop w:val="0"/>
      <w:marBottom w:val="0"/>
      <w:divBdr>
        <w:top w:val="none" w:sz="0" w:space="0" w:color="auto"/>
        <w:left w:val="none" w:sz="0" w:space="0" w:color="auto"/>
        <w:bottom w:val="none" w:sz="0" w:space="0" w:color="auto"/>
        <w:right w:val="none" w:sz="0" w:space="0" w:color="auto"/>
      </w:divBdr>
    </w:div>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607657754">
      <w:bodyDiv w:val="1"/>
      <w:marLeft w:val="0"/>
      <w:marRight w:val="0"/>
      <w:marTop w:val="0"/>
      <w:marBottom w:val="0"/>
      <w:divBdr>
        <w:top w:val="none" w:sz="0" w:space="0" w:color="auto"/>
        <w:left w:val="none" w:sz="0" w:space="0" w:color="auto"/>
        <w:bottom w:val="none" w:sz="0" w:space="0" w:color="auto"/>
        <w:right w:val="none" w:sz="0" w:space="0" w:color="auto"/>
      </w:divBdr>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170408802">
      <w:bodyDiv w:val="1"/>
      <w:marLeft w:val="0"/>
      <w:marRight w:val="0"/>
      <w:marTop w:val="0"/>
      <w:marBottom w:val="0"/>
      <w:divBdr>
        <w:top w:val="none" w:sz="0" w:space="0" w:color="auto"/>
        <w:left w:val="none" w:sz="0" w:space="0" w:color="auto"/>
        <w:bottom w:val="none" w:sz="0" w:space="0" w:color="auto"/>
        <w:right w:val="none" w:sz="0" w:space="0" w:color="auto"/>
      </w:divBdr>
    </w:div>
    <w:div w:id="1183980261">
      <w:bodyDiv w:val="1"/>
      <w:marLeft w:val="0"/>
      <w:marRight w:val="0"/>
      <w:marTop w:val="0"/>
      <w:marBottom w:val="0"/>
      <w:divBdr>
        <w:top w:val="none" w:sz="0" w:space="0" w:color="auto"/>
        <w:left w:val="none" w:sz="0" w:space="0" w:color="auto"/>
        <w:bottom w:val="none" w:sz="0" w:space="0" w:color="auto"/>
        <w:right w:val="none" w:sz="0" w:space="0" w:color="auto"/>
      </w:divBdr>
    </w:div>
    <w:div w:id="1346400253">
      <w:bodyDiv w:val="1"/>
      <w:marLeft w:val="0"/>
      <w:marRight w:val="0"/>
      <w:marTop w:val="0"/>
      <w:marBottom w:val="0"/>
      <w:divBdr>
        <w:top w:val="none" w:sz="0" w:space="0" w:color="auto"/>
        <w:left w:val="none" w:sz="0" w:space="0" w:color="auto"/>
        <w:bottom w:val="none" w:sz="0" w:space="0" w:color="auto"/>
        <w:right w:val="none" w:sz="0" w:space="0" w:color="auto"/>
      </w:divBdr>
    </w:div>
    <w:div w:id="1420371646">
      <w:bodyDiv w:val="1"/>
      <w:marLeft w:val="0"/>
      <w:marRight w:val="0"/>
      <w:marTop w:val="0"/>
      <w:marBottom w:val="0"/>
      <w:divBdr>
        <w:top w:val="none" w:sz="0" w:space="0" w:color="auto"/>
        <w:left w:val="none" w:sz="0" w:space="0" w:color="auto"/>
        <w:bottom w:val="none" w:sz="0" w:space="0" w:color="auto"/>
        <w:right w:val="none" w:sz="0" w:space="0" w:color="auto"/>
      </w:divBdr>
    </w:div>
    <w:div w:id="1424836408">
      <w:bodyDiv w:val="1"/>
      <w:marLeft w:val="0"/>
      <w:marRight w:val="0"/>
      <w:marTop w:val="0"/>
      <w:marBottom w:val="0"/>
      <w:divBdr>
        <w:top w:val="none" w:sz="0" w:space="0" w:color="auto"/>
        <w:left w:val="none" w:sz="0" w:space="0" w:color="auto"/>
        <w:bottom w:val="none" w:sz="0" w:space="0" w:color="auto"/>
        <w:right w:val="none" w:sz="0" w:space="0" w:color="auto"/>
      </w:divBdr>
    </w:div>
    <w:div w:id="1503162850">
      <w:bodyDiv w:val="1"/>
      <w:marLeft w:val="0"/>
      <w:marRight w:val="0"/>
      <w:marTop w:val="0"/>
      <w:marBottom w:val="0"/>
      <w:divBdr>
        <w:top w:val="none" w:sz="0" w:space="0" w:color="auto"/>
        <w:left w:val="none" w:sz="0" w:space="0" w:color="auto"/>
        <w:bottom w:val="none" w:sz="0" w:space="0" w:color="auto"/>
        <w:right w:val="none" w:sz="0" w:space="0" w:color="auto"/>
      </w:divBdr>
    </w:div>
    <w:div w:id="2133669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9" ma:contentTypeDescription="Create a new document." ma:contentTypeScope="" ma:versionID="8e5d543d8eb180997c7292fb5abdd096">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7dd4e367822d6cfcd4dd3d2f3a4c3f85"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5DCF9E-A043-47E8-B81B-984D9DF12695}">
  <ds:schemaRefs>
    <ds:schemaRef ds:uri="d1ca41dc-05f3-4340-86ae-42a3158c68b4"/>
    <ds:schemaRef ds:uri="http://www.w3.org/XML/1998/namespace"/>
    <ds:schemaRef ds:uri="http://schemas.microsoft.com/office/2006/documentManagement/types"/>
    <ds:schemaRef ds:uri="http://schemas.microsoft.com/office/2006/metadata/properties"/>
    <ds:schemaRef ds:uri="http://purl.org/dc/dcmitype/"/>
    <ds:schemaRef ds:uri="http://schemas.microsoft.com/office/infopath/2007/PartnerControls"/>
    <ds:schemaRef ds:uri="http://schemas.openxmlformats.org/package/2006/metadata/core-properties"/>
    <ds:schemaRef ds:uri="0c664b51-63af-4b9d-8d70-3880ca420fc4"/>
    <ds:schemaRef ds:uri="http://purl.org/dc/terms/"/>
    <ds:schemaRef ds:uri="http://purl.org/dc/elements/1.1/"/>
  </ds:schemaRefs>
</ds:datastoreItem>
</file>

<file path=customXml/itemProps2.xml><?xml version="1.0" encoding="utf-8"?>
<ds:datastoreItem xmlns:ds="http://schemas.openxmlformats.org/officeDocument/2006/customXml" ds:itemID="{2B9F3207-17A4-4C65-96D5-097F0430B4BB}">
  <ds:schemaRefs>
    <ds:schemaRef ds:uri="http://schemas.microsoft.com/sharepoint/v3/contenttype/forms"/>
  </ds:schemaRefs>
</ds:datastoreItem>
</file>

<file path=customXml/itemProps3.xml><?xml version="1.0" encoding="utf-8"?>
<ds:datastoreItem xmlns:ds="http://schemas.openxmlformats.org/officeDocument/2006/customXml" ds:itemID="{E6BFD3F9-704E-4223-8C0C-7E9816260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2591</Words>
  <Characters>14774</Characters>
  <Application>Microsoft Office Word</Application>
  <DocSecurity>0</DocSecurity>
  <Lines>123</Lines>
  <Paragraphs>34</Paragraphs>
  <ScaleCrop>false</ScaleCrop>
  <Company/>
  <LinksUpToDate>false</LinksUpToDate>
  <CharactersWithSpaces>17331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Ruth Sene (2029258)</cp:lastModifiedBy>
  <cp:revision>2</cp:revision>
  <dcterms:created xsi:type="dcterms:W3CDTF">2022-12-30T19:29:00Z</dcterms:created>
  <dcterms:modified xsi:type="dcterms:W3CDTF">2022-12-30T19:29:00Z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