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46443" w:rsidRPr="005C5215" w:rsidRDefault="00546443">
      <w:pPr>
        <w:rPr>
          <w:b/>
          <w:sz w:val="24"/>
          <w:u w:val="single"/>
        </w:rPr>
      </w:pPr>
      <w:r w:rsidRPr="005C5215">
        <w:rPr>
          <w:b/>
          <w:sz w:val="24"/>
          <w:u w:val="single"/>
        </w:rPr>
        <w:t>Criminal Law</w:t>
      </w:r>
    </w:p>
    <w:p w:rsidR="00546443" w:rsidRDefault="00546443"/>
    <w:p w:rsidR="00145420" w:rsidRPr="004A1653" w:rsidRDefault="00714385" w:rsidP="004A1653">
      <w:pPr>
        <w:spacing w:line="480" w:lineRule="auto"/>
      </w:pPr>
      <w:r w:rsidRPr="004A1653">
        <w:t xml:space="preserve">The Offences against the Person Act in an old Victorian legislation which has </w:t>
      </w:r>
      <w:r w:rsidR="00CA6C32">
        <w:t xml:space="preserve">been in force for over some 150 years. It has </w:t>
      </w:r>
      <w:r w:rsidRPr="004A1653">
        <w:t xml:space="preserve">since </w:t>
      </w:r>
      <w:r w:rsidR="0055552E" w:rsidRPr="004A1653">
        <w:t>defined</w:t>
      </w:r>
      <w:r w:rsidRPr="004A1653">
        <w:t xml:space="preserve"> many crucial crimes and ha</w:t>
      </w:r>
      <w:r w:rsidR="00BA6627">
        <w:t>s been used to prosecute over 26</w:t>
      </w:r>
      <w:r w:rsidRPr="004A1653">
        <w:t xml:space="preserve">,000 crimes each year. Due to this, many critics has argued that the legislation is in desperate need of reform such as the Lord Chief Justice of England and Wales, the </w:t>
      </w:r>
      <w:proofErr w:type="spellStart"/>
      <w:r w:rsidRPr="004A1653">
        <w:t>Rt</w:t>
      </w:r>
      <w:proofErr w:type="spellEnd"/>
      <w:r w:rsidRPr="004A1653">
        <w:t xml:space="preserve"> Hon the Lord Thomas of </w:t>
      </w:r>
      <w:proofErr w:type="spellStart"/>
      <w:r w:rsidRPr="004A1653">
        <w:t>Cwmgiedd</w:t>
      </w:r>
      <w:proofErr w:type="spellEnd"/>
      <w:r w:rsidRPr="004A1653">
        <w:t xml:space="preserve">. </w:t>
      </w:r>
      <w:r w:rsidR="00CA6C32">
        <w:t xml:space="preserve">Many argue that it lists outdated crimes which are no longer in need and uses archaic language. However, although it has been heavy amended, it has resulted in an incoherent and confusing law with many prosecutions being repealed </w:t>
      </w:r>
      <w:r w:rsidR="00127028">
        <w:t>consequently</w:t>
      </w:r>
      <w:r w:rsidR="00CA6C32">
        <w:t xml:space="preserve"> (Law Commission)</w:t>
      </w:r>
      <w:r w:rsidR="0006298F">
        <w:t xml:space="preserve">. </w:t>
      </w:r>
    </w:p>
    <w:p w:rsidR="006C7E80" w:rsidRPr="004A1653" w:rsidRDefault="006C7E80" w:rsidP="004A1653">
      <w:pPr>
        <w:spacing w:line="480" w:lineRule="auto"/>
      </w:pPr>
    </w:p>
    <w:p w:rsidR="006C7E80" w:rsidRPr="004A1653" w:rsidRDefault="006C7E80" w:rsidP="004A1653">
      <w:pPr>
        <w:spacing w:line="480" w:lineRule="auto"/>
      </w:pPr>
      <w:r w:rsidRPr="004A1653">
        <w:t xml:space="preserve">Despite </w:t>
      </w:r>
      <w:r w:rsidR="00347654" w:rsidRPr="004A1653">
        <w:t xml:space="preserve">the Offence </w:t>
      </w:r>
      <w:proofErr w:type="gramStart"/>
      <w:r w:rsidR="00347654" w:rsidRPr="004A1653">
        <w:t>Against</w:t>
      </w:r>
      <w:proofErr w:type="gramEnd"/>
      <w:r w:rsidR="00347654" w:rsidRPr="004A1653">
        <w:t xml:space="preserve"> the Person Act 1861 setting the foundations for many of the offences, it only tidied up the offences and putting them under one act. Martin and Storey </w:t>
      </w:r>
      <w:r w:rsidR="00670EF4" w:rsidRPr="004A1653">
        <w:t xml:space="preserve">(2015) </w:t>
      </w:r>
      <w:r w:rsidR="00347654" w:rsidRPr="004A1653">
        <w:t>explains that it did not create a coherent set of offences and has therefore lead to more problems. Since then, there has b</w:t>
      </w:r>
      <w:r w:rsidR="002629D9" w:rsidRPr="004A1653">
        <w:t>e</w:t>
      </w:r>
      <w:r w:rsidR="00347654" w:rsidRPr="004A1653">
        <w:t>en numerous proposals for reform such as 1980 where the Criminal Law Revision Committee created recommendations in its 14</w:t>
      </w:r>
      <w:r w:rsidR="00347654" w:rsidRPr="004A1653">
        <w:rPr>
          <w:vertAlign w:val="superscript"/>
        </w:rPr>
        <w:t>th</w:t>
      </w:r>
      <w:r w:rsidR="00347654" w:rsidRPr="004A1653">
        <w:t xml:space="preserve"> Report. </w:t>
      </w:r>
      <w:r w:rsidR="002726D8" w:rsidRPr="004A1653">
        <w:t>Then in 1998 the Home Office released a Consultation Document, “Violence: Reforming the Offence Against the Person Act 1861”. This document demonstrated the issues regarding the legislation such as the lack of coherent and archaisms</w:t>
      </w:r>
      <w:r w:rsidR="00D66110" w:rsidRPr="004A1653">
        <w:t>. Despite the recent agreement that the 1998 possibly</w:t>
      </w:r>
      <w:r w:rsidR="00C906C4" w:rsidRPr="004A1653">
        <w:t xml:space="preserve"> states the best ways of reform</w:t>
      </w:r>
      <w:r w:rsidR="00D66110" w:rsidRPr="004A1653">
        <w:t xml:space="preserve">ing the legislation, Parliament has yet to reform the law. </w:t>
      </w:r>
    </w:p>
    <w:p w:rsidR="006C7E80" w:rsidRDefault="004D593E">
      <w:hyperlink r:id="rId7" w:anchor="v=snippet&amp;q=OAPA&amp;f=false" w:history="1">
        <w:r w:rsidR="006C7E80" w:rsidRPr="008E1A4D">
          <w:rPr>
            <w:rStyle w:val="Hyperlink"/>
          </w:rPr>
          <w:t>https://books.google.co.uk/books?id=k9IqBwAAQBAJ&amp;q=OAPA&amp;source=gbs_word_cloud_r&amp;cad=5#v=snippet&amp;q=OAPA&amp;f=false</w:t>
        </w:r>
      </w:hyperlink>
    </w:p>
    <w:p w:rsidR="006C7E80" w:rsidRDefault="006C7E80"/>
    <w:p w:rsidR="00546443" w:rsidRPr="004A1653" w:rsidRDefault="00546443" w:rsidP="004A1653">
      <w:pPr>
        <w:spacing w:line="480" w:lineRule="auto"/>
      </w:pPr>
      <w:r w:rsidRPr="004A1653">
        <w:t xml:space="preserve">One of many issues with OAPA 1861 </w:t>
      </w:r>
      <w:proofErr w:type="spellStart"/>
      <w:r w:rsidRPr="004A1653">
        <w:t>Eugenicos</w:t>
      </w:r>
      <w:proofErr w:type="spellEnd"/>
      <w:r w:rsidRPr="004A1653">
        <w:t xml:space="preserve"> (2017) argues is the widening gaps between low-level offences and offences that cause bodily harm. For example, assault carries a sentence of 6 months whereas ABH has a 5 year custodial sentence. This then leads to confusion amongst prosecutors regarding what to charge the offender based on the level of injury sustained which leads to a quicker </w:t>
      </w:r>
      <w:r w:rsidRPr="004A1653">
        <w:lastRenderedPageBreak/>
        <w:t xml:space="preserve">and cheaper trial in the magistrates court. Nevertheless, if the defence has caused actual bodily harm, then should be charged appropriately however it may be more expensive as </w:t>
      </w:r>
      <w:r w:rsidR="0006298F">
        <w:t xml:space="preserve">a Crown Court trial. </w:t>
      </w:r>
      <w:proofErr w:type="spellStart"/>
      <w:r w:rsidR="0006298F">
        <w:t>Eugenicos</w:t>
      </w:r>
      <w:proofErr w:type="spellEnd"/>
      <w:r w:rsidR="0006298F">
        <w:t xml:space="preserve"> (</w:t>
      </w:r>
      <w:r w:rsidRPr="004A1653">
        <w:t xml:space="preserve">2017) states that by reforming the Offence </w:t>
      </w:r>
      <w:r w:rsidR="00145420" w:rsidRPr="004A1653">
        <w:t>Against</w:t>
      </w:r>
      <w:r w:rsidRPr="004A1653">
        <w:t xml:space="preserve"> the Person Act 1861, it would improve efficiency and could</w:t>
      </w:r>
      <w:r w:rsidR="00145420" w:rsidRPr="004A1653">
        <w:t xml:space="preserve"> therefore</w:t>
      </w:r>
      <w:r w:rsidRPr="004A1653">
        <w:t xml:space="preserve"> lead to less expenses</w:t>
      </w:r>
      <w:r w:rsidR="00145420" w:rsidRPr="004A1653">
        <w:t xml:space="preserve"> rather than the budgetary cuts it is facing now which could lead to inefficiency. </w:t>
      </w:r>
      <w:r w:rsidR="00E47332" w:rsidRPr="004A1653">
        <w:t xml:space="preserve"> </w:t>
      </w:r>
    </w:p>
    <w:p w:rsidR="00E47332" w:rsidRPr="004A1653" w:rsidRDefault="00E47332" w:rsidP="004A1653">
      <w:pPr>
        <w:spacing w:line="480" w:lineRule="auto"/>
      </w:pPr>
      <w:proofErr w:type="spellStart"/>
      <w:r w:rsidRPr="004A1653">
        <w:t>Eugenicos</w:t>
      </w:r>
      <w:proofErr w:type="spellEnd"/>
      <w:r w:rsidRPr="004A1653">
        <w:t xml:space="preserve"> (2017) also states </w:t>
      </w:r>
      <w:r w:rsidR="00591D60" w:rsidRPr="004A1653">
        <w:t xml:space="preserve">that the language used in the legislation is outdated and disconnected in today’s society and therefore there is lack of understanding concerning what can be prosecuted under which section. </w:t>
      </w:r>
      <w:r w:rsidR="00261E67" w:rsidRPr="004A1653">
        <w:t>Thus,</w:t>
      </w:r>
      <w:r w:rsidR="007741AF" w:rsidRPr="004A1653">
        <w:t xml:space="preserve"> leads to common law expanding what is considered under each se</w:t>
      </w:r>
      <w:r w:rsidR="00627833">
        <w:t>ction. For example, in Ireland v</w:t>
      </w:r>
      <w:r w:rsidR="007741AF" w:rsidRPr="004A1653">
        <w:t xml:space="preserve"> R the defendant made numerous telephone calls to women without speaking. This lead to the defendant being convicted under s. 47 despite the defendant not causing physical bodily harm. It was due to this case that psychiatric illness did constitute as bodily harm despite it not being in the original meaning of the act.  </w:t>
      </w:r>
    </w:p>
    <w:p w:rsidR="00145420" w:rsidRDefault="004D593E">
      <w:hyperlink r:id="rId8" w:history="1">
        <w:r w:rsidR="00145420" w:rsidRPr="003A709B">
          <w:rPr>
            <w:rStyle w:val="Hyperlink"/>
          </w:rPr>
          <w:t>http://journals.sagepub.com/doi/pdf/10.1177/0022018316685478</w:t>
        </w:r>
      </w:hyperlink>
    </w:p>
    <w:p w:rsidR="0055552E" w:rsidRDefault="0055552E"/>
    <w:p w:rsidR="00145420" w:rsidRPr="004A1653" w:rsidRDefault="00714385" w:rsidP="004A1653">
      <w:pPr>
        <w:spacing w:line="480" w:lineRule="auto"/>
      </w:pPr>
      <w:r w:rsidRPr="004A1653">
        <w:t xml:space="preserve">In contrast to this, </w:t>
      </w:r>
      <w:proofErr w:type="spellStart"/>
      <w:r w:rsidRPr="004A1653">
        <w:t>Demetriou</w:t>
      </w:r>
      <w:proofErr w:type="spellEnd"/>
      <w:r w:rsidRPr="004A1653">
        <w:t xml:space="preserve"> (2016) states that the ladder of offences are in desperate need </w:t>
      </w:r>
      <w:r w:rsidR="0055552E" w:rsidRPr="004A1653">
        <w:t xml:space="preserve">of reform. In the current legislation there is a ‘lack of a coherent and structured hierarchy of offences’ within section 47, 20 and 18. Currently there is ambiguity as to what the offences mean and therefore lead to confusion with the hierarchy of offences. </w:t>
      </w:r>
      <w:proofErr w:type="spellStart"/>
      <w:r w:rsidR="0055552E" w:rsidRPr="004A1653">
        <w:t>Demetriou</w:t>
      </w:r>
      <w:proofErr w:type="spellEnd"/>
      <w:r w:rsidR="0055552E" w:rsidRPr="004A1653">
        <w:t xml:space="preserve"> (2016) states that the first issue with this is the maximum sentencing with s</w:t>
      </w:r>
      <w:r w:rsidR="009650CD" w:rsidRPr="004A1653">
        <w:t>ection</w:t>
      </w:r>
      <w:r w:rsidR="0055552E" w:rsidRPr="004A1653">
        <w:t xml:space="preserve"> 20 and 47 as both carry a maximum sentence of 5 years imprisonment  despite that the </w:t>
      </w:r>
      <w:proofErr w:type="spellStart"/>
      <w:r w:rsidR="0055552E" w:rsidRPr="004A1653">
        <w:t>actus</w:t>
      </w:r>
      <w:proofErr w:type="spellEnd"/>
      <w:r w:rsidR="0055552E" w:rsidRPr="004A1653">
        <w:t xml:space="preserve"> </w:t>
      </w:r>
      <w:proofErr w:type="spellStart"/>
      <w:r w:rsidR="0055552E" w:rsidRPr="004A1653">
        <w:t>reus</w:t>
      </w:r>
      <w:proofErr w:type="spellEnd"/>
      <w:r w:rsidR="0055552E" w:rsidRPr="004A1653">
        <w:t xml:space="preserve"> of both are different and that different form of harm are required. Currently ss20 requires a form of GBH which</w:t>
      </w:r>
      <w:r w:rsidR="009650CD" w:rsidRPr="004A1653">
        <w:t xml:space="preserve"> is deemed more serious than section</w:t>
      </w:r>
      <w:r w:rsidR="0055552E" w:rsidRPr="004A1653">
        <w:t xml:space="preserve"> 47 which requires ABH. </w:t>
      </w:r>
      <w:r w:rsidR="00F30F68" w:rsidRPr="004A1653">
        <w:t xml:space="preserve">Due to case law, GBH has been defined as serious broken bones and stabbing due to </w:t>
      </w:r>
      <w:r w:rsidR="00F30F68" w:rsidRPr="004A1653">
        <w:rPr>
          <w:color w:val="FF0000"/>
        </w:rPr>
        <w:t>Taylor (2009)</w:t>
      </w:r>
      <w:r w:rsidR="008E4C81" w:rsidRPr="004A1653">
        <w:rPr>
          <w:color w:val="FF0000"/>
        </w:rPr>
        <w:t xml:space="preserve">. </w:t>
      </w:r>
      <w:r w:rsidR="008E4C81" w:rsidRPr="004A1653">
        <w:t xml:space="preserve">ABH on the other hand </w:t>
      </w:r>
      <w:r w:rsidR="00AD4473" w:rsidRPr="004A1653">
        <w:t xml:space="preserve">refers to when the injuries are ‘more than merely </w:t>
      </w:r>
      <w:r w:rsidR="001D0DCB" w:rsidRPr="004A1653">
        <w:t>transient</w:t>
      </w:r>
      <w:r w:rsidR="00AD4473" w:rsidRPr="004A1653">
        <w:t xml:space="preserve"> and </w:t>
      </w:r>
      <w:r w:rsidR="001D0DCB" w:rsidRPr="004A1653">
        <w:t>trifling</w:t>
      </w:r>
      <w:r w:rsidR="00AD4473" w:rsidRPr="004A1653">
        <w:t xml:space="preserve">’ which include injures such as grazing or bruising. </w:t>
      </w:r>
      <w:r w:rsidR="00D67BC3" w:rsidRPr="004A1653">
        <w:t xml:space="preserve">Although both offences carry the same </w:t>
      </w:r>
      <w:r w:rsidR="001D0DCB" w:rsidRPr="004A1653">
        <w:t>maximum</w:t>
      </w:r>
      <w:r w:rsidR="00D67BC3" w:rsidRPr="004A1653">
        <w:t xml:space="preserve"> penalty, </w:t>
      </w:r>
      <w:proofErr w:type="spellStart"/>
      <w:r w:rsidR="00D67BC3" w:rsidRPr="004A1653">
        <w:t>Demetriou</w:t>
      </w:r>
      <w:proofErr w:type="spellEnd"/>
      <w:r w:rsidR="00D67BC3" w:rsidRPr="004A1653">
        <w:t xml:space="preserve"> (2016)</w:t>
      </w:r>
      <w:r w:rsidR="001D0DCB" w:rsidRPr="004A1653">
        <w:t xml:space="preserve"> states that the courts have continued </w:t>
      </w:r>
      <w:r w:rsidR="001D0DCB" w:rsidRPr="004A1653">
        <w:lastRenderedPageBreak/>
        <w:t xml:space="preserve">to define the hierarchy distinction between the two offences despite the lack of guidance. </w:t>
      </w:r>
      <w:r w:rsidR="000F3E96" w:rsidRPr="004A1653">
        <w:t>However,</w:t>
      </w:r>
      <w:r w:rsidR="001D0DCB" w:rsidRPr="004A1653">
        <w:t xml:space="preserve"> a continued confusion of the laddering of these offences continue. </w:t>
      </w:r>
    </w:p>
    <w:p w:rsidR="001D0DCB" w:rsidRPr="00551B37" w:rsidRDefault="00AE4B0C" w:rsidP="004A1653">
      <w:pPr>
        <w:spacing w:line="480" w:lineRule="auto"/>
        <w:rPr>
          <w:sz w:val="24"/>
        </w:rPr>
      </w:pPr>
      <w:r w:rsidRPr="00551B37">
        <w:rPr>
          <w:sz w:val="24"/>
        </w:rPr>
        <w:t>According to the Commission notes,</w:t>
      </w:r>
      <w:r w:rsidR="001D0DCB" w:rsidRPr="00551B37">
        <w:rPr>
          <w:sz w:val="24"/>
        </w:rPr>
        <w:t xml:space="preserve"> due to </w:t>
      </w:r>
      <w:r w:rsidR="000F3E96" w:rsidRPr="00551B37">
        <w:rPr>
          <w:sz w:val="24"/>
        </w:rPr>
        <w:t>s</w:t>
      </w:r>
      <w:r w:rsidR="009650CD" w:rsidRPr="00551B37">
        <w:rPr>
          <w:sz w:val="24"/>
        </w:rPr>
        <w:t>ection</w:t>
      </w:r>
      <w:r w:rsidR="000F3E96" w:rsidRPr="00551B37">
        <w:rPr>
          <w:sz w:val="24"/>
        </w:rPr>
        <w:t xml:space="preserve"> 20 and 47 carrying the same maximum </w:t>
      </w:r>
      <w:r w:rsidR="000F3E96" w:rsidRPr="0006298F">
        <w:rPr>
          <w:sz w:val="24"/>
          <w:szCs w:val="24"/>
        </w:rPr>
        <w:t xml:space="preserve">penalty, there is a lack of clear definitive in terms of blameworthiness. This apparently can cause uncertainty regarding the bounds of the offences and what type of conduct falls within the boundaries of these offences. </w:t>
      </w:r>
      <w:r w:rsidRPr="0006298F">
        <w:rPr>
          <w:sz w:val="24"/>
          <w:szCs w:val="24"/>
        </w:rPr>
        <w:t>Therefore, the offences should perhaps be labelled correctly as to deliver the correct message to society regarding the nature and blameworthiness such as highlighting that GBH is a more serious crime than ABH.</w:t>
      </w:r>
      <w:r w:rsidRPr="004A1653">
        <w:t xml:space="preserve"> </w:t>
      </w:r>
    </w:p>
    <w:p w:rsidR="0055552E" w:rsidRDefault="004D593E">
      <w:hyperlink r:id="rId9" w:history="1">
        <w:r w:rsidR="0055552E" w:rsidRPr="003A709B">
          <w:rPr>
            <w:rStyle w:val="Hyperlink"/>
          </w:rPr>
          <w:t>http://journals.sagepub.com/doi/pdf/10.1177/0022018316646656</w:t>
        </w:r>
      </w:hyperlink>
    </w:p>
    <w:p w:rsidR="0055552E" w:rsidRDefault="0055552E"/>
    <w:p w:rsidR="000518D9" w:rsidRDefault="000518D9"/>
    <w:p w:rsidR="00C352AD" w:rsidRDefault="0033023F" w:rsidP="00627833">
      <w:pPr>
        <w:spacing w:line="480" w:lineRule="auto"/>
        <w:rPr>
          <w:sz w:val="24"/>
          <w:szCs w:val="24"/>
        </w:rPr>
      </w:pPr>
      <w:proofErr w:type="spellStart"/>
      <w:r w:rsidRPr="0006298F">
        <w:rPr>
          <w:sz w:val="24"/>
          <w:szCs w:val="24"/>
        </w:rPr>
        <w:t>Bowcott</w:t>
      </w:r>
      <w:proofErr w:type="spellEnd"/>
      <w:r w:rsidR="008310B1" w:rsidRPr="0006298F">
        <w:rPr>
          <w:sz w:val="24"/>
          <w:szCs w:val="24"/>
        </w:rPr>
        <w:t xml:space="preserve"> (2016) similarly agrees that the Offence </w:t>
      </w:r>
      <w:proofErr w:type="gramStart"/>
      <w:r w:rsidR="008310B1" w:rsidRPr="0006298F">
        <w:rPr>
          <w:sz w:val="24"/>
          <w:szCs w:val="24"/>
        </w:rPr>
        <w:t>Against</w:t>
      </w:r>
      <w:proofErr w:type="gramEnd"/>
      <w:r w:rsidR="008310B1" w:rsidRPr="0006298F">
        <w:rPr>
          <w:sz w:val="24"/>
          <w:szCs w:val="24"/>
        </w:rPr>
        <w:t xml:space="preserve"> the Persons Act 1861 </w:t>
      </w:r>
      <w:r w:rsidR="00B17D69" w:rsidRPr="0006298F">
        <w:rPr>
          <w:sz w:val="24"/>
          <w:szCs w:val="24"/>
        </w:rPr>
        <w:t>is in need of</w:t>
      </w:r>
      <w:r w:rsidR="008310B1" w:rsidRPr="0006298F">
        <w:rPr>
          <w:sz w:val="24"/>
          <w:szCs w:val="24"/>
        </w:rPr>
        <w:t xml:space="preserve"> reform due to many issues raised. It states that currently there are estimated 26,000 prosecutions each year under this legislation and a further 100,000 for assault. </w:t>
      </w:r>
      <w:r w:rsidRPr="0006298F">
        <w:rPr>
          <w:sz w:val="24"/>
          <w:szCs w:val="24"/>
        </w:rPr>
        <w:t>However, the language the legislation uses is archaic and therefore “notoriously difficult to understand and use”.</w:t>
      </w:r>
      <w:r w:rsidR="00B17D69" w:rsidRPr="0006298F">
        <w:rPr>
          <w:sz w:val="24"/>
          <w:szCs w:val="24"/>
        </w:rPr>
        <w:t xml:space="preserve"> However currently, most assault cases are de</w:t>
      </w:r>
      <w:r w:rsidR="00090A92" w:rsidRPr="0006298F">
        <w:rPr>
          <w:sz w:val="24"/>
          <w:szCs w:val="24"/>
        </w:rPr>
        <w:t>a</w:t>
      </w:r>
      <w:r w:rsidR="00B17D69" w:rsidRPr="0006298F">
        <w:rPr>
          <w:sz w:val="24"/>
          <w:szCs w:val="24"/>
        </w:rPr>
        <w:t xml:space="preserve">lt with by the crown court. </w:t>
      </w:r>
      <w:r w:rsidR="0012265E" w:rsidRPr="0006298F">
        <w:rPr>
          <w:sz w:val="24"/>
          <w:szCs w:val="24"/>
        </w:rPr>
        <w:t xml:space="preserve">It is estimated that 70% of all ABH cases are trialled in the crown court and merely receive a sentence of 12 months or less. </w:t>
      </w:r>
      <w:r w:rsidR="00B17D69" w:rsidRPr="0006298F">
        <w:rPr>
          <w:sz w:val="24"/>
          <w:szCs w:val="24"/>
        </w:rPr>
        <w:t xml:space="preserve">This </w:t>
      </w:r>
      <w:r w:rsidR="00090A92" w:rsidRPr="0006298F">
        <w:rPr>
          <w:sz w:val="24"/>
          <w:szCs w:val="24"/>
        </w:rPr>
        <w:t xml:space="preserve">then leads to a </w:t>
      </w:r>
      <w:r w:rsidR="00B17D69" w:rsidRPr="0006298F">
        <w:rPr>
          <w:sz w:val="24"/>
          <w:szCs w:val="24"/>
        </w:rPr>
        <w:t>costly and slow process for many.</w:t>
      </w:r>
      <w:r w:rsidRPr="0006298F">
        <w:rPr>
          <w:sz w:val="24"/>
          <w:szCs w:val="24"/>
        </w:rPr>
        <w:t xml:space="preserve"> </w:t>
      </w:r>
      <w:proofErr w:type="spellStart"/>
      <w:r w:rsidRPr="0006298F">
        <w:rPr>
          <w:sz w:val="24"/>
          <w:szCs w:val="24"/>
        </w:rPr>
        <w:t>Bowcott</w:t>
      </w:r>
      <w:proofErr w:type="spellEnd"/>
      <w:r w:rsidRPr="0006298F">
        <w:rPr>
          <w:sz w:val="24"/>
          <w:szCs w:val="24"/>
        </w:rPr>
        <w:t xml:space="preserve"> (2016) therefore states that </w:t>
      </w:r>
      <w:r w:rsidR="000518D9" w:rsidRPr="0006298F">
        <w:rPr>
          <w:sz w:val="24"/>
          <w:szCs w:val="24"/>
        </w:rPr>
        <w:t>magistrate’s</w:t>
      </w:r>
      <w:r w:rsidRPr="0006298F">
        <w:rPr>
          <w:sz w:val="24"/>
          <w:szCs w:val="24"/>
        </w:rPr>
        <w:t xml:space="preserve"> courts should have the power to deal with more assault cases r</w:t>
      </w:r>
      <w:r w:rsidR="0012265E" w:rsidRPr="0006298F">
        <w:rPr>
          <w:sz w:val="24"/>
          <w:szCs w:val="24"/>
        </w:rPr>
        <w:t>ather than the crown court</w:t>
      </w:r>
      <w:r w:rsidR="00047986" w:rsidRPr="0006298F">
        <w:rPr>
          <w:sz w:val="24"/>
          <w:szCs w:val="24"/>
        </w:rPr>
        <w:t xml:space="preserve">. </w:t>
      </w:r>
      <w:r w:rsidR="0012265E" w:rsidRPr="0006298F">
        <w:rPr>
          <w:sz w:val="24"/>
          <w:szCs w:val="24"/>
        </w:rPr>
        <w:t xml:space="preserve">It is reported </w:t>
      </w:r>
      <w:r w:rsidRPr="0006298F">
        <w:rPr>
          <w:sz w:val="24"/>
          <w:szCs w:val="24"/>
        </w:rPr>
        <w:t>that under the new aggravated assault charge</w:t>
      </w:r>
      <w:r w:rsidR="005054BD" w:rsidRPr="0006298F">
        <w:rPr>
          <w:sz w:val="24"/>
          <w:szCs w:val="24"/>
        </w:rPr>
        <w:t xml:space="preserve">, cases will only be trialled exclusively in the magistrate’s court. This then would allow “prosecutors to divert low-level injury cases from the more expensive crown court to the magistrate’s court”. </w:t>
      </w:r>
      <w:r w:rsidR="0012265E" w:rsidRPr="0006298F">
        <w:rPr>
          <w:sz w:val="24"/>
          <w:szCs w:val="24"/>
        </w:rPr>
        <w:t xml:space="preserve">It would lead to a less costly trial whilst also speeding up </w:t>
      </w:r>
      <w:r w:rsidR="0039039A" w:rsidRPr="0006298F">
        <w:rPr>
          <w:sz w:val="24"/>
          <w:szCs w:val="24"/>
        </w:rPr>
        <w:t>t</w:t>
      </w:r>
      <w:r w:rsidR="0012265E" w:rsidRPr="0006298F">
        <w:rPr>
          <w:sz w:val="24"/>
          <w:szCs w:val="24"/>
        </w:rPr>
        <w:t>he process.</w:t>
      </w:r>
    </w:p>
    <w:p w:rsidR="00813AAD" w:rsidRDefault="004D593E">
      <w:hyperlink r:id="rId10" w:history="1">
        <w:r w:rsidR="006A6F22" w:rsidRPr="008E1A4D">
          <w:rPr>
            <w:rStyle w:val="Hyperlink"/>
          </w:rPr>
          <w:t>https://www.theg</w:t>
        </w:r>
        <w:r w:rsidR="006A6F22" w:rsidRPr="008E1A4D">
          <w:rPr>
            <w:rStyle w:val="Hyperlink"/>
          </w:rPr>
          <w:t>u</w:t>
        </w:r>
        <w:r w:rsidR="006A6F22" w:rsidRPr="008E1A4D">
          <w:rPr>
            <w:rStyle w:val="Hyperlink"/>
          </w:rPr>
          <w:t>ardian.com/law/2015/nov/03/let-magistrates-deal-more-assault-cases-law-reform-body</w:t>
        </w:r>
      </w:hyperlink>
    </w:p>
    <w:p w:rsidR="0096231E" w:rsidRDefault="0096231E" w:rsidP="0096231E">
      <w:pPr>
        <w:spacing w:line="480" w:lineRule="auto"/>
        <w:rPr>
          <w:sz w:val="24"/>
          <w:szCs w:val="24"/>
        </w:rPr>
      </w:pPr>
    </w:p>
    <w:p w:rsidR="006A6F22" w:rsidRDefault="00627833" w:rsidP="0096231E">
      <w:pPr>
        <w:spacing w:line="480" w:lineRule="auto"/>
      </w:pPr>
      <w:r>
        <w:rPr>
          <w:sz w:val="24"/>
          <w:szCs w:val="24"/>
        </w:rPr>
        <w:t xml:space="preserve">Despite the vocal need for reforming the Offence </w:t>
      </w:r>
      <w:proofErr w:type="gramStart"/>
      <w:r>
        <w:rPr>
          <w:sz w:val="24"/>
          <w:szCs w:val="24"/>
        </w:rPr>
        <w:t>Against</w:t>
      </w:r>
      <w:proofErr w:type="gramEnd"/>
      <w:r>
        <w:rPr>
          <w:sz w:val="24"/>
          <w:szCs w:val="24"/>
        </w:rPr>
        <w:t xml:space="preserve"> the Person Act 1861, Gardner </w:t>
      </w:r>
      <w:r w:rsidR="005B09B9">
        <w:rPr>
          <w:sz w:val="24"/>
          <w:szCs w:val="24"/>
        </w:rPr>
        <w:t xml:space="preserve">(1994) </w:t>
      </w:r>
      <w:r>
        <w:rPr>
          <w:sz w:val="24"/>
          <w:szCs w:val="24"/>
        </w:rPr>
        <w:t xml:space="preserve">disagrees that it is in need of reform. Gardner argues that neither cases against the legislation yields a compelling case. Instead, the Law Commission presents deficiencies in the legislation are not a main concern and as such by “mistaking the problem, is to mistake the solution”. Therefore, could do more damage to the law rather than improving. Gardner </w:t>
      </w:r>
      <w:r w:rsidR="005B09B9">
        <w:rPr>
          <w:sz w:val="24"/>
          <w:szCs w:val="24"/>
        </w:rPr>
        <w:t xml:space="preserve">(1994) </w:t>
      </w:r>
      <w:r>
        <w:rPr>
          <w:sz w:val="24"/>
          <w:szCs w:val="24"/>
        </w:rPr>
        <w:t>also disagrees that the distinction between section 47, 18 and 20 are not</w:t>
      </w:r>
      <w:r w:rsidR="005B09B9">
        <w:rPr>
          <w:sz w:val="24"/>
          <w:szCs w:val="24"/>
        </w:rPr>
        <w:t xml:space="preserve"> that difficult to understand as s</w:t>
      </w:r>
      <w:r>
        <w:rPr>
          <w:sz w:val="24"/>
          <w:szCs w:val="24"/>
        </w:rPr>
        <w:t>ection 20 must be seen as the “basic offence and infliction the basic mode of causation”</w:t>
      </w:r>
      <w:bookmarkStart w:id="0" w:name="_GoBack"/>
      <w:bookmarkEnd w:id="0"/>
    </w:p>
    <w:p w:rsidR="0096231E" w:rsidRDefault="0096231E" w:rsidP="0096231E">
      <w:hyperlink r:id="rId11" w:anchor="page_scan_tab_contents" w:history="1">
        <w:r w:rsidRPr="001D4084">
          <w:rPr>
            <w:rStyle w:val="Hyperlink"/>
          </w:rPr>
          <w:t>https://www.jstor.org/stable/4507992?seq=3#page_scan_tab_contents</w:t>
        </w:r>
      </w:hyperlink>
    </w:p>
    <w:p w:rsidR="00627833" w:rsidRDefault="00627833" w:rsidP="004A1653">
      <w:pPr>
        <w:spacing w:line="480" w:lineRule="auto"/>
      </w:pPr>
    </w:p>
    <w:p w:rsidR="005930CC" w:rsidRDefault="00145420" w:rsidP="00627833">
      <w:pPr>
        <w:spacing w:line="480" w:lineRule="auto"/>
      </w:pPr>
      <w:r w:rsidRPr="004A1653">
        <w:t xml:space="preserve">1998 Draft Bill </w:t>
      </w:r>
    </w:p>
    <w:p w:rsidR="009650CD" w:rsidRDefault="009650CD">
      <w:pPr>
        <w:rPr>
          <w:color w:val="FF0000"/>
        </w:rPr>
      </w:pPr>
    </w:p>
    <w:p w:rsidR="00CC2EA2" w:rsidRDefault="00631213" w:rsidP="004A1653">
      <w:pPr>
        <w:spacing w:line="480" w:lineRule="auto"/>
        <w:rPr>
          <w:color w:val="000000" w:themeColor="text1"/>
          <w:sz w:val="24"/>
          <w:szCs w:val="24"/>
        </w:rPr>
      </w:pPr>
      <w:r w:rsidRPr="00B33F61">
        <w:rPr>
          <w:color w:val="000000" w:themeColor="text1"/>
          <w:sz w:val="24"/>
          <w:szCs w:val="24"/>
        </w:rPr>
        <w:t xml:space="preserve">Due to the numerous amount of agreement amongst academics, the Ministry of Justice requested that the Law Commission investigated the legislation and provide a scoping paper. The Law Commission concluded that the best course would be to base the numerous reforms on work that had previously been done, in particular the 1998 draft Bill. Jackson and Storey (2015) states </w:t>
      </w:r>
      <w:r w:rsidR="00427FED" w:rsidRPr="00B33F61">
        <w:rPr>
          <w:color w:val="000000" w:themeColor="text1"/>
          <w:sz w:val="24"/>
          <w:szCs w:val="24"/>
        </w:rPr>
        <w:t xml:space="preserve">that the current section 47, 18 and 20 would be replaced instead with clauses 1,2,3,4 and would also replace any common law offences of assault and battery and therefore restrict the amount of confusion regarding the offences. </w:t>
      </w:r>
      <w:r w:rsidR="00F90F6F" w:rsidRPr="00B33F61">
        <w:rPr>
          <w:color w:val="000000" w:themeColor="text1"/>
          <w:sz w:val="24"/>
          <w:szCs w:val="24"/>
        </w:rPr>
        <w:t xml:space="preserve">Furthermore, the Law </w:t>
      </w:r>
      <w:r w:rsidR="008012B1" w:rsidRPr="00B33F61">
        <w:rPr>
          <w:color w:val="000000" w:themeColor="text1"/>
          <w:sz w:val="24"/>
          <w:szCs w:val="24"/>
        </w:rPr>
        <w:t>Commission</w:t>
      </w:r>
      <w:r w:rsidR="00F90F6F" w:rsidRPr="00B33F61">
        <w:rPr>
          <w:color w:val="000000" w:themeColor="text1"/>
          <w:sz w:val="24"/>
          <w:szCs w:val="24"/>
        </w:rPr>
        <w:t xml:space="preserve"> has identified that the mental elements of most offences </w:t>
      </w:r>
      <w:r w:rsidR="008012B1" w:rsidRPr="00B33F61">
        <w:rPr>
          <w:color w:val="000000" w:themeColor="text1"/>
          <w:sz w:val="24"/>
          <w:szCs w:val="24"/>
        </w:rPr>
        <w:t>do</w:t>
      </w:r>
      <w:r w:rsidR="00F90F6F" w:rsidRPr="00B33F61">
        <w:rPr>
          <w:color w:val="000000" w:themeColor="text1"/>
          <w:sz w:val="24"/>
          <w:szCs w:val="24"/>
        </w:rPr>
        <w:t xml:space="preserve"> not reflect the offences such as the defendant did foresee the </w:t>
      </w:r>
      <w:r w:rsidR="008012B1" w:rsidRPr="00B33F61">
        <w:rPr>
          <w:color w:val="000000" w:themeColor="text1"/>
          <w:sz w:val="24"/>
          <w:szCs w:val="24"/>
        </w:rPr>
        <w:t>c</w:t>
      </w:r>
      <w:r w:rsidR="00F90F6F" w:rsidRPr="00B33F61">
        <w:rPr>
          <w:color w:val="000000" w:themeColor="text1"/>
          <w:sz w:val="24"/>
          <w:szCs w:val="24"/>
        </w:rPr>
        <w:t xml:space="preserve">onsequence being more severe than </w:t>
      </w:r>
      <w:r w:rsidR="00F90F6F" w:rsidRPr="00B33F61">
        <w:rPr>
          <w:color w:val="000000" w:themeColor="text1"/>
          <w:sz w:val="24"/>
          <w:szCs w:val="24"/>
        </w:rPr>
        <w:lastRenderedPageBreak/>
        <w:t xml:space="preserve">perhaps intended. As such, the 1998 draft would perhaps be more favourable as it </w:t>
      </w:r>
      <w:r w:rsidR="008012B1" w:rsidRPr="00B33F61">
        <w:rPr>
          <w:color w:val="000000" w:themeColor="text1"/>
          <w:sz w:val="24"/>
          <w:szCs w:val="24"/>
        </w:rPr>
        <w:t>harmonizes with correspondence principle.</w:t>
      </w:r>
      <w:r w:rsidR="00B33F61">
        <w:rPr>
          <w:color w:val="000000" w:themeColor="text1"/>
          <w:sz w:val="24"/>
          <w:szCs w:val="24"/>
        </w:rPr>
        <w:t xml:space="preserve"> </w:t>
      </w:r>
    </w:p>
    <w:p w:rsidR="00CC2EA2" w:rsidRDefault="00CC2EA2" w:rsidP="00CC2EA2">
      <w:pPr>
        <w:rPr>
          <w:rStyle w:val="Hyperlink"/>
        </w:rPr>
      </w:pPr>
      <w:hyperlink r:id="rId12" w:history="1">
        <w:r w:rsidRPr="000E0A99">
          <w:rPr>
            <w:rStyle w:val="Hyperlink"/>
          </w:rPr>
          <w:t>http://journals.sagepub.com.ezproxy.uwtsd.ac.uk/doi/pdf/10.1177/0022018315617583</w:t>
        </w:r>
      </w:hyperlink>
    </w:p>
    <w:p w:rsidR="00CC2EA2" w:rsidRDefault="00CC2EA2" w:rsidP="004A1653">
      <w:pPr>
        <w:spacing w:line="480" w:lineRule="auto"/>
        <w:rPr>
          <w:color w:val="000000" w:themeColor="text1"/>
          <w:sz w:val="24"/>
          <w:szCs w:val="24"/>
        </w:rPr>
      </w:pPr>
    </w:p>
    <w:p w:rsidR="00DF4A82" w:rsidRPr="00B33F61" w:rsidRDefault="00B33F61" w:rsidP="004A1653">
      <w:pPr>
        <w:spacing w:line="480" w:lineRule="auto"/>
        <w:rPr>
          <w:color w:val="000000" w:themeColor="text1"/>
          <w:sz w:val="24"/>
          <w:szCs w:val="24"/>
        </w:rPr>
      </w:pPr>
      <w:r>
        <w:rPr>
          <w:color w:val="000000" w:themeColor="text1"/>
          <w:sz w:val="24"/>
          <w:szCs w:val="24"/>
        </w:rPr>
        <w:t xml:space="preserve">Despite this, the Law Commission explains that despite the new legislation containing a “logical hierarchy of offences” there would remain one defect that is seen in the current law now. The gap between the lowest level offences </w:t>
      </w:r>
      <w:r w:rsidR="00CC2EA2">
        <w:rPr>
          <w:color w:val="000000" w:themeColor="text1"/>
          <w:sz w:val="24"/>
          <w:szCs w:val="24"/>
        </w:rPr>
        <w:t xml:space="preserve">would remain. Therefore, the issue between a speedy and cheap trial in the </w:t>
      </w:r>
      <w:r w:rsidR="0009040C">
        <w:rPr>
          <w:color w:val="000000" w:themeColor="text1"/>
          <w:sz w:val="24"/>
          <w:szCs w:val="24"/>
        </w:rPr>
        <w:t>magistrate’s</w:t>
      </w:r>
      <w:r w:rsidR="00CC2EA2">
        <w:rPr>
          <w:color w:val="000000" w:themeColor="text1"/>
          <w:sz w:val="24"/>
          <w:szCs w:val="24"/>
        </w:rPr>
        <w:t xml:space="preserve"> court or charging an offence which reflects the harm however expensive as would a Crown Court trail remains. As a solution, the Law Commission recommend as </w:t>
      </w:r>
      <w:proofErr w:type="spellStart"/>
      <w:r w:rsidR="00CC2EA2">
        <w:rPr>
          <w:color w:val="000000" w:themeColor="text1"/>
          <w:sz w:val="24"/>
          <w:szCs w:val="24"/>
        </w:rPr>
        <w:t>Bowcott</w:t>
      </w:r>
      <w:proofErr w:type="spellEnd"/>
      <w:r w:rsidR="00CC2EA2">
        <w:rPr>
          <w:color w:val="000000" w:themeColor="text1"/>
          <w:sz w:val="24"/>
          <w:szCs w:val="24"/>
        </w:rPr>
        <w:t xml:space="preserve"> (2016) stated that adding a “new summary-only offence of aggravated assault” which would be triable in the magistrates court with a maximum a 12 months. </w:t>
      </w:r>
      <w:r w:rsidR="0009040C">
        <w:rPr>
          <w:color w:val="000000" w:themeColor="text1"/>
          <w:sz w:val="24"/>
          <w:szCs w:val="24"/>
        </w:rPr>
        <w:t xml:space="preserve">This may lead to correct charges on offences which deem more than assault but do not deem an excessive sentence. </w:t>
      </w:r>
    </w:p>
    <w:p w:rsidR="00CC2EA2" w:rsidRDefault="00CC2EA2" w:rsidP="00CC2EA2">
      <w:hyperlink r:id="rId13" w:history="1">
        <w:r w:rsidRPr="008E1A4D">
          <w:rPr>
            <w:rStyle w:val="Hyperlink"/>
          </w:rPr>
          <w:t>https://www.lawcom.gov.uk/project/offences-against-the-person/</w:t>
        </w:r>
      </w:hyperlink>
    </w:p>
    <w:p w:rsidR="00CC2EA2" w:rsidRDefault="00CC2EA2"/>
    <w:p w:rsidR="00261E67" w:rsidRDefault="00261E67"/>
    <w:p w:rsidR="00627833" w:rsidRPr="0006298F" w:rsidRDefault="00627833" w:rsidP="00627833">
      <w:pPr>
        <w:spacing w:line="480" w:lineRule="auto"/>
        <w:rPr>
          <w:sz w:val="24"/>
        </w:rPr>
      </w:pPr>
      <w:r w:rsidRPr="0006298F">
        <w:rPr>
          <w:sz w:val="24"/>
        </w:rPr>
        <w:t>Law</w:t>
      </w:r>
      <w:r w:rsidRPr="004A1653">
        <w:t xml:space="preserve"> </w:t>
      </w:r>
      <w:r w:rsidRPr="0006298F">
        <w:rPr>
          <w:sz w:val="24"/>
        </w:rPr>
        <w:t>Commission explains one way which the 1861 legislation is change by the 1998 draft Bill is expanding the offence of threats to kill to threats to cause serious injury. It is also recommended that the repeal of 25 offences be decreased and develop into 15 new offences.</w:t>
      </w:r>
    </w:p>
    <w:p w:rsidR="00627833" w:rsidRDefault="00627833" w:rsidP="00627833">
      <w:hyperlink r:id="rId14" w:history="1">
        <w:r w:rsidRPr="008E1A4D">
          <w:rPr>
            <w:rStyle w:val="Hyperlink"/>
          </w:rPr>
          <w:t>https://www.lawcom.gov.uk/project/offences-against-the-person/</w:t>
        </w:r>
      </w:hyperlink>
    </w:p>
    <w:p w:rsidR="00627833" w:rsidRDefault="00627833"/>
    <w:p w:rsidR="00261E67" w:rsidRDefault="00261E67">
      <w:r>
        <w:br w:type="page"/>
      </w:r>
    </w:p>
    <w:p w:rsidR="00E8789A" w:rsidRPr="00DA40EC" w:rsidRDefault="00261E67">
      <w:pPr>
        <w:rPr>
          <w:b/>
          <w:sz w:val="28"/>
          <w:u w:val="single"/>
        </w:rPr>
      </w:pPr>
      <w:r w:rsidRPr="00DA40EC">
        <w:rPr>
          <w:b/>
          <w:sz w:val="28"/>
          <w:u w:val="single"/>
        </w:rPr>
        <w:lastRenderedPageBreak/>
        <w:t>References</w:t>
      </w:r>
    </w:p>
    <w:p w:rsidR="00261E67" w:rsidRDefault="00261E67"/>
    <w:p w:rsidR="00261E67" w:rsidRPr="0039039A" w:rsidRDefault="00261E67">
      <w:pPr>
        <w:rPr>
          <w:sz w:val="24"/>
        </w:rPr>
      </w:pPr>
      <w:proofErr w:type="spellStart"/>
      <w:r w:rsidRPr="0039039A">
        <w:rPr>
          <w:sz w:val="24"/>
        </w:rPr>
        <w:t>Eugenicos</w:t>
      </w:r>
      <w:proofErr w:type="spellEnd"/>
      <w:r w:rsidR="00706C31" w:rsidRPr="0039039A">
        <w:rPr>
          <w:sz w:val="24"/>
        </w:rPr>
        <w:t>, A (2017) Should We Reform the Offences Against the Person Act 1861</w:t>
      </w:r>
      <w:proofErr w:type="gramStart"/>
      <w:r w:rsidR="00706C31" w:rsidRPr="0039039A">
        <w:rPr>
          <w:sz w:val="24"/>
        </w:rPr>
        <w:t>?,</w:t>
      </w:r>
      <w:proofErr w:type="gramEnd"/>
      <w:r w:rsidR="00706C31" w:rsidRPr="0039039A">
        <w:rPr>
          <w:sz w:val="24"/>
        </w:rPr>
        <w:t xml:space="preserve"> </w:t>
      </w:r>
      <w:r w:rsidR="00706C31" w:rsidRPr="0039039A">
        <w:rPr>
          <w:sz w:val="24"/>
          <w:u w:val="single"/>
        </w:rPr>
        <w:t>The Journal of Criminal Law</w:t>
      </w:r>
      <w:r w:rsidR="00706C31" w:rsidRPr="0039039A">
        <w:rPr>
          <w:sz w:val="24"/>
        </w:rPr>
        <w:t>, Vol 81 (1), pp 26-32</w:t>
      </w:r>
    </w:p>
    <w:p w:rsidR="001E7074" w:rsidRPr="0039039A" w:rsidRDefault="001E7074" w:rsidP="001E7074">
      <w:pPr>
        <w:rPr>
          <w:sz w:val="24"/>
        </w:rPr>
      </w:pPr>
      <w:r w:rsidRPr="0039039A">
        <w:rPr>
          <w:sz w:val="24"/>
        </w:rPr>
        <w:t xml:space="preserve">Martin, J., Storey, T (2015) </w:t>
      </w:r>
      <w:r w:rsidRPr="0039039A">
        <w:rPr>
          <w:sz w:val="24"/>
          <w:u w:val="single"/>
        </w:rPr>
        <w:t>Unlocking Criminal Law</w:t>
      </w:r>
      <w:r w:rsidRPr="0039039A">
        <w:rPr>
          <w:sz w:val="24"/>
        </w:rPr>
        <w:t>, 5</w:t>
      </w:r>
      <w:r w:rsidRPr="0039039A">
        <w:rPr>
          <w:sz w:val="24"/>
          <w:vertAlign w:val="superscript"/>
        </w:rPr>
        <w:t>th</w:t>
      </w:r>
      <w:r w:rsidRPr="0039039A">
        <w:rPr>
          <w:sz w:val="24"/>
        </w:rPr>
        <w:t xml:space="preserve"> Ed., Routledge</w:t>
      </w:r>
    </w:p>
    <w:p w:rsidR="00706C31" w:rsidRDefault="00706C31"/>
    <w:p w:rsidR="00261E67" w:rsidRDefault="00261E67"/>
    <w:p w:rsidR="00261E67" w:rsidRDefault="004D593E">
      <w:hyperlink r:id="rId15" w:history="1">
        <w:r w:rsidR="001B5B83" w:rsidRPr="00033C15">
          <w:rPr>
            <w:rStyle w:val="Hyperlink"/>
          </w:rPr>
          <w:t>http://www.telegraph.co.uk/news/uknews/crime/11970872/Reform-violent-crime-laws-and-re-name-GBH-and-ABH-offences-say-experts.html</w:t>
        </w:r>
      </w:hyperlink>
    </w:p>
    <w:p w:rsidR="008F7635" w:rsidRDefault="008F7635"/>
    <w:sectPr w:rsidR="008F7635">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C5215" w:rsidRDefault="005C5215" w:rsidP="005C5215">
      <w:pPr>
        <w:spacing w:after="0" w:line="240" w:lineRule="auto"/>
      </w:pPr>
      <w:r>
        <w:separator/>
      </w:r>
    </w:p>
  </w:endnote>
  <w:endnote w:type="continuationSeparator" w:id="0">
    <w:p w:rsidR="005C5215" w:rsidRDefault="005C5215" w:rsidP="005C52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85344068"/>
      <w:docPartObj>
        <w:docPartGallery w:val="Page Numbers (Bottom of Page)"/>
        <w:docPartUnique/>
      </w:docPartObj>
    </w:sdtPr>
    <w:sdtEndPr/>
    <w:sdtContent>
      <w:p w:rsidR="005C5215" w:rsidRDefault="005C5215">
        <w:pPr>
          <w:pStyle w:val="Footer"/>
        </w:pPr>
        <w:r>
          <w:rPr>
            <w:noProof/>
            <w:lang w:eastAsia="en-GB"/>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rsidR="005C5215" w:rsidRDefault="005C5215">
                              <w:pPr>
                                <w:jc w:val="center"/>
                              </w:pPr>
                              <w:r>
                                <w:fldChar w:fldCharType="begin"/>
                              </w:r>
                              <w:r>
                                <w:instrText xml:space="preserve"> PAGE    \* MERGEFORMAT </w:instrText>
                              </w:r>
                              <w:r>
                                <w:fldChar w:fldCharType="separate"/>
                              </w:r>
                              <w:r w:rsidR="004D593E">
                                <w:rPr>
                                  <w:noProof/>
                                </w:rPr>
                                <w:t>6</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filled="t" strokecolor="gray" strokeweight="2.25pt">
                  <v:textbox inset=",0,,0">
                    <w:txbxContent>
                      <w:p w:rsidR="005C5215" w:rsidRDefault="005C5215">
                        <w:pPr>
                          <w:jc w:val="center"/>
                        </w:pPr>
                        <w:r>
                          <w:fldChar w:fldCharType="begin"/>
                        </w:r>
                        <w:r>
                          <w:instrText xml:space="preserve"> PAGE    \* MERGEFORMAT </w:instrText>
                        </w:r>
                        <w:r>
                          <w:fldChar w:fldCharType="separate"/>
                        </w:r>
                        <w:r w:rsidR="004D593E">
                          <w:rPr>
                            <w:noProof/>
                          </w:rPr>
                          <w:t>6</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098852D7"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cU4uoy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C5215" w:rsidRDefault="005C5215" w:rsidP="005C5215">
      <w:pPr>
        <w:spacing w:after="0" w:line="240" w:lineRule="auto"/>
      </w:pPr>
      <w:r>
        <w:separator/>
      </w:r>
    </w:p>
  </w:footnote>
  <w:footnote w:type="continuationSeparator" w:id="0">
    <w:p w:rsidR="005C5215" w:rsidRDefault="005C5215" w:rsidP="005C52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5215" w:rsidRDefault="005C5215">
    <w:pPr>
      <w:pBdr>
        <w:left w:val="single" w:sz="12" w:space="11" w:color="5B9BD5" w:themeColor="accent1"/>
      </w:pBdr>
      <w:tabs>
        <w:tab w:val="left" w:pos="3620"/>
        <w:tab w:val="left" w:pos="3964"/>
      </w:tabs>
      <w:spacing w:after="0"/>
      <w:rPr>
        <w:rFonts w:asciiTheme="majorHAnsi" w:eastAsiaTheme="majorEastAsia" w:hAnsiTheme="majorHAnsi" w:cstheme="majorBidi"/>
        <w:color w:val="2E74B5" w:themeColor="accent1" w:themeShade="BF"/>
        <w:sz w:val="26"/>
        <w:szCs w:val="26"/>
      </w:rPr>
    </w:pPr>
    <w:r>
      <w:rPr>
        <w:rFonts w:asciiTheme="majorHAnsi" w:eastAsiaTheme="majorEastAsia" w:hAnsiTheme="majorHAnsi" w:cstheme="majorBidi"/>
        <w:color w:val="2E74B5" w:themeColor="accent1" w:themeShade="BF"/>
        <w:sz w:val="26"/>
        <w:szCs w:val="26"/>
      </w:rPr>
      <w:t>Abbie Coles</w:t>
    </w:r>
  </w:p>
  <w:p w:rsidR="005C5215" w:rsidRDefault="005C521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6443"/>
    <w:rsid w:val="00047986"/>
    <w:rsid w:val="000518D9"/>
    <w:rsid w:val="0006298F"/>
    <w:rsid w:val="0009040C"/>
    <w:rsid w:val="00090A92"/>
    <w:rsid w:val="000C0823"/>
    <w:rsid w:val="000F3E96"/>
    <w:rsid w:val="00120520"/>
    <w:rsid w:val="0012265E"/>
    <w:rsid w:val="00127028"/>
    <w:rsid w:val="0012709D"/>
    <w:rsid w:val="00142C37"/>
    <w:rsid w:val="00145420"/>
    <w:rsid w:val="001A0153"/>
    <w:rsid w:val="001A0C52"/>
    <w:rsid w:val="001B5B83"/>
    <w:rsid w:val="001D0DCB"/>
    <w:rsid w:val="001E7074"/>
    <w:rsid w:val="0025354A"/>
    <w:rsid w:val="00261E67"/>
    <w:rsid w:val="002629D9"/>
    <w:rsid w:val="002726D8"/>
    <w:rsid w:val="002A0F9A"/>
    <w:rsid w:val="0033023F"/>
    <w:rsid w:val="00347654"/>
    <w:rsid w:val="00351B36"/>
    <w:rsid w:val="0039039A"/>
    <w:rsid w:val="00427FED"/>
    <w:rsid w:val="004A1653"/>
    <w:rsid w:val="004D593E"/>
    <w:rsid w:val="004D5F9B"/>
    <w:rsid w:val="004D68EA"/>
    <w:rsid w:val="005054BD"/>
    <w:rsid w:val="00546443"/>
    <w:rsid w:val="00551B37"/>
    <w:rsid w:val="0055552E"/>
    <w:rsid w:val="00591D60"/>
    <w:rsid w:val="005930CC"/>
    <w:rsid w:val="005B09B9"/>
    <w:rsid w:val="005C5215"/>
    <w:rsid w:val="005D79BD"/>
    <w:rsid w:val="00627833"/>
    <w:rsid w:val="00631213"/>
    <w:rsid w:val="00670EF4"/>
    <w:rsid w:val="006A6F22"/>
    <w:rsid w:val="006C7E80"/>
    <w:rsid w:val="006F4A84"/>
    <w:rsid w:val="00706C31"/>
    <w:rsid w:val="00714385"/>
    <w:rsid w:val="00742144"/>
    <w:rsid w:val="00762907"/>
    <w:rsid w:val="007741AF"/>
    <w:rsid w:val="007D01CD"/>
    <w:rsid w:val="008012B1"/>
    <w:rsid w:val="00813AAD"/>
    <w:rsid w:val="008310B1"/>
    <w:rsid w:val="00895B41"/>
    <w:rsid w:val="008E4C81"/>
    <w:rsid w:val="008F16B2"/>
    <w:rsid w:val="008F7635"/>
    <w:rsid w:val="0096231E"/>
    <w:rsid w:val="009650CD"/>
    <w:rsid w:val="0097190C"/>
    <w:rsid w:val="009E1747"/>
    <w:rsid w:val="00A145F5"/>
    <w:rsid w:val="00AD4473"/>
    <w:rsid w:val="00AE4B0C"/>
    <w:rsid w:val="00B17D69"/>
    <w:rsid w:val="00B33F61"/>
    <w:rsid w:val="00BA6627"/>
    <w:rsid w:val="00C05E36"/>
    <w:rsid w:val="00C352AD"/>
    <w:rsid w:val="00C6062A"/>
    <w:rsid w:val="00C906C4"/>
    <w:rsid w:val="00CA6C32"/>
    <w:rsid w:val="00CC2EA2"/>
    <w:rsid w:val="00D66110"/>
    <w:rsid w:val="00D67BC3"/>
    <w:rsid w:val="00DA40EC"/>
    <w:rsid w:val="00DF4A82"/>
    <w:rsid w:val="00E47332"/>
    <w:rsid w:val="00E8789A"/>
    <w:rsid w:val="00F30F68"/>
    <w:rsid w:val="00F37B4D"/>
    <w:rsid w:val="00F572BC"/>
    <w:rsid w:val="00F90F6F"/>
    <w:rsid w:val="00F93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BE4D291"/>
  <w15:chartTrackingRefBased/>
  <w15:docId w15:val="{34139B49-E266-4E48-A2B9-807E2C3BF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5420"/>
    <w:rPr>
      <w:color w:val="0563C1" w:themeColor="hyperlink"/>
      <w:u w:val="single"/>
    </w:rPr>
  </w:style>
  <w:style w:type="character" w:styleId="FollowedHyperlink">
    <w:name w:val="FollowedHyperlink"/>
    <w:basedOn w:val="DefaultParagraphFont"/>
    <w:uiPriority w:val="99"/>
    <w:semiHidden/>
    <w:unhideWhenUsed/>
    <w:rsid w:val="008E4C81"/>
    <w:rPr>
      <w:color w:val="954F72" w:themeColor="followedHyperlink"/>
      <w:u w:val="single"/>
    </w:rPr>
  </w:style>
  <w:style w:type="character" w:customStyle="1" w:styleId="UnresolvedMention1">
    <w:name w:val="Unresolved Mention1"/>
    <w:basedOn w:val="DefaultParagraphFont"/>
    <w:uiPriority w:val="99"/>
    <w:semiHidden/>
    <w:unhideWhenUsed/>
    <w:rsid w:val="00E8789A"/>
    <w:rPr>
      <w:color w:val="808080"/>
      <w:shd w:val="clear" w:color="auto" w:fill="E6E6E6"/>
    </w:rPr>
  </w:style>
  <w:style w:type="paragraph" w:styleId="Header">
    <w:name w:val="header"/>
    <w:basedOn w:val="Normal"/>
    <w:link w:val="HeaderChar"/>
    <w:uiPriority w:val="99"/>
    <w:unhideWhenUsed/>
    <w:rsid w:val="005C52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215"/>
  </w:style>
  <w:style w:type="paragraph" w:styleId="Footer">
    <w:name w:val="footer"/>
    <w:basedOn w:val="Normal"/>
    <w:link w:val="FooterChar"/>
    <w:uiPriority w:val="99"/>
    <w:unhideWhenUsed/>
    <w:rsid w:val="005C52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215"/>
  </w:style>
  <w:style w:type="paragraph" w:styleId="BalloonText">
    <w:name w:val="Balloon Text"/>
    <w:basedOn w:val="Normal"/>
    <w:link w:val="BalloonTextChar"/>
    <w:uiPriority w:val="99"/>
    <w:semiHidden/>
    <w:unhideWhenUsed/>
    <w:rsid w:val="004D68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68EA"/>
    <w:rPr>
      <w:rFonts w:ascii="Segoe UI" w:hAnsi="Segoe UI" w:cs="Segoe UI"/>
      <w:sz w:val="18"/>
      <w:szCs w:val="18"/>
    </w:rPr>
  </w:style>
  <w:style w:type="character" w:customStyle="1" w:styleId="UnresolvedMention">
    <w:name w:val="Unresolved Mention"/>
    <w:basedOn w:val="DefaultParagraphFont"/>
    <w:uiPriority w:val="99"/>
    <w:semiHidden/>
    <w:unhideWhenUsed/>
    <w:rsid w:val="001B5B8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journals.sagepub.com/doi/pdf/10.1177/0022018316685478" TargetMode="External"/><Relationship Id="rId13" Type="http://schemas.openxmlformats.org/officeDocument/2006/relationships/hyperlink" Target="https://www.lawcom.gov.uk/project/offences-against-the-pers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ooks.google.co.uk/books?id=k9IqBwAAQBAJ&amp;q=OAPA&amp;source=gbs_word_cloud_r&amp;cad=5" TargetMode="External"/><Relationship Id="rId12" Type="http://schemas.openxmlformats.org/officeDocument/2006/relationships/hyperlink" Target="http://journals.sagepub.com.ezproxy.uwtsd.ac.uk/doi/pdf/10.1177/0022018315617583"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stable/4507992?seq=3" TargetMode="External"/><Relationship Id="rId5" Type="http://schemas.openxmlformats.org/officeDocument/2006/relationships/footnotes" Target="footnotes.xml"/><Relationship Id="rId15" Type="http://schemas.openxmlformats.org/officeDocument/2006/relationships/hyperlink" Target="http://www.telegraph.co.uk/news/uknews/crime/11970872/Reform-violent-crime-laws-and-re-name-GBH-and-ABH-offences-say-experts.html" TargetMode="External"/><Relationship Id="rId10" Type="http://schemas.openxmlformats.org/officeDocument/2006/relationships/hyperlink" Target="https://www.theguardian.com/law/2015/nov/03/let-magistrates-deal-more-assault-cases-law-reform-bod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journals.sagepub.com/doi/pdf/10.1177/0022018316646656" TargetMode="External"/><Relationship Id="rId14" Type="http://schemas.openxmlformats.org/officeDocument/2006/relationships/hyperlink" Target="https://www.lawcom.gov.uk/project/offences-against-the-per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E2D269-8040-45C1-B31C-7BB7CE3AC5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2793</TotalTime>
  <Pages>6</Pages>
  <Words>1534</Words>
  <Characters>8747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Coles (1700506)</dc:creator>
  <cp:keywords/>
  <dc:description/>
  <cp:lastModifiedBy>Abbie Coles (1700506)</cp:lastModifiedBy>
  <cp:revision>52</cp:revision>
  <cp:lastPrinted>2017-10-30T10:12:00Z</cp:lastPrinted>
  <dcterms:created xsi:type="dcterms:W3CDTF">2017-10-28T09:44:00Z</dcterms:created>
  <dcterms:modified xsi:type="dcterms:W3CDTF">2017-11-06T10:45:00Z</dcterms:modified>
</cp:coreProperties>
</file>