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FDDCF" w14:textId="5BAD667D" w:rsidR="00781DFE" w:rsidRDefault="00D15CA2" w:rsidP="00781DFE">
      <w:pPr>
        <w:rPr>
          <w:lang w:val="en-US"/>
        </w:rPr>
      </w:pPr>
      <w:r>
        <w:rPr>
          <w:noProof/>
        </w:rPr>
        <w:drawing>
          <wp:inline distT="0" distB="0" distL="0" distR="0" wp14:anchorId="5319762B" wp14:editId="44A8B97E">
            <wp:extent cx="5731510" cy="1612900"/>
            <wp:effectExtent l="0" t="0" r="254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12900"/>
                    </a:xfrm>
                    <a:prstGeom prst="rect">
                      <a:avLst/>
                    </a:prstGeom>
                    <a:noFill/>
                    <a:ln>
                      <a:noFill/>
                    </a:ln>
                  </pic:spPr>
                </pic:pic>
              </a:graphicData>
            </a:graphic>
          </wp:inline>
        </w:drawing>
      </w:r>
    </w:p>
    <w:p w14:paraId="713D32D3" w14:textId="77777777" w:rsidR="00781DFE" w:rsidRDefault="00781DFE" w:rsidP="00781DFE">
      <w:pPr>
        <w:rPr>
          <w:lang w:val="en-US"/>
        </w:rPr>
      </w:pPr>
    </w:p>
    <w:p w14:paraId="53D3C6C1" w14:textId="77777777" w:rsidR="00781DFE" w:rsidRDefault="00781DFE" w:rsidP="00781DFE">
      <w:pPr>
        <w:rPr>
          <w:lang w:val="en-US"/>
        </w:rPr>
      </w:pPr>
    </w:p>
    <w:p w14:paraId="7E7CCEEC" w14:textId="77777777" w:rsidR="00781DFE" w:rsidRDefault="00781DFE" w:rsidP="00781DFE">
      <w:pPr>
        <w:spacing w:line="360" w:lineRule="auto"/>
        <w:rPr>
          <w:lang w:val="en-US"/>
        </w:rPr>
      </w:pPr>
    </w:p>
    <w:p w14:paraId="151B3AC2" w14:textId="77777777" w:rsidR="00781DFE" w:rsidRPr="00A769B8" w:rsidRDefault="00781DFE" w:rsidP="00781DFE">
      <w:pPr>
        <w:spacing w:line="360" w:lineRule="auto"/>
        <w:jc w:val="center"/>
        <w:rPr>
          <w:rFonts w:ascii="Arial" w:hAnsi="Arial" w:cs="Arial"/>
          <w:sz w:val="24"/>
          <w:szCs w:val="24"/>
          <w:lang w:val="en-US"/>
        </w:rPr>
      </w:pPr>
      <w:proofErr w:type="spellStart"/>
      <w:r w:rsidRPr="00A769B8">
        <w:rPr>
          <w:rFonts w:ascii="Arial" w:hAnsi="Arial" w:cs="Arial"/>
          <w:b/>
          <w:bCs/>
          <w:sz w:val="24"/>
          <w:szCs w:val="24"/>
          <w:lang w:val="en-US"/>
        </w:rPr>
        <w:t>Programme</w:t>
      </w:r>
      <w:proofErr w:type="spellEnd"/>
      <w:r w:rsidRPr="00A769B8">
        <w:rPr>
          <w:rFonts w:ascii="Arial" w:hAnsi="Arial" w:cs="Arial"/>
          <w:sz w:val="24"/>
          <w:szCs w:val="24"/>
          <w:lang w:val="en-US"/>
        </w:rPr>
        <w:t>: BA Business Management</w:t>
      </w:r>
    </w:p>
    <w:p w14:paraId="50A9E43D" w14:textId="451F5C5D" w:rsidR="00781DFE" w:rsidRPr="00A769B8" w:rsidRDefault="00781DFE" w:rsidP="00781DFE">
      <w:pPr>
        <w:spacing w:line="360" w:lineRule="auto"/>
        <w:jc w:val="center"/>
        <w:rPr>
          <w:rFonts w:ascii="Arial" w:hAnsi="Arial" w:cs="Arial"/>
          <w:sz w:val="24"/>
          <w:szCs w:val="24"/>
          <w:lang w:val="en-US"/>
        </w:rPr>
      </w:pPr>
      <w:r w:rsidRPr="00A769B8">
        <w:rPr>
          <w:rFonts w:ascii="Arial" w:hAnsi="Arial" w:cs="Arial"/>
          <w:b/>
          <w:bCs/>
          <w:sz w:val="24"/>
          <w:szCs w:val="24"/>
          <w:lang w:val="en-US"/>
        </w:rPr>
        <w:t>Module Code</w:t>
      </w:r>
      <w:r w:rsidRPr="00A769B8">
        <w:rPr>
          <w:rFonts w:ascii="Arial" w:hAnsi="Arial" w:cs="Arial"/>
          <w:sz w:val="24"/>
          <w:szCs w:val="24"/>
          <w:lang w:val="en-US"/>
        </w:rPr>
        <w:t>: LCBB400</w:t>
      </w:r>
      <w:r>
        <w:rPr>
          <w:rFonts w:ascii="Arial" w:hAnsi="Arial" w:cs="Arial"/>
          <w:sz w:val="24"/>
          <w:szCs w:val="24"/>
          <w:lang w:val="en-US"/>
        </w:rPr>
        <w:t>2</w:t>
      </w:r>
    </w:p>
    <w:p w14:paraId="20A5E81B" w14:textId="1E715A1B" w:rsidR="00781DFE" w:rsidRPr="00A769B8" w:rsidRDefault="00781DFE" w:rsidP="00781DFE">
      <w:pPr>
        <w:spacing w:line="360" w:lineRule="auto"/>
        <w:jc w:val="center"/>
        <w:rPr>
          <w:rFonts w:ascii="Arial" w:hAnsi="Arial" w:cs="Arial"/>
          <w:sz w:val="24"/>
          <w:szCs w:val="24"/>
          <w:lang w:val="en-US"/>
        </w:rPr>
      </w:pPr>
      <w:r w:rsidRPr="00A769B8">
        <w:rPr>
          <w:rFonts w:ascii="Arial" w:hAnsi="Arial" w:cs="Arial"/>
          <w:b/>
          <w:bCs/>
          <w:sz w:val="24"/>
          <w:szCs w:val="24"/>
          <w:lang w:val="en-US"/>
        </w:rPr>
        <w:t>Module name</w:t>
      </w:r>
      <w:r w:rsidRPr="00A769B8">
        <w:rPr>
          <w:rFonts w:ascii="Arial" w:hAnsi="Arial" w:cs="Arial"/>
          <w:sz w:val="24"/>
          <w:szCs w:val="24"/>
          <w:lang w:val="en-US"/>
        </w:rPr>
        <w:t xml:space="preserve">: </w:t>
      </w:r>
      <w:r>
        <w:rPr>
          <w:rFonts w:ascii="Arial" w:hAnsi="Arial" w:cs="Arial"/>
          <w:sz w:val="24"/>
          <w:szCs w:val="24"/>
          <w:lang w:val="en-US"/>
        </w:rPr>
        <w:t>Community Engagement</w:t>
      </w:r>
    </w:p>
    <w:p w14:paraId="17C61586" w14:textId="4CE5DCC5" w:rsidR="00781DFE" w:rsidRPr="00A769B8" w:rsidRDefault="00781DFE" w:rsidP="00781DFE">
      <w:pPr>
        <w:spacing w:line="360" w:lineRule="auto"/>
        <w:jc w:val="center"/>
        <w:rPr>
          <w:rFonts w:ascii="Arial" w:hAnsi="Arial" w:cs="Arial"/>
          <w:sz w:val="24"/>
          <w:szCs w:val="24"/>
          <w:lang w:val="en-US"/>
        </w:rPr>
      </w:pPr>
      <w:r w:rsidRPr="00A769B8">
        <w:rPr>
          <w:rFonts w:ascii="Arial" w:hAnsi="Arial" w:cs="Arial"/>
          <w:b/>
          <w:bCs/>
          <w:sz w:val="24"/>
          <w:szCs w:val="24"/>
          <w:lang w:val="en-US"/>
        </w:rPr>
        <w:t>Lecture</w:t>
      </w:r>
      <w:r w:rsidRPr="00A769B8">
        <w:rPr>
          <w:rFonts w:ascii="Arial" w:hAnsi="Arial" w:cs="Arial"/>
          <w:sz w:val="24"/>
          <w:szCs w:val="24"/>
          <w:lang w:val="en-US"/>
        </w:rPr>
        <w:t xml:space="preserve">: </w:t>
      </w:r>
      <w:r w:rsidRPr="00781DFE">
        <w:rPr>
          <w:rFonts w:ascii="Arial" w:hAnsi="Arial" w:cs="Arial"/>
          <w:sz w:val="24"/>
          <w:szCs w:val="24"/>
          <w:lang w:val="en-US"/>
        </w:rPr>
        <w:t>Anita Nan</w:t>
      </w:r>
    </w:p>
    <w:p w14:paraId="686AC16A" w14:textId="77777777" w:rsidR="00781DFE" w:rsidRPr="00A769B8" w:rsidRDefault="00781DFE" w:rsidP="00781DFE">
      <w:pPr>
        <w:spacing w:line="360" w:lineRule="auto"/>
        <w:rPr>
          <w:rFonts w:ascii="Arial" w:hAnsi="Arial" w:cs="Arial"/>
          <w:b/>
          <w:bCs/>
          <w:i/>
          <w:iCs/>
          <w:sz w:val="32"/>
          <w:szCs w:val="32"/>
          <w:lang w:val="en-US"/>
        </w:rPr>
      </w:pPr>
    </w:p>
    <w:p w14:paraId="628AEE8D" w14:textId="77777777" w:rsidR="00781DFE" w:rsidRPr="00A769B8" w:rsidRDefault="00781DFE" w:rsidP="00781DFE">
      <w:pPr>
        <w:spacing w:line="360" w:lineRule="auto"/>
        <w:jc w:val="center"/>
        <w:rPr>
          <w:rFonts w:ascii="Arial" w:hAnsi="Arial" w:cs="Arial"/>
          <w:b/>
          <w:bCs/>
          <w:i/>
          <w:iCs/>
          <w:sz w:val="32"/>
          <w:szCs w:val="32"/>
          <w:lang w:val="en-US"/>
        </w:rPr>
      </w:pPr>
      <w:r w:rsidRPr="00A769B8">
        <w:rPr>
          <w:rFonts w:ascii="Arial" w:hAnsi="Arial" w:cs="Arial"/>
          <w:b/>
          <w:bCs/>
          <w:i/>
          <w:iCs/>
          <w:sz w:val="32"/>
          <w:szCs w:val="32"/>
          <w:lang w:val="en-US"/>
        </w:rPr>
        <w:t>Assignment 1:</w:t>
      </w:r>
    </w:p>
    <w:p w14:paraId="06EE7869" w14:textId="5ACBA01D" w:rsidR="00781DFE" w:rsidRDefault="00781DFE" w:rsidP="00781DFE">
      <w:pPr>
        <w:spacing w:line="360" w:lineRule="auto"/>
        <w:jc w:val="center"/>
        <w:rPr>
          <w:rFonts w:ascii="Arial" w:hAnsi="Arial" w:cs="Arial"/>
          <w:b/>
          <w:bCs/>
          <w:i/>
          <w:iCs/>
          <w:sz w:val="32"/>
          <w:szCs w:val="32"/>
          <w:lang w:val="en-US"/>
        </w:rPr>
      </w:pPr>
      <w:r w:rsidRPr="00A769B8">
        <w:rPr>
          <w:rFonts w:ascii="Arial" w:hAnsi="Arial" w:cs="Arial"/>
          <w:b/>
          <w:bCs/>
          <w:i/>
          <w:iCs/>
          <w:sz w:val="32"/>
          <w:szCs w:val="32"/>
          <w:lang w:val="en-US"/>
        </w:rPr>
        <w:t xml:space="preserve"> </w:t>
      </w:r>
      <w:r>
        <w:rPr>
          <w:rFonts w:ascii="Arial" w:hAnsi="Arial" w:cs="Arial"/>
          <w:b/>
          <w:bCs/>
          <w:i/>
          <w:iCs/>
          <w:sz w:val="32"/>
          <w:szCs w:val="32"/>
          <w:lang w:val="en-US"/>
        </w:rPr>
        <w:t xml:space="preserve">Community Engagement report: </w:t>
      </w:r>
    </w:p>
    <w:p w14:paraId="058DF7D0" w14:textId="4A4A145A" w:rsidR="00781DFE" w:rsidRPr="00781DFE" w:rsidRDefault="00781DFE" w:rsidP="00781DFE">
      <w:pPr>
        <w:spacing w:line="360" w:lineRule="auto"/>
        <w:jc w:val="center"/>
        <w:rPr>
          <w:rFonts w:ascii="Arial" w:hAnsi="Arial" w:cs="Arial"/>
          <w:b/>
          <w:bCs/>
          <w:i/>
          <w:iCs/>
          <w:sz w:val="32"/>
          <w:szCs w:val="32"/>
          <w:lang w:val="en-US"/>
        </w:rPr>
      </w:pPr>
      <w:r w:rsidRPr="00781DFE">
        <w:rPr>
          <w:rFonts w:ascii="Arial" w:hAnsi="Arial" w:cs="Arial"/>
          <w:b/>
          <w:bCs/>
          <w:i/>
          <w:iCs/>
          <w:sz w:val="32"/>
          <w:szCs w:val="32"/>
          <w:lang w:val="en-US"/>
        </w:rPr>
        <w:t>Birmingham 2022 Commonwealth Games</w:t>
      </w:r>
    </w:p>
    <w:p w14:paraId="3268ABB9" w14:textId="16FBAFBE" w:rsidR="00781DFE" w:rsidRDefault="00781DFE" w:rsidP="00781DFE">
      <w:pPr>
        <w:spacing w:line="360" w:lineRule="auto"/>
        <w:jc w:val="center"/>
        <w:rPr>
          <w:rFonts w:ascii="Arial" w:hAnsi="Arial" w:cs="Arial"/>
          <w:sz w:val="24"/>
          <w:szCs w:val="24"/>
          <w:lang w:val="en-US"/>
        </w:rPr>
      </w:pPr>
    </w:p>
    <w:p w14:paraId="5091C6D7" w14:textId="77777777" w:rsidR="00781DFE" w:rsidRPr="00A769B8" w:rsidRDefault="00781DFE" w:rsidP="00781DFE">
      <w:pPr>
        <w:spacing w:line="360" w:lineRule="auto"/>
        <w:jc w:val="center"/>
        <w:rPr>
          <w:rFonts w:ascii="Arial" w:hAnsi="Arial" w:cs="Arial"/>
          <w:sz w:val="24"/>
          <w:szCs w:val="24"/>
          <w:lang w:val="en-US"/>
        </w:rPr>
      </w:pPr>
    </w:p>
    <w:p w14:paraId="6C0E7EEB" w14:textId="0FBDE315" w:rsidR="00781DFE" w:rsidRDefault="00781DFE" w:rsidP="00AE7873">
      <w:pPr>
        <w:spacing w:line="360" w:lineRule="auto"/>
        <w:jc w:val="center"/>
        <w:rPr>
          <w:rFonts w:ascii="Arial" w:hAnsi="Arial" w:cs="Arial"/>
          <w:sz w:val="24"/>
          <w:szCs w:val="24"/>
          <w:lang w:val="en-US"/>
        </w:rPr>
      </w:pPr>
      <w:r w:rsidRPr="00A769B8">
        <w:rPr>
          <w:rFonts w:ascii="Arial" w:hAnsi="Arial" w:cs="Arial"/>
          <w:b/>
          <w:bCs/>
          <w:sz w:val="24"/>
          <w:szCs w:val="24"/>
          <w:lang w:val="en-US"/>
        </w:rPr>
        <w:t>Student name:</w:t>
      </w:r>
      <w:r w:rsidR="00D15CA2">
        <w:rPr>
          <w:rFonts w:ascii="Arial" w:hAnsi="Arial" w:cs="Arial"/>
          <w:b/>
          <w:bCs/>
          <w:sz w:val="24"/>
          <w:szCs w:val="24"/>
          <w:lang w:val="en-US"/>
        </w:rPr>
        <w:t xml:space="preserve"> Desislava Nikolova </w:t>
      </w:r>
      <w:r w:rsidRPr="00A769B8">
        <w:rPr>
          <w:rFonts w:ascii="Arial" w:hAnsi="Arial" w:cs="Arial"/>
          <w:b/>
          <w:bCs/>
          <w:sz w:val="24"/>
          <w:szCs w:val="24"/>
          <w:lang w:val="en-US"/>
        </w:rPr>
        <w:br/>
        <w:t>Student ID</w:t>
      </w:r>
      <w:r w:rsidRPr="00A769B8">
        <w:rPr>
          <w:rFonts w:ascii="Arial" w:hAnsi="Arial" w:cs="Arial"/>
          <w:sz w:val="24"/>
          <w:szCs w:val="24"/>
          <w:lang w:val="en-US"/>
        </w:rPr>
        <w:t>:</w:t>
      </w:r>
      <w:r>
        <w:rPr>
          <w:rFonts w:ascii="Arial" w:hAnsi="Arial" w:cs="Arial"/>
          <w:sz w:val="24"/>
          <w:szCs w:val="24"/>
          <w:lang w:val="en-US"/>
        </w:rPr>
        <w:t xml:space="preserve"> </w:t>
      </w:r>
      <w:r w:rsidR="00D15CA2">
        <w:rPr>
          <w:rFonts w:ascii="Arial" w:hAnsi="Arial" w:cs="Arial"/>
          <w:sz w:val="24"/>
          <w:szCs w:val="24"/>
          <w:lang w:val="en-US"/>
        </w:rPr>
        <w:t>2120861</w:t>
      </w:r>
    </w:p>
    <w:p w14:paraId="0EAF5F36" w14:textId="77777777" w:rsidR="00B915E7" w:rsidRDefault="00B915E7" w:rsidP="00AE7873">
      <w:pPr>
        <w:spacing w:line="360" w:lineRule="auto"/>
        <w:jc w:val="center"/>
        <w:rPr>
          <w:rFonts w:ascii="Arial" w:hAnsi="Arial" w:cs="Arial"/>
          <w:sz w:val="24"/>
          <w:szCs w:val="24"/>
          <w:lang w:val="en-US"/>
        </w:rPr>
      </w:pPr>
    </w:p>
    <w:p w14:paraId="68E84826" w14:textId="77777777" w:rsidR="00B915E7" w:rsidRPr="00A769B8" w:rsidRDefault="00B915E7" w:rsidP="00AE7873">
      <w:pPr>
        <w:spacing w:line="360" w:lineRule="auto"/>
        <w:jc w:val="center"/>
        <w:rPr>
          <w:rFonts w:ascii="Arial" w:hAnsi="Arial" w:cs="Arial"/>
          <w:sz w:val="24"/>
          <w:szCs w:val="24"/>
          <w:lang w:val="en-US"/>
        </w:rPr>
      </w:pPr>
    </w:p>
    <w:p w14:paraId="183409A0" w14:textId="1F620316" w:rsidR="00361387" w:rsidRDefault="00361387">
      <w:pPr>
        <w:rPr>
          <w:lang w:val="en-US"/>
        </w:rPr>
      </w:pPr>
      <w:r>
        <w:rPr>
          <w:lang w:val="en-US"/>
        </w:rPr>
        <w:br w:type="page"/>
      </w:r>
    </w:p>
    <w:sdt>
      <w:sdtPr>
        <w:rPr>
          <w:rFonts w:asciiTheme="minorHAnsi" w:eastAsiaTheme="minorHAnsi" w:hAnsiTheme="minorHAnsi" w:cstheme="minorBidi"/>
          <w:color w:val="auto"/>
          <w:sz w:val="22"/>
          <w:szCs w:val="22"/>
          <w:lang w:val="en-GB" w:eastAsia="en-US"/>
        </w:rPr>
        <w:id w:val="-1268777417"/>
        <w:docPartObj>
          <w:docPartGallery w:val="Table of Contents"/>
          <w:docPartUnique/>
        </w:docPartObj>
      </w:sdtPr>
      <w:sdtEndPr>
        <w:rPr>
          <w:b/>
          <w:bCs/>
        </w:rPr>
      </w:sdtEndPr>
      <w:sdtContent>
        <w:p w14:paraId="4F7E4B5E" w14:textId="54F871BB" w:rsidR="00361387" w:rsidRPr="00361387" w:rsidRDefault="00361387" w:rsidP="00361387">
          <w:pPr>
            <w:pStyle w:val="TOCHeading"/>
            <w:jc w:val="center"/>
            <w:rPr>
              <w:rFonts w:ascii="Times New Roman" w:hAnsi="Times New Roman" w:cs="Times New Roman"/>
              <w:b/>
              <w:bCs/>
              <w:color w:val="auto"/>
              <w:sz w:val="24"/>
              <w:szCs w:val="24"/>
            </w:rPr>
          </w:pPr>
          <w:r w:rsidRPr="00361387">
            <w:rPr>
              <w:rFonts w:ascii="Times New Roman" w:hAnsi="Times New Roman" w:cs="Times New Roman"/>
              <w:b/>
              <w:bCs/>
              <w:color w:val="auto"/>
              <w:sz w:val="24"/>
              <w:szCs w:val="24"/>
              <w:lang w:val="en-GB"/>
            </w:rPr>
            <w:t>Contents</w:t>
          </w:r>
        </w:p>
        <w:p w14:paraId="023880FE" w14:textId="100F63FC" w:rsidR="00282263" w:rsidRDefault="00361387">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0617336" w:history="1">
            <w:r w:rsidR="00282263" w:rsidRPr="006B6BBC">
              <w:rPr>
                <w:rStyle w:val="Hyperlink"/>
                <w:rFonts w:ascii="Times New Roman" w:hAnsi="Times New Roman" w:cs="Times New Roman"/>
                <w:b/>
                <w:bCs/>
                <w:noProof/>
                <w:lang w:val="en-US"/>
              </w:rPr>
              <w:t>Introduction</w:t>
            </w:r>
            <w:r w:rsidR="00282263">
              <w:rPr>
                <w:noProof/>
                <w:webHidden/>
              </w:rPr>
              <w:tab/>
            </w:r>
            <w:r w:rsidR="00282263">
              <w:rPr>
                <w:noProof/>
                <w:webHidden/>
              </w:rPr>
              <w:fldChar w:fldCharType="begin"/>
            </w:r>
            <w:r w:rsidR="00282263">
              <w:rPr>
                <w:noProof/>
                <w:webHidden/>
              </w:rPr>
              <w:instrText xml:space="preserve"> PAGEREF _Toc120617336 \h </w:instrText>
            </w:r>
            <w:r w:rsidR="00282263">
              <w:rPr>
                <w:noProof/>
                <w:webHidden/>
              </w:rPr>
            </w:r>
            <w:r w:rsidR="00282263">
              <w:rPr>
                <w:noProof/>
                <w:webHidden/>
              </w:rPr>
              <w:fldChar w:fldCharType="separate"/>
            </w:r>
            <w:r w:rsidR="00282263">
              <w:rPr>
                <w:noProof/>
                <w:webHidden/>
              </w:rPr>
              <w:t>3</w:t>
            </w:r>
            <w:r w:rsidR="00282263">
              <w:rPr>
                <w:noProof/>
                <w:webHidden/>
              </w:rPr>
              <w:fldChar w:fldCharType="end"/>
            </w:r>
          </w:hyperlink>
        </w:p>
        <w:p w14:paraId="4CB9337D" w14:textId="1B70BAB5" w:rsidR="00282263" w:rsidRDefault="00B915E7">
          <w:pPr>
            <w:pStyle w:val="TOC1"/>
            <w:tabs>
              <w:tab w:val="right" w:leader="dot" w:pos="9016"/>
            </w:tabs>
            <w:rPr>
              <w:rFonts w:eastAsiaTheme="minorEastAsia"/>
              <w:noProof/>
              <w:lang w:eastAsia="bg-BG"/>
            </w:rPr>
          </w:pPr>
          <w:hyperlink w:anchor="_Toc120617337" w:history="1">
            <w:r w:rsidR="00282263" w:rsidRPr="006B6BBC">
              <w:rPr>
                <w:rStyle w:val="Hyperlink"/>
                <w:rFonts w:ascii="Times New Roman" w:hAnsi="Times New Roman" w:cs="Times New Roman"/>
                <w:b/>
                <w:bCs/>
                <w:noProof/>
                <w:lang w:val="en-US"/>
              </w:rPr>
              <w:t>The project: Birmingham 2022 Commonwealth Games</w:t>
            </w:r>
            <w:r w:rsidR="00282263">
              <w:rPr>
                <w:noProof/>
                <w:webHidden/>
              </w:rPr>
              <w:tab/>
            </w:r>
            <w:r w:rsidR="00282263">
              <w:rPr>
                <w:noProof/>
                <w:webHidden/>
              </w:rPr>
              <w:fldChar w:fldCharType="begin"/>
            </w:r>
            <w:r w:rsidR="00282263">
              <w:rPr>
                <w:noProof/>
                <w:webHidden/>
              </w:rPr>
              <w:instrText xml:space="preserve"> PAGEREF _Toc120617337 \h </w:instrText>
            </w:r>
            <w:r w:rsidR="00282263">
              <w:rPr>
                <w:noProof/>
                <w:webHidden/>
              </w:rPr>
            </w:r>
            <w:r w:rsidR="00282263">
              <w:rPr>
                <w:noProof/>
                <w:webHidden/>
              </w:rPr>
              <w:fldChar w:fldCharType="separate"/>
            </w:r>
            <w:r w:rsidR="00282263">
              <w:rPr>
                <w:noProof/>
                <w:webHidden/>
              </w:rPr>
              <w:t>3</w:t>
            </w:r>
            <w:r w:rsidR="00282263">
              <w:rPr>
                <w:noProof/>
                <w:webHidden/>
              </w:rPr>
              <w:fldChar w:fldCharType="end"/>
            </w:r>
          </w:hyperlink>
        </w:p>
        <w:p w14:paraId="77F92A7C" w14:textId="1791DBCA" w:rsidR="00282263" w:rsidRDefault="00B915E7">
          <w:pPr>
            <w:pStyle w:val="TOC1"/>
            <w:tabs>
              <w:tab w:val="right" w:leader="dot" w:pos="9016"/>
            </w:tabs>
            <w:rPr>
              <w:rFonts w:eastAsiaTheme="minorEastAsia"/>
              <w:noProof/>
              <w:lang w:eastAsia="bg-BG"/>
            </w:rPr>
          </w:pPr>
          <w:hyperlink w:anchor="_Toc120617338" w:history="1">
            <w:r w:rsidR="00282263" w:rsidRPr="006B6BBC">
              <w:rPr>
                <w:rStyle w:val="Hyperlink"/>
                <w:rFonts w:ascii="Times New Roman" w:hAnsi="Times New Roman" w:cs="Times New Roman"/>
                <w:b/>
                <w:bCs/>
                <w:noProof/>
                <w:lang w:val="en-US"/>
              </w:rPr>
              <w:t>Analyses the best practices</w:t>
            </w:r>
            <w:r w:rsidR="00282263">
              <w:rPr>
                <w:noProof/>
                <w:webHidden/>
              </w:rPr>
              <w:tab/>
            </w:r>
            <w:r w:rsidR="00282263">
              <w:rPr>
                <w:noProof/>
                <w:webHidden/>
              </w:rPr>
              <w:fldChar w:fldCharType="begin"/>
            </w:r>
            <w:r w:rsidR="00282263">
              <w:rPr>
                <w:noProof/>
                <w:webHidden/>
              </w:rPr>
              <w:instrText xml:space="preserve"> PAGEREF _Toc120617338 \h </w:instrText>
            </w:r>
            <w:r w:rsidR="00282263">
              <w:rPr>
                <w:noProof/>
                <w:webHidden/>
              </w:rPr>
            </w:r>
            <w:r w:rsidR="00282263">
              <w:rPr>
                <w:noProof/>
                <w:webHidden/>
              </w:rPr>
              <w:fldChar w:fldCharType="separate"/>
            </w:r>
            <w:r w:rsidR="00282263">
              <w:rPr>
                <w:noProof/>
                <w:webHidden/>
              </w:rPr>
              <w:t>4</w:t>
            </w:r>
            <w:r w:rsidR="00282263">
              <w:rPr>
                <w:noProof/>
                <w:webHidden/>
              </w:rPr>
              <w:fldChar w:fldCharType="end"/>
            </w:r>
          </w:hyperlink>
        </w:p>
        <w:p w14:paraId="2CDFD35B" w14:textId="2497223E" w:rsidR="00282263" w:rsidRDefault="00B915E7">
          <w:pPr>
            <w:pStyle w:val="TOC1"/>
            <w:tabs>
              <w:tab w:val="right" w:leader="dot" w:pos="9016"/>
            </w:tabs>
            <w:rPr>
              <w:rFonts w:eastAsiaTheme="minorEastAsia"/>
              <w:noProof/>
              <w:lang w:eastAsia="bg-BG"/>
            </w:rPr>
          </w:pPr>
          <w:hyperlink w:anchor="_Toc120617339" w:history="1">
            <w:r w:rsidR="00282263" w:rsidRPr="006B6BBC">
              <w:rPr>
                <w:rStyle w:val="Hyperlink"/>
                <w:rFonts w:ascii="Times New Roman" w:hAnsi="Times New Roman" w:cs="Times New Roman"/>
                <w:b/>
                <w:bCs/>
                <w:noProof/>
                <w:lang w:val="en-US"/>
              </w:rPr>
              <w:t>Community engagement principles</w:t>
            </w:r>
            <w:r w:rsidR="00282263">
              <w:rPr>
                <w:noProof/>
                <w:webHidden/>
              </w:rPr>
              <w:tab/>
            </w:r>
            <w:r w:rsidR="00282263">
              <w:rPr>
                <w:noProof/>
                <w:webHidden/>
              </w:rPr>
              <w:fldChar w:fldCharType="begin"/>
            </w:r>
            <w:r w:rsidR="00282263">
              <w:rPr>
                <w:noProof/>
                <w:webHidden/>
              </w:rPr>
              <w:instrText xml:space="preserve"> PAGEREF _Toc120617339 \h </w:instrText>
            </w:r>
            <w:r w:rsidR="00282263">
              <w:rPr>
                <w:noProof/>
                <w:webHidden/>
              </w:rPr>
            </w:r>
            <w:r w:rsidR="00282263">
              <w:rPr>
                <w:noProof/>
                <w:webHidden/>
              </w:rPr>
              <w:fldChar w:fldCharType="separate"/>
            </w:r>
            <w:r w:rsidR="00282263">
              <w:rPr>
                <w:noProof/>
                <w:webHidden/>
              </w:rPr>
              <w:t>5</w:t>
            </w:r>
            <w:r w:rsidR="00282263">
              <w:rPr>
                <w:noProof/>
                <w:webHidden/>
              </w:rPr>
              <w:fldChar w:fldCharType="end"/>
            </w:r>
          </w:hyperlink>
        </w:p>
        <w:p w14:paraId="21BC0AB9" w14:textId="1BFE9DDA" w:rsidR="00282263" w:rsidRDefault="00B915E7">
          <w:pPr>
            <w:pStyle w:val="TOC1"/>
            <w:tabs>
              <w:tab w:val="right" w:leader="dot" w:pos="9016"/>
            </w:tabs>
            <w:rPr>
              <w:rFonts w:eastAsiaTheme="minorEastAsia"/>
              <w:noProof/>
              <w:lang w:eastAsia="bg-BG"/>
            </w:rPr>
          </w:pPr>
          <w:hyperlink w:anchor="_Toc120617340" w:history="1">
            <w:r w:rsidR="00282263" w:rsidRPr="006B6BBC">
              <w:rPr>
                <w:rStyle w:val="Hyperlink"/>
                <w:rFonts w:ascii="Times New Roman" w:hAnsi="Times New Roman" w:cs="Times New Roman"/>
                <w:b/>
                <w:bCs/>
                <w:noProof/>
                <w:lang w:val="en-US"/>
              </w:rPr>
              <w:t>Relationships between stakeholders and strategies (social media platforms)</w:t>
            </w:r>
            <w:r w:rsidR="00282263">
              <w:rPr>
                <w:noProof/>
                <w:webHidden/>
              </w:rPr>
              <w:tab/>
            </w:r>
            <w:r w:rsidR="00282263">
              <w:rPr>
                <w:noProof/>
                <w:webHidden/>
              </w:rPr>
              <w:fldChar w:fldCharType="begin"/>
            </w:r>
            <w:r w:rsidR="00282263">
              <w:rPr>
                <w:noProof/>
                <w:webHidden/>
              </w:rPr>
              <w:instrText xml:space="preserve"> PAGEREF _Toc120617340 \h </w:instrText>
            </w:r>
            <w:r w:rsidR="00282263">
              <w:rPr>
                <w:noProof/>
                <w:webHidden/>
              </w:rPr>
            </w:r>
            <w:r w:rsidR="00282263">
              <w:rPr>
                <w:noProof/>
                <w:webHidden/>
              </w:rPr>
              <w:fldChar w:fldCharType="separate"/>
            </w:r>
            <w:r w:rsidR="00282263">
              <w:rPr>
                <w:noProof/>
                <w:webHidden/>
              </w:rPr>
              <w:t>6</w:t>
            </w:r>
            <w:r w:rsidR="00282263">
              <w:rPr>
                <w:noProof/>
                <w:webHidden/>
              </w:rPr>
              <w:fldChar w:fldCharType="end"/>
            </w:r>
          </w:hyperlink>
        </w:p>
        <w:p w14:paraId="45F42BAE" w14:textId="7923E6B9" w:rsidR="00282263" w:rsidRDefault="00B915E7">
          <w:pPr>
            <w:pStyle w:val="TOC1"/>
            <w:tabs>
              <w:tab w:val="right" w:leader="dot" w:pos="9016"/>
            </w:tabs>
            <w:rPr>
              <w:rFonts w:eastAsiaTheme="minorEastAsia"/>
              <w:noProof/>
              <w:lang w:eastAsia="bg-BG"/>
            </w:rPr>
          </w:pPr>
          <w:hyperlink w:anchor="_Toc120617341" w:history="1">
            <w:r w:rsidR="00282263" w:rsidRPr="006B6BBC">
              <w:rPr>
                <w:rStyle w:val="Hyperlink"/>
                <w:rFonts w:ascii="Times New Roman" w:hAnsi="Times New Roman" w:cs="Times New Roman"/>
                <w:b/>
                <w:bCs/>
                <w:noProof/>
                <w:lang w:val="en-US"/>
              </w:rPr>
              <w:t>How the social media platforms can be used to support the Birmingham 2022 Commonwealth Games?</w:t>
            </w:r>
            <w:r w:rsidR="00282263">
              <w:rPr>
                <w:noProof/>
                <w:webHidden/>
              </w:rPr>
              <w:tab/>
            </w:r>
            <w:r w:rsidR="00282263">
              <w:rPr>
                <w:noProof/>
                <w:webHidden/>
              </w:rPr>
              <w:fldChar w:fldCharType="begin"/>
            </w:r>
            <w:r w:rsidR="00282263">
              <w:rPr>
                <w:noProof/>
                <w:webHidden/>
              </w:rPr>
              <w:instrText xml:space="preserve"> PAGEREF _Toc120617341 \h </w:instrText>
            </w:r>
            <w:r w:rsidR="00282263">
              <w:rPr>
                <w:noProof/>
                <w:webHidden/>
              </w:rPr>
            </w:r>
            <w:r w:rsidR="00282263">
              <w:rPr>
                <w:noProof/>
                <w:webHidden/>
              </w:rPr>
              <w:fldChar w:fldCharType="separate"/>
            </w:r>
            <w:r w:rsidR="00282263">
              <w:rPr>
                <w:noProof/>
                <w:webHidden/>
              </w:rPr>
              <w:t>6</w:t>
            </w:r>
            <w:r w:rsidR="00282263">
              <w:rPr>
                <w:noProof/>
                <w:webHidden/>
              </w:rPr>
              <w:fldChar w:fldCharType="end"/>
            </w:r>
          </w:hyperlink>
        </w:p>
        <w:p w14:paraId="433C8F32" w14:textId="72522D30" w:rsidR="00282263" w:rsidRDefault="00B915E7">
          <w:pPr>
            <w:pStyle w:val="TOC1"/>
            <w:tabs>
              <w:tab w:val="right" w:leader="dot" w:pos="9016"/>
            </w:tabs>
            <w:rPr>
              <w:rFonts w:eastAsiaTheme="minorEastAsia"/>
              <w:noProof/>
              <w:lang w:eastAsia="bg-BG"/>
            </w:rPr>
          </w:pPr>
          <w:hyperlink w:anchor="_Toc120617342" w:history="1">
            <w:r w:rsidR="00282263" w:rsidRPr="006B6BBC">
              <w:rPr>
                <w:rStyle w:val="Hyperlink"/>
                <w:rFonts w:ascii="Times New Roman" w:hAnsi="Times New Roman" w:cs="Times New Roman"/>
                <w:b/>
                <w:bCs/>
                <w:noProof/>
                <w:lang w:val="en-US"/>
              </w:rPr>
              <w:t>The forward-looking approach to educate</w:t>
            </w:r>
            <w:r w:rsidR="00282263">
              <w:rPr>
                <w:noProof/>
                <w:webHidden/>
              </w:rPr>
              <w:tab/>
            </w:r>
            <w:r w:rsidR="00282263">
              <w:rPr>
                <w:noProof/>
                <w:webHidden/>
              </w:rPr>
              <w:fldChar w:fldCharType="begin"/>
            </w:r>
            <w:r w:rsidR="00282263">
              <w:rPr>
                <w:noProof/>
                <w:webHidden/>
              </w:rPr>
              <w:instrText xml:space="preserve"> PAGEREF _Toc120617342 \h </w:instrText>
            </w:r>
            <w:r w:rsidR="00282263">
              <w:rPr>
                <w:noProof/>
                <w:webHidden/>
              </w:rPr>
            </w:r>
            <w:r w:rsidR="00282263">
              <w:rPr>
                <w:noProof/>
                <w:webHidden/>
              </w:rPr>
              <w:fldChar w:fldCharType="separate"/>
            </w:r>
            <w:r w:rsidR="00282263">
              <w:rPr>
                <w:noProof/>
                <w:webHidden/>
              </w:rPr>
              <w:t>7</w:t>
            </w:r>
            <w:r w:rsidR="00282263">
              <w:rPr>
                <w:noProof/>
                <w:webHidden/>
              </w:rPr>
              <w:fldChar w:fldCharType="end"/>
            </w:r>
          </w:hyperlink>
        </w:p>
        <w:p w14:paraId="054E5AF7" w14:textId="3E6837DE" w:rsidR="00282263" w:rsidRDefault="00B915E7">
          <w:pPr>
            <w:pStyle w:val="TOC1"/>
            <w:tabs>
              <w:tab w:val="right" w:leader="dot" w:pos="9016"/>
            </w:tabs>
            <w:rPr>
              <w:rFonts w:eastAsiaTheme="minorEastAsia"/>
              <w:noProof/>
              <w:lang w:eastAsia="bg-BG"/>
            </w:rPr>
          </w:pPr>
          <w:hyperlink w:anchor="_Toc120617343" w:history="1">
            <w:r w:rsidR="00282263" w:rsidRPr="006B6BBC">
              <w:rPr>
                <w:rStyle w:val="Hyperlink"/>
                <w:rFonts w:ascii="Times New Roman" w:hAnsi="Times New Roman" w:cs="Times New Roman"/>
                <w:b/>
                <w:bCs/>
                <w:noProof/>
                <w:lang w:val="en-US"/>
              </w:rPr>
              <w:t>Conclusion</w:t>
            </w:r>
            <w:r w:rsidR="00282263">
              <w:rPr>
                <w:noProof/>
                <w:webHidden/>
              </w:rPr>
              <w:tab/>
            </w:r>
            <w:r w:rsidR="00282263">
              <w:rPr>
                <w:noProof/>
                <w:webHidden/>
              </w:rPr>
              <w:fldChar w:fldCharType="begin"/>
            </w:r>
            <w:r w:rsidR="00282263">
              <w:rPr>
                <w:noProof/>
                <w:webHidden/>
              </w:rPr>
              <w:instrText xml:space="preserve"> PAGEREF _Toc120617343 \h </w:instrText>
            </w:r>
            <w:r w:rsidR="00282263">
              <w:rPr>
                <w:noProof/>
                <w:webHidden/>
              </w:rPr>
            </w:r>
            <w:r w:rsidR="00282263">
              <w:rPr>
                <w:noProof/>
                <w:webHidden/>
              </w:rPr>
              <w:fldChar w:fldCharType="separate"/>
            </w:r>
            <w:r w:rsidR="00282263">
              <w:rPr>
                <w:noProof/>
                <w:webHidden/>
              </w:rPr>
              <w:t>7</w:t>
            </w:r>
            <w:r w:rsidR="00282263">
              <w:rPr>
                <w:noProof/>
                <w:webHidden/>
              </w:rPr>
              <w:fldChar w:fldCharType="end"/>
            </w:r>
          </w:hyperlink>
        </w:p>
        <w:p w14:paraId="2A047B7E" w14:textId="791FFE36" w:rsidR="00282263" w:rsidRDefault="00B915E7">
          <w:pPr>
            <w:pStyle w:val="TOC1"/>
            <w:tabs>
              <w:tab w:val="right" w:leader="dot" w:pos="9016"/>
            </w:tabs>
            <w:rPr>
              <w:rFonts w:eastAsiaTheme="minorEastAsia"/>
              <w:noProof/>
              <w:lang w:eastAsia="bg-BG"/>
            </w:rPr>
          </w:pPr>
          <w:hyperlink w:anchor="_Toc120617344" w:history="1">
            <w:r w:rsidR="00282263" w:rsidRPr="006B6BBC">
              <w:rPr>
                <w:rStyle w:val="Hyperlink"/>
                <w:rFonts w:ascii="Times New Roman" w:hAnsi="Times New Roman" w:cs="Times New Roman"/>
                <w:b/>
                <w:bCs/>
                <w:noProof/>
                <w:lang w:val="en-US"/>
              </w:rPr>
              <w:t>References</w:t>
            </w:r>
            <w:r w:rsidR="00282263">
              <w:rPr>
                <w:noProof/>
                <w:webHidden/>
              </w:rPr>
              <w:tab/>
            </w:r>
            <w:r w:rsidR="00282263">
              <w:rPr>
                <w:noProof/>
                <w:webHidden/>
              </w:rPr>
              <w:fldChar w:fldCharType="begin"/>
            </w:r>
            <w:r w:rsidR="00282263">
              <w:rPr>
                <w:noProof/>
                <w:webHidden/>
              </w:rPr>
              <w:instrText xml:space="preserve"> PAGEREF _Toc120617344 \h </w:instrText>
            </w:r>
            <w:r w:rsidR="00282263">
              <w:rPr>
                <w:noProof/>
                <w:webHidden/>
              </w:rPr>
            </w:r>
            <w:r w:rsidR="00282263">
              <w:rPr>
                <w:noProof/>
                <w:webHidden/>
              </w:rPr>
              <w:fldChar w:fldCharType="separate"/>
            </w:r>
            <w:r w:rsidR="00282263">
              <w:rPr>
                <w:noProof/>
                <w:webHidden/>
              </w:rPr>
              <w:t>9</w:t>
            </w:r>
            <w:r w:rsidR="00282263">
              <w:rPr>
                <w:noProof/>
                <w:webHidden/>
              </w:rPr>
              <w:fldChar w:fldCharType="end"/>
            </w:r>
          </w:hyperlink>
        </w:p>
        <w:p w14:paraId="3B1E2EB0" w14:textId="09024860" w:rsidR="00361387" w:rsidRDefault="00361387">
          <w:r>
            <w:rPr>
              <w:b/>
              <w:bCs/>
              <w:lang w:val="en-GB"/>
            </w:rPr>
            <w:fldChar w:fldCharType="end"/>
          </w:r>
        </w:p>
      </w:sdtContent>
    </w:sdt>
    <w:p w14:paraId="0E1D332B" w14:textId="77777777" w:rsidR="00361387" w:rsidRDefault="00361387">
      <w:pPr>
        <w:rPr>
          <w:lang w:val="en-US"/>
        </w:rPr>
      </w:pPr>
    </w:p>
    <w:p w14:paraId="0065BF3E" w14:textId="0CD5F6DF" w:rsidR="00FF7C5A" w:rsidRDefault="00FF7C5A">
      <w:pPr>
        <w:rPr>
          <w:lang w:val="en-US"/>
        </w:rPr>
      </w:pPr>
      <w:r>
        <w:rPr>
          <w:lang w:val="en-US"/>
        </w:rPr>
        <w:br w:type="page"/>
      </w:r>
    </w:p>
    <w:p w14:paraId="2A2A1C59" w14:textId="08173F6E" w:rsidR="00FF7C5A" w:rsidRPr="00EA2986" w:rsidRDefault="00FF7C5A" w:rsidP="00EA2986">
      <w:pPr>
        <w:pStyle w:val="Heading1"/>
        <w:spacing w:line="360" w:lineRule="auto"/>
        <w:jc w:val="center"/>
        <w:rPr>
          <w:rFonts w:ascii="Times New Roman" w:hAnsi="Times New Roman" w:cs="Times New Roman"/>
          <w:b/>
          <w:bCs/>
          <w:color w:val="auto"/>
          <w:sz w:val="24"/>
          <w:szCs w:val="24"/>
          <w:lang w:val="en-US"/>
        </w:rPr>
      </w:pPr>
      <w:bookmarkStart w:id="0" w:name="_Toc120617336"/>
      <w:r w:rsidRPr="00EA2986">
        <w:rPr>
          <w:rFonts w:ascii="Times New Roman" w:hAnsi="Times New Roman" w:cs="Times New Roman"/>
          <w:b/>
          <w:bCs/>
          <w:color w:val="auto"/>
          <w:sz w:val="24"/>
          <w:szCs w:val="24"/>
          <w:lang w:val="en-US"/>
        </w:rPr>
        <w:lastRenderedPageBreak/>
        <w:t>Introduction</w:t>
      </w:r>
      <w:bookmarkEnd w:id="0"/>
    </w:p>
    <w:p w14:paraId="4BDA425D" w14:textId="77777777" w:rsidR="00EA2986" w:rsidRDefault="003618AF" w:rsidP="00EA2986">
      <w:pPr>
        <w:spacing w:line="360" w:lineRule="auto"/>
        <w:ind w:firstLine="708"/>
        <w:jc w:val="both"/>
        <w:rPr>
          <w:rFonts w:ascii="Times New Roman" w:hAnsi="Times New Roman" w:cs="Times New Roman"/>
          <w:sz w:val="24"/>
          <w:szCs w:val="24"/>
          <w:lang w:val="en-GB"/>
        </w:rPr>
      </w:pPr>
      <w:r w:rsidRPr="00EA2986">
        <w:rPr>
          <w:rFonts w:ascii="Times New Roman" w:hAnsi="Times New Roman" w:cs="Times New Roman"/>
          <w:sz w:val="24"/>
          <w:szCs w:val="24"/>
          <w:lang w:val="en-GB"/>
        </w:rPr>
        <w:t>Participating in community engagement is working with and through varied groups of people to solve problems that are harming the well-being of those people. These groups may be connected by location, a particular interest, or comparable experiences (CDC, 2011). </w:t>
      </w:r>
    </w:p>
    <w:p w14:paraId="5C4F287C" w14:textId="77777777" w:rsidR="00EA2986" w:rsidRDefault="003618AF" w:rsidP="00EA2986">
      <w:pPr>
        <w:spacing w:line="360" w:lineRule="auto"/>
        <w:ind w:firstLine="708"/>
        <w:jc w:val="both"/>
        <w:rPr>
          <w:rFonts w:ascii="Times New Roman" w:hAnsi="Times New Roman" w:cs="Times New Roman"/>
          <w:sz w:val="24"/>
          <w:szCs w:val="24"/>
          <w:lang w:val="en-GB"/>
        </w:rPr>
      </w:pPr>
      <w:r w:rsidRPr="00EA2986">
        <w:rPr>
          <w:rStyle w:val="Emphasis"/>
          <w:rFonts w:ascii="Times New Roman" w:hAnsi="Times New Roman" w:cs="Times New Roman"/>
          <w:color w:val="0E101A"/>
          <w:sz w:val="24"/>
          <w:szCs w:val="24"/>
          <w:lang w:val="en-GB"/>
        </w:rPr>
        <w:t>Community involvement</w:t>
      </w:r>
      <w:r w:rsidRPr="00EA2986">
        <w:rPr>
          <w:rFonts w:ascii="Times New Roman" w:hAnsi="Times New Roman" w:cs="Times New Roman"/>
          <w:sz w:val="24"/>
          <w:szCs w:val="24"/>
          <w:lang w:val="en-GB"/>
        </w:rPr>
        <w:t> may be defined as the process of intentional cooperation amongst varied groups of people to produce a better vision for the community's shared future or to improve a current condition. The purpose of community engagement is to foster a stronger connection between different groups of people and cultivate trust, relationships, and long-term collaboration, which will ultimately result in more extended interactions to enhance the community's overall performance and prospects for the future</w:t>
      </w:r>
      <w:r w:rsidR="00EA2986" w:rsidRPr="00EA2986">
        <w:rPr>
          <w:rFonts w:ascii="Times New Roman" w:hAnsi="Times New Roman" w:cs="Times New Roman"/>
          <w:sz w:val="24"/>
          <w:szCs w:val="24"/>
          <w:lang w:val="en-GB"/>
        </w:rPr>
        <w:t xml:space="preserve"> (</w:t>
      </w:r>
      <w:proofErr w:type="spellStart"/>
      <w:r w:rsidR="00EA2986" w:rsidRPr="00EA2986">
        <w:rPr>
          <w:rFonts w:ascii="Times New Roman" w:hAnsi="Times New Roman" w:cs="Times New Roman"/>
          <w:sz w:val="24"/>
          <w:szCs w:val="24"/>
          <w:lang w:val="en-GB"/>
        </w:rPr>
        <w:t>Schlake</w:t>
      </w:r>
      <w:proofErr w:type="spellEnd"/>
      <w:r w:rsidR="00EA2986" w:rsidRPr="00EA2986">
        <w:rPr>
          <w:rFonts w:ascii="Times New Roman" w:hAnsi="Times New Roman" w:cs="Times New Roman"/>
          <w:sz w:val="24"/>
          <w:szCs w:val="24"/>
          <w:lang w:val="en-GB"/>
        </w:rPr>
        <w:t>, 2015).</w:t>
      </w:r>
      <w:r w:rsidRPr="00EA2986">
        <w:rPr>
          <w:rFonts w:ascii="Times New Roman" w:hAnsi="Times New Roman" w:cs="Times New Roman"/>
          <w:sz w:val="24"/>
          <w:szCs w:val="24"/>
          <w:lang w:val="en-GB"/>
        </w:rPr>
        <w:t xml:space="preserve"> </w:t>
      </w:r>
    </w:p>
    <w:p w14:paraId="62F6BF6D" w14:textId="0F30C055" w:rsidR="003618AF" w:rsidRPr="00EA2986" w:rsidRDefault="003618AF" w:rsidP="00EA2986">
      <w:pPr>
        <w:spacing w:line="360" w:lineRule="auto"/>
        <w:ind w:firstLine="708"/>
        <w:jc w:val="both"/>
        <w:rPr>
          <w:rFonts w:ascii="Times New Roman" w:hAnsi="Times New Roman" w:cs="Times New Roman"/>
          <w:sz w:val="24"/>
          <w:szCs w:val="24"/>
          <w:lang w:val="en-GB"/>
        </w:rPr>
      </w:pPr>
      <w:r w:rsidRPr="00EA2986">
        <w:rPr>
          <w:rFonts w:ascii="Times New Roman" w:hAnsi="Times New Roman" w:cs="Times New Roman"/>
          <w:sz w:val="24"/>
          <w:szCs w:val="24"/>
          <w:lang w:val="en-GB"/>
        </w:rPr>
        <w:t>This piece of coursework will perform a critical analysis of the best practices that were used in the Birmingham 2022 Commonwealth Games project. The goal of this study is to explain the core aspects of the project. In addition, it outlines the primary ideas of community participation that have been applied to this project. In addition to this, the paper outlines several fundamental approaches to making use of social media platforms in order to improve the outcome of the campaign and get more support from the community for the proposed initiative. In addition, a strategy with a view toward the future is offered to determine the external and internal elements that influence community participation with improved initiatives.</w:t>
      </w:r>
    </w:p>
    <w:p w14:paraId="0740027C" w14:textId="0006E929" w:rsidR="00523ED5" w:rsidRPr="0027448C" w:rsidRDefault="00523ED5" w:rsidP="0027448C">
      <w:pPr>
        <w:pStyle w:val="Heading1"/>
        <w:spacing w:line="360" w:lineRule="auto"/>
        <w:jc w:val="center"/>
        <w:rPr>
          <w:rFonts w:ascii="Times New Roman" w:hAnsi="Times New Roman" w:cs="Times New Roman"/>
          <w:b/>
          <w:bCs/>
          <w:color w:val="auto"/>
          <w:sz w:val="24"/>
          <w:szCs w:val="24"/>
          <w:lang w:val="en-US"/>
        </w:rPr>
      </w:pPr>
      <w:bookmarkStart w:id="1" w:name="_Toc120617337"/>
      <w:r w:rsidRPr="0027448C">
        <w:rPr>
          <w:rFonts w:ascii="Times New Roman" w:hAnsi="Times New Roman" w:cs="Times New Roman"/>
          <w:b/>
          <w:bCs/>
          <w:color w:val="auto"/>
          <w:sz w:val="24"/>
          <w:szCs w:val="24"/>
          <w:lang w:val="en-US"/>
        </w:rPr>
        <w:t>The project: Birmingham 2022 Commonwealth Games</w:t>
      </w:r>
      <w:bookmarkEnd w:id="1"/>
    </w:p>
    <w:p w14:paraId="191AB27D" w14:textId="77777777" w:rsidR="0027448C" w:rsidRPr="0027448C" w:rsidRDefault="0027448C" w:rsidP="0027448C">
      <w:pPr>
        <w:spacing w:line="360" w:lineRule="auto"/>
        <w:ind w:firstLine="708"/>
        <w:jc w:val="both"/>
        <w:rPr>
          <w:rFonts w:ascii="Times New Roman" w:hAnsi="Times New Roman" w:cs="Times New Roman"/>
          <w:sz w:val="24"/>
          <w:szCs w:val="24"/>
          <w:lang w:val="en-GB"/>
        </w:rPr>
      </w:pPr>
      <w:r w:rsidRPr="0027448C">
        <w:rPr>
          <w:rFonts w:ascii="Times New Roman" w:hAnsi="Times New Roman" w:cs="Times New Roman"/>
          <w:sz w:val="24"/>
          <w:szCs w:val="24"/>
          <w:lang w:val="en-GB"/>
        </w:rPr>
        <w:t>The 22nd Commonwealth Games will be held in July and August 2022. It is one of the most significant multi-sport events held in England. Thousands of world-class female athletes participate in this event, with over 1.5 million visitors and spectators to the games. This event is multicultural, as 180 nationalities take part in it. The Birmingham 2022 Commonwealth Games is considered the home of the games for every single nation. During the 2022 Games, 870 medals will be awarded, with 96 Birmingham Community Games records being achieved and four world records being broken. This year, for the first time, more medals were awarded to women than to men. In addition, there are more para-sport events than in any other year (Department for Digital, Culture, Media &amp; Sport, 2022).</w:t>
      </w:r>
    </w:p>
    <w:p w14:paraId="303E33DD" w14:textId="77777777" w:rsidR="0027448C" w:rsidRPr="0027448C" w:rsidRDefault="0027448C" w:rsidP="003969DE">
      <w:pPr>
        <w:spacing w:line="360" w:lineRule="auto"/>
        <w:ind w:firstLine="708"/>
        <w:jc w:val="both"/>
        <w:rPr>
          <w:rFonts w:ascii="Times New Roman" w:hAnsi="Times New Roman" w:cs="Times New Roman"/>
          <w:sz w:val="24"/>
          <w:szCs w:val="24"/>
          <w:lang w:val="en-GB"/>
        </w:rPr>
      </w:pPr>
      <w:r w:rsidRPr="0027448C">
        <w:rPr>
          <w:rFonts w:ascii="Times New Roman" w:hAnsi="Times New Roman" w:cs="Times New Roman"/>
          <w:sz w:val="24"/>
          <w:szCs w:val="24"/>
          <w:lang w:val="en-GB"/>
        </w:rPr>
        <w:t xml:space="preserve">The Birmingham 2022 Commonwealth Games took place at 15 venues across Birmingham, the West Midlands and London. The event covers 19 sports that entertain the spectators in the sports halls. Alongside the Birmingham 2022 Commonwealth Games, </w:t>
      </w:r>
      <w:r w:rsidRPr="0027448C">
        <w:rPr>
          <w:rFonts w:ascii="Times New Roman" w:hAnsi="Times New Roman" w:cs="Times New Roman"/>
          <w:sz w:val="24"/>
          <w:szCs w:val="24"/>
          <w:lang w:val="en-GB"/>
        </w:rPr>
        <w:lastRenderedPageBreak/>
        <w:t>festivals are being organized to enliven some places in Birmingham, the West Midlands and London (Department for Digital, Culture, Media &amp; Sport, 2022).</w:t>
      </w:r>
    </w:p>
    <w:p w14:paraId="5D585F94" w14:textId="2A9725BA" w:rsidR="0027448C" w:rsidRPr="0027448C" w:rsidRDefault="0027448C" w:rsidP="0027448C">
      <w:pPr>
        <w:spacing w:line="360" w:lineRule="auto"/>
        <w:ind w:firstLine="708"/>
        <w:jc w:val="both"/>
        <w:rPr>
          <w:rFonts w:ascii="Times New Roman" w:hAnsi="Times New Roman" w:cs="Times New Roman"/>
          <w:sz w:val="24"/>
          <w:szCs w:val="24"/>
          <w:lang w:val="en-GB"/>
        </w:rPr>
      </w:pPr>
      <w:r w:rsidRPr="0027448C">
        <w:rPr>
          <w:rFonts w:ascii="Times New Roman" w:hAnsi="Times New Roman" w:cs="Times New Roman"/>
          <w:sz w:val="24"/>
          <w:szCs w:val="24"/>
          <w:lang w:val="en-GB"/>
        </w:rPr>
        <w:t xml:space="preserve">The Birmingham 2022 Commonwealth Games is an event with several key objectives: improving health and well-being, bringing people together, </w:t>
      </w:r>
      <w:r w:rsidR="00D15CA2" w:rsidRPr="0027448C">
        <w:rPr>
          <w:rFonts w:ascii="Times New Roman" w:hAnsi="Times New Roman" w:cs="Times New Roman"/>
          <w:sz w:val="24"/>
          <w:szCs w:val="24"/>
          <w:lang w:val="en-GB"/>
        </w:rPr>
        <w:t>catalysing</w:t>
      </w:r>
      <w:r w:rsidRPr="0027448C">
        <w:rPr>
          <w:rFonts w:ascii="Times New Roman" w:hAnsi="Times New Roman" w:cs="Times New Roman"/>
          <w:sz w:val="24"/>
          <w:szCs w:val="24"/>
          <w:lang w:val="en-GB"/>
        </w:rPr>
        <w:t xml:space="preserve"> societal change, supporting regional growth and change, increasing tourist interest in the event, and creating a legacy (Birmingham 2022, 2022).</w:t>
      </w:r>
    </w:p>
    <w:p w14:paraId="4012599F" w14:textId="46CA237A" w:rsidR="0027448C" w:rsidRPr="003969DE" w:rsidRDefault="0027448C" w:rsidP="003969DE">
      <w:pPr>
        <w:spacing w:line="360" w:lineRule="auto"/>
        <w:ind w:firstLine="708"/>
        <w:jc w:val="both"/>
        <w:rPr>
          <w:rFonts w:ascii="Times New Roman" w:hAnsi="Times New Roman" w:cs="Times New Roman"/>
          <w:sz w:val="24"/>
          <w:szCs w:val="24"/>
          <w:lang w:val="en-GB"/>
        </w:rPr>
      </w:pPr>
      <w:r w:rsidRPr="0027448C">
        <w:rPr>
          <w:rFonts w:ascii="Times New Roman" w:hAnsi="Times New Roman" w:cs="Times New Roman"/>
          <w:sz w:val="24"/>
          <w:szCs w:val="24"/>
          <w:lang w:val="en-GB"/>
        </w:rPr>
        <w:t>Birmingham 2022 Commonwealth Games 2022 aims to create a different world in the Games for everyone. The vision of the Birmingham 2022 Commonwealth Games 2022 is to bring people together, whether they are athletes or not (Birmingham 2022, 2022). The goal is to unite the entire city and region, preparing for the iconic sports celebration. The Birmingham community aims for humanity and equality and believes in its endeavours. Creating a dynamic environment in sporting events, culture, and business is one of the main objectives of the Birmingham 2022 Commonwealth Games (Birmingham 2022, 2022).</w:t>
      </w:r>
    </w:p>
    <w:p w14:paraId="2F948ABD" w14:textId="108325E2" w:rsidR="00523ED5" w:rsidRPr="000A60E0" w:rsidRDefault="00523ED5" w:rsidP="000A60E0">
      <w:pPr>
        <w:pStyle w:val="Heading1"/>
        <w:spacing w:line="360" w:lineRule="auto"/>
        <w:jc w:val="center"/>
        <w:rPr>
          <w:rFonts w:ascii="Times New Roman" w:hAnsi="Times New Roman" w:cs="Times New Roman"/>
          <w:b/>
          <w:bCs/>
          <w:color w:val="auto"/>
          <w:sz w:val="24"/>
          <w:szCs w:val="24"/>
          <w:lang w:val="en-US"/>
        </w:rPr>
      </w:pPr>
      <w:bookmarkStart w:id="2" w:name="_Toc120617338"/>
      <w:r w:rsidRPr="000A60E0">
        <w:rPr>
          <w:rFonts w:ascii="Times New Roman" w:hAnsi="Times New Roman" w:cs="Times New Roman"/>
          <w:b/>
          <w:bCs/>
          <w:color w:val="auto"/>
          <w:sz w:val="24"/>
          <w:szCs w:val="24"/>
          <w:lang w:val="en-US"/>
        </w:rPr>
        <w:t>Analyses the best practices</w:t>
      </w:r>
      <w:bookmarkEnd w:id="2"/>
    </w:p>
    <w:p w14:paraId="24D3319B" w14:textId="77777777" w:rsidR="000A60E0" w:rsidRPr="000A60E0" w:rsidRDefault="000A60E0" w:rsidP="000A60E0">
      <w:pPr>
        <w:spacing w:line="360" w:lineRule="auto"/>
        <w:ind w:firstLine="708"/>
        <w:jc w:val="both"/>
        <w:rPr>
          <w:rFonts w:ascii="Times New Roman" w:hAnsi="Times New Roman" w:cs="Times New Roman"/>
          <w:sz w:val="24"/>
          <w:szCs w:val="24"/>
          <w:lang w:val="en-GB"/>
        </w:rPr>
      </w:pPr>
      <w:r w:rsidRPr="000A60E0">
        <w:rPr>
          <w:rFonts w:ascii="Times New Roman" w:hAnsi="Times New Roman" w:cs="Times New Roman"/>
          <w:sz w:val="24"/>
          <w:szCs w:val="24"/>
          <w:lang w:val="en-GB"/>
        </w:rPr>
        <w:t>The good practices implemented in the Birmingham 2022 Commonwealth Games are aimed primarily at creating economic and social development for the region. The most fundamental thing about the Birmingham 2022 Commonwealth Games is creating a legacy. Holding such an event requires the investment of funds from various organizations in order to make it happen. This requires good communication with investors and sponsors of the event. In this regard, Birmingham 2022 Commonwealth Games follow good practices in creating a program for conducting partnership relations with investors. Every year, the organizers strive to raise the bar and provide a more vital and exciting experience for the audience at the event (Birmingham Commonwealth Games, 2022).</w:t>
      </w:r>
    </w:p>
    <w:p w14:paraId="5522C6FF" w14:textId="77777777" w:rsidR="000A60E0" w:rsidRPr="000A60E0" w:rsidRDefault="000A60E0" w:rsidP="000A60E0">
      <w:pPr>
        <w:spacing w:line="360" w:lineRule="auto"/>
        <w:ind w:firstLine="708"/>
        <w:jc w:val="both"/>
        <w:rPr>
          <w:rFonts w:ascii="Times New Roman" w:hAnsi="Times New Roman" w:cs="Times New Roman"/>
          <w:sz w:val="24"/>
          <w:szCs w:val="24"/>
          <w:lang w:val="en-GB"/>
        </w:rPr>
      </w:pPr>
      <w:r w:rsidRPr="000A60E0">
        <w:rPr>
          <w:rFonts w:ascii="Times New Roman" w:hAnsi="Times New Roman" w:cs="Times New Roman"/>
          <w:sz w:val="24"/>
          <w:szCs w:val="24"/>
          <w:lang w:val="en-GB"/>
        </w:rPr>
        <w:t>Another good practice is encouraging young people to get involved and engage in the organisation's process. Their goal is to reach 1 million children in the West Midlands. This can be achieved by conducting school engagement &amp; learning activities, creating a community of young participants, and young voice advocacy activities (Birmingham Commonwealth Games, 2022).</w:t>
      </w:r>
    </w:p>
    <w:p w14:paraId="0D9E183F" w14:textId="12511277" w:rsidR="000A60E0" w:rsidRPr="000A60E0" w:rsidRDefault="000A60E0" w:rsidP="000A60E0">
      <w:pPr>
        <w:spacing w:line="360" w:lineRule="auto"/>
        <w:ind w:firstLine="708"/>
        <w:jc w:val="both"/>
        <w:rPr>
          <w:rFonts w:ascii="Times New Roman" w:hAnsi="Times New Roman" w:cs="Times New Roman"/>
          <w:sz w:val="24"/>
          <w:szCs w:val="24"/>
          <w:lang w:val="en-GB"/>
        </w:rPr>
      </w:pPr>
      <w:r w:rsidRPr="000A60E0">
        <w:rPr>
          <w:rFonts w:ascii="Times New Roman" w:hAnsi="Times New Roman" w:cs="Times New Roman"/>
          <w:sz w:val="24"/>
          <w:szCs w:val="24"/>
          <w:lang w:val="en-GB"/>
        </w:rPr>
        <w:t xml:space="preserve">The following good practice aims to create a physical activity and well-being legacy in Birmingham. They achieved this with activities aimed at bringing people together, creating a club in the sporting events, and The Active Wellbeing Society aimed at stimulating participants </w:t>
      </w:r>
      <w:r w:rsidRPr="000A60E0">
        <w:rPr>
          <w:rFonts w:ascii="Times New Roman" w:hAnsi="Times New Roman" w:cs="Times New Roman"/>
          <w:sz w:val="24"/>
          <w:szCs w:val="24"/>
          <w:lang w:val="en-GB"/>
        </w:rPr>
        <w:lastRenderedPageBreak/>
        <w:t xml:space="preserve">in events on the streets that </w:t>
      </w:r>
      <w:proofErr w:type="gramStart"/>
      <w:r w:rsidRPr="000A60E0">
        <w:rPr>
          <w:rFonts w:ascii="Times New Roman" w:hAnsi="Times New Roman" w:cs="Times New Roman"/>
          <w:sz w:val="24"/>
          <w:szCs w:val="24"/>
          <w:lang w:val="en-GB"/>
        </w:rPr>
        <w:t>are connected with</w:t>
      </w:r>
      <w:proofErr w:type="gramEnd"/>
      <w:r w:rsidRPr="000A60E0">
        <w:rPr>
          <w:rFonts w:ascii="Times New Roman" w:hAnsi="Times New Roman" w:cs="Times New Roman"/>
          <w:sz w:val="24"/>
          <w:szCs w:val="24"/>
          <w:lang w:val="en-GB"/>
        </w:rPr>
        <w:t xml:space="preserve"> the project (Birmingham Commonwealth Games, 2022). </w:t>
      </w:r>
      <w:r w:rsidR="00770E07" w:rsidRPr="000A60E0">
        <w:rPr>
          <w:rFonts w:ascii="Times New Roman" w:hAnsi="Times New Roman" w:cs="Times New Roman"/>
          <w:sz w:val="24"/>
          <w:szCs w:val="24"/>
          <w:lang w:val="en-GB"/>
        </w:rPr>
        <w:t xml:space="preserve"> </w:t>
      </w:r>
    </w:p>
    <w:p w14:paraId="2CBDA3FC" w14:textId="32999984" w:rsidR="00523ED5" w:rsidRPr="00255AFB" w:rsidRDefault="00523ED5" w:rsidP="00255AFB">
      <w:pPr>
        <w:pStyle w:val="Heading1"/>
        <w:spacing w:line="360" w:lineRule="auto"/>
        <w:jc w:val="center"/>
        <w:rPr>
          <w:rFonts w:ascii="Times New Roman" w:hAnsi="Times New Roman" w:cs="Times New Roman"/>
          <w:b/>
          <w:bCs/>
          <w:color w:val="auto"/>
          <w:sz w:val="24"/>
          <w:szCs w:val="24"/>
          <w:lang w:val="en-US"/>
        </w:rPr>
      </w:pPr>
      <w:bookmarkStart w:id="3" w:name="_Toc120617339"/>
      <w:r w:rsidRPr="00255AFB">
        <w:rPr>
          <w:rFonts w:ascii="Times New Roman" w:hAnsi="Times New Roman" w:cs="Times New Roman"/>
          <w:b/>
          <w:bCs/>
          <w:color w:val="auto"/>
          <w:sz w:val="24"/>
          <w:szCs w:val="24"/>
          <w:lang w:val="en-US"/>
        </w:rPr>
        <w:t>Community engagement principles</w:t>
      </w:r>
      <w:bookmarkEnd w:id="3"/>
    </w:p>
    <w:p w14:paraId="37F9C958"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The fundamental principles that affect the organization of community engagement events for the Birmingham 2022 Commonwealth Games include some of the fundamental principles (CDC, 1997):</w:t>
      </w:r>
    </w:p>
    <w:p w14:paraId="04AE0226" w14:textId="12C7FA76"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1. Defining the goal, goals and population – This is a principle that the Birmingham 2022 Commonwealth Games follows when creating the project concept. They aim to create community unification in the region through their engagement with the fragmented sporting events they organize.</w:t>
      </w:r>
    </w:p>
    <w:p w14:paraId="229522BB"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2. Getting to know the community - The Birmingham 2022 Commonwealth Games organizers know the community well and exactly what needs improvement—such as engaging young people in the community, creating physical and well-being activities, increasing investment, improving the economic situation, creating new jobs, attracting tourist attention, sustainability and creating a legacy for future generations.</w:t>
      </w:r>
    </w:p>
    <w:p w14:paraId="4E6218E1"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3. Establishing links with the community - Birmingham 2022 Commonwealth Games organizers hold numerous meetings with young and older people, investors, and potential </w:t>
      </w:r>
      <w:proofErr w:type="spellStart"/>
      <w:r w:rsidRPr="00255AFB">
        <w:rPr>
          <w:rFonts w:ascii="Times New Roman" w:hAnsi="Times New Roman" w:cs="Times New Roman"/>
          <w:sz w:val="24"/>
          <w:szCs w:val="24"/>
          <w:lang w:val="en-US"/>
        </w:rPr>
        <w:t>organisation</w:t>
      </w:r>
      <w:proofErr w:type="spellEnd"/>
      <w:r w:rsidRPr="00255AFB">
        <w:rPr>
          <w:rFonts w:ascii="Times New Roman" w:hAnsi="Times New Roman" w:cs="Times New Roman"/>
          <w:sz w:val="24"/>
          <w:szCs w:val="24"/>
          <w:lang w:val="en-US"/>
        </w:rPr>
        <w:t xml:space="preserve"> stakeholders. In addition, they constantly keep in touch with the community, even involving them through volunteer practice in </w:t>
      </w:r>
      <w:proofErr w:type="spellStart"/>
      <w:r w:rsidRPr="00255AFB">
        <w:rPr>
          <w:rFonts w:ascii="Times New Roman" w:hAnsi="Times New Roman" w:cs="Times New Roman"/>
          <w:sz w:val="24"/>
          <w:szCs w:val="24"/>
          <w:lang w:val="en-US"/>
        </w:rPr>
        <w:t>organising</w:t>
      </w:r>
      <w:proofErr w:type="spellEnd"/>
      <w:r w:rsidRPr="00255AFB">
        <w:rPr>
          <w:rFonts w:ascii="Times New Roman" w:hAnsi="Times New Roman" w:cs="Times New Roman"/>
          <w:sz w:val="24"/>
          <w:szCs w:val="24"/>
          <w:lang w:val="en-US"/>
        </w:rPr>
        <w:t xml:space="preserve"> events.</w:t>
      </w:r>
    </w:p>
    <w:p w14:paraId="24614B61"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4. Collective self-determination – It is essential for community engagement. The organizers have identified the community's problem areas and aimed to solve some of these problems.</w:t>
      </w:r>
    </w:p>
    <w:p w14:paraId="43958155"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5. Creating partnerships - Birmingham 2022 Commonwealth Games has many varied event sponsors and investors, which creates a good connection between the organization and the community.</w:t>
      </w:r>
    </w:p>
    <w:p w14:paraId="598F8374"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6. Respect for culture - Birmingham 2022 Commonwealth Games fully respects the inclusion of different cultures, ethnicities and nations in the Games.</w:t>
      </w:r>
    </w:p>
    <w:p w14:paraId="71B2D05B"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7. Mobilize community assets and develop capacity. The organization of the Games aims to involve different groups of people in the </w:t>
      </w:r>
      <w:proofErr w:type="spellStart"/>
      <w:r w:rsidRPr="00255AFB">
        <w:rPr>
          <w:rFonts w:ascii="Times New Roman" w:hAnsi="Times New Roman" w:cs="Times New Roman"/>
          <w:sz w:val="24"/>
          <w:szCs w:val="24"/>
          <w:lang w:val="en-US"/>
        </w:rPr>
        <w:t>organisation</w:t>
      </w:r>
      <w:proofErr w:type="spellEnd"/>
      <w:r w:rsidRPr="00255AFB">
        <w:rPr>
          <w:rFonts w:ascii="Times New Roman" w:hAnsi="Times New Roman" w:cs="Times New Roman"/>
          <w:sz w:val="24"/>
          <w:szCs w:val="24"/>
          <w:lang w:val="en-US"/>
        </w:rPr>
        <w:t xml:space="preserve"> process.</w:t>
      </w:r>
    </w:p>
    <w:p w14:paraId="73F01D61" w14:textId="77777777"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lastRenderedPageBreak/>
        <w:t xml:space="preserve">8. Maintain flexibility - A flexible process is a fundamental principle the organizers are willing to follow and change some crucial </w:t>
      </w:r>
      <w:proofErr w:type="spellStart"/>
      <w:r w:rsidRPr="00255AFB">
        <w:rPr>
          <w:rFonts w:ascii="Times New Roman" w:hAnsi="Times New Roman" w:cs="Times New Roman"/>
          <w:sz w:val="24"/>
          <w:szCs w:val="24"/>
          <w:lang w:val="en-US"/>
        </w:rPr>
        <w:t>organisational</w:t>
      </w:r>
      <w:proofErr w:type="spellEnd"/>
      <w:r w:rsidRPr="00255AFB">
        <w:rPr>
          <w:rFonts w:ascii="Times New Roman" w:hAnsi="Times New Roman" w:cs="Times New Roman"/>
          <w:sz w:val="24"/>
          <w:szCs w:val="24"/>
          <w:lang w:val="en-US"/>
        </w:rPr>
        <w:t xml:space="preserve"> moments.</w:t>
      </w:r>
    </w:p>
    <w:p w14:paraId="6BDD9370" w14:textId="5DA408D9" w:rsidR="00255AFB" w:rsidRPr="00255AFB" w:rsidRDefault="00255AFB" w:rsidP="00255AFB">
      <w:pPr>
        <w:spacing w:line="360" w:lineRule="auto"/>
        <w:ind w:firstLine="708"/>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9. Commitment to collaboration - this is the last principle, which includes targeting and achieving complex solutions to social problems.</w:t>
      </w:r>
    </w:p>
    <w:p w14:paraId="60A463E4" w14:textId="7844422A" w:rsidR="00523ED5" w:rsidRPr="00255AFB" w:rsidRDefault="003969DE" w:rsidP="00255AFB">
      <w:pPr>
        <w:pStyle w:val="Heading1"/>
        <w:spacing w:line="360" w:lineRule="auto"/>
        <w:jc w:val="center"/>
        <w:rPr>
          <w:rFonts w:ascii="Times New Roman" w:hAnsi="Times New Roman" w:cs="Times New Roman"/>
          <w:b/>
          <w:bCs/>
          <w:color w:val="auto"/>
          <w:sz w:val="24"/>
          <w:szCs w:val="24"/>
          <w:lang w:val="en-US"/>
        </w:rPr>
      </w:pPr>
      <w:bookmarkStart w:id="4" w:name="_Toc120617340"/>
      <w:r w:rsidRPr="00255AFB">
        <w:rPr>
          <w:rFonts w:ascii="Times New Roman" w:hAnsi="Times New Roman" w:cs="Times New Roman"/>
          <w:b/>
          <w:bCs/>
          <w:color w:val="auto"/>
          <w:sz w:val="24"/>
          <w:szCs w:val="24"/>
          <w:lang w:val="en-US"/>
        </w:rPr>
        <w:t>Relationships</w:t>
      </w:r>
      <w:r w:rsidR="00523ED5" w:rsidRPr="00255AFB">
        <w:rPr>
          <w:rFonts w:ascii="Times New Roman" w:hAnsi="Times New Roman" w:cs="Times New Roman"/>
          <w:b/>
          <w:bCs/>
          <w:color w:val="auto"/>
          <w:sz w:val="24"/>
          <w:szCs w:val="24"/>
          <w:lang w:val="en-US"/>
        </w:rPr>
        <w:t xml:space="preserve"> between stakeholders and strategies (social media platforms)</w:t>
      </w:r>
      <w:bookmarkEnd w:id="4"/>
    </w:p>
    <w:p w14:paraId="79215B5D" w14:textId="651F2E68" w:rsidR="00255AFB" w:rsidRPr="00255AFB" w:rsidRDefault="00255AFB" w:rsidP="00255AFB">
      <w:pPr>
        <w:spacing w:line="360" w:lineRule="auto"/>
        <w:ind w:firstLine="708"/>
        <w:jc w:val="both"/>
        <w:rPr>
          <w:rFonts w:ascii="Times New Roman" w:hAnsi="Times New Roman" w:cs="Times New Roman"/>
          <w:sz w:val="24"/>
          <w:szCs w:val="24"/>
          <w:lang w:val="en-GB"/>
        </w:rPr>
      </w:pPr>
      <w:r w:rsidRPr="00255AFB">
        <w:rPr>
          <w:rFonts w:ascii="Times New Roman" w:hAnsi="Times New Roman" w:cs="Times New Roman"/>
          <w:sz w:val="24"/>
          <w:szCs w:val="24"/>
          <w:lang w:val="en-GB"/>
        </w:rPr>
        <w:t>The link between social media stakeholders and the Birmingham 2022 Commonwealth Games is through the organisation's official website. There is an opportunity for the media and volunteers to enter through a special registration and receive information about the development of the activities (Birmingham 2022, 2022). On social media, Birmingham 2022 Commonwealth Games has a dedicated conversation starter hashtag, #B2022. In addition, the games have social media profiles such as Facebook, Instagram, Twitter, YouTube, TikTok and LinkedIn.</w:t>
      </w:r>
    </w:p>
    <w:p w14:paraId="31AD6DDC" w14:textId="5A7AADF0" w:rsidR="00523ED5" w:rsidRPr="006651B2" w:rsidRDefault="00523ED5" w:rsidP="006651B2">
      <w:pPr>
        <w:pStyle w:val="Heading1"/>
        <w:spacing w:line="360" w:lineRule="auto"/>
        <w:jc w:val="center"/>
        <w:rPr>
          <w:rFonts w:ascii="Times New Roman" w:hAnsi="Times New Roman" w:cs="Times New Roman"/>
          <w:b/>
          <w:bCs/>
          <w:color w:val="auto"/>
          <w:sz w:val="24"/>
          <w:szCs w:val="24"/>
          <w:lang w:val="en-US"/>
        </w:rPr>
      </w:pPr>
      <w:bookmarkStart w:id="5" w:name="_Toc120617341"/>
      <w:r w:rsidRPr="006651B2">
        <w:rPr>
          <w:rFonts w:ascii="Times New Roman" w:hAnsi="Times New Roman" w:cs="Times New Roman"/>
          <w:b/>
          <w:bCs/>
          <w:color w:val="auto"/>
          <w:sz w:val="24"/>
          <w:szCs w:val="24"/>
          <w:lang w:val="en-US"/>
        </w:rPr>
        <w:t>How the social media platforms can be used to support the Birmingham 2022 Commonwealth Games?</w:t>
      </w:r>
      <w:bookmarkEnd w:id="5"/>
    </w:p>
    <w:p w14:paraId="7180A4CD" w14:textId="77777777" w:rsidR="006651B2" w:rsidRPr="006651B2" w:rsidRDefault="006651B2" w:rsidP="006651B2">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t xml:space="preserve">According to Wasserman, social media consists of multiple people communicating with each other </w:t>
      </w:r>
      <w:proofErr w:type="gramStart"/>
      <w:r w:rsidRPr="006651B2">
        <w:rPr>
          <w:rFonts w:ascii="Times New Roman" w:hAnsi="Times New Roman" w:cs="Times New Roman"/>
          <w:sz w:val="24"/>
          <w:szCs w:val="24"/>
          <w:lang w:val="en-GB"/>
        </w:rPr>
        <w:t>through the use of</w:t>
      </w:r>
      <w:proofErr w:type="gramEnd"/>
      <w:r w:rsidRPr="006651B2">
        <w:rPr>
          <w:rFonts w:ascii="Times New Roman" w:hAnsi="Times New Roman" w:cs="Times New Roman"/>
          <w:sz w:val="24"/>
          <w:szCs w:val="24"/>
          <w:lang w:val="en-GB"/>
        </w:rPr>
        <w:t xml:space="preserve"> various communication channels (Wasserman, 1994). Every single person can be a part of social media, creating a connection with others on the web. For this, social platforms are perfect for creating community engagement because people share their main views and ideas and bringing different people together in one initiative is much easier (Dozier et al., 2011). Social media reaches a much more extensive range of people than can be physically reached.</w:t>
      </w:r>
    </w:p>
    <w:p w14:paraId="6F3F2EB3" w14:textId="77777777" w:rsidR="006651B2" w:rsidRPr="006651B2" w:rsidRDefault="006651B2" w:rsidP="006651B2">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t>To improve the use of social media in support of the Birmingham 2022 Commonwealth Games, several key steps can be taken:</w:t>
      </w:r>
    </w:p>
    <w:p w14:paraId="65EF8E53" w14:textId="77777777" w:rsidR="006651B2" w:rsidRPr="006651B2" w:rsidRDefault="006651B2" w:rsidP="006651B2">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t>1. Getting to know the community - Much easier on social media, the organizers of the Games can get to know their audience by constantly sharing different issues for their followers to discuss and reach other people (</w:t>
      </w:r>
      <w:proofErr w:type="spellStart"/>
      <w:r w:rsidRPr="006651B2">
        <w:rPr>
          <w:rFonts w:ascii="Times New Roman" w:hAnsi="Times New Roman" w:cs="Times New Roman"/>
          <w:sz w:val="24"/>
          <w:szCs w:val="24"/>
          <w:lang w:val="en-GB"/>
        </w:rPr>
        <w:t>Corhran</w:t>
      </w:r>
      <w:proofErr w:type="spellEnd"/>
      <w:r w:rsidRPr="006651B2">
        <w:rPr>
          <w:rFonts w:ascii="Times New Roman" w:hAnsi="Times New Roman" w:cs="Times New Roman"/>
          <w:sz w:val="24"/>
          <w:szCs w:val="24"/>
          <w:lang w:val="en-GB"/>
        </w:rPr>
        <w:t xml:space="preserve"> et al., 2019). Besides, Birmingham 2022 Commonwealth Games now has enough social media channels established where it communicates with the audience through different methods. For example, an image is posted on Instagram, video materials are shared on YouTube, and a discussion can be held on various issues on Facebook.</w:t>
      </w:r>
    </w:p>
    <w:p w14:paraId="3233E563" w14:textId="77777777" w:rsidR="006651B2" w:rsidRPr="006651B2" w:rsidRDefault="006651B2" w:rsidP="006651B2">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lastRenderedPageBreak/>
        <w:t>2. To present the strategy and position of the organizers - Social platforms are an easy place to show the campaign's primary goals. Through this sharing, users can join the community and stimulate new sponsors and investors who support these goals (</w:t>
      </w:r>
      <w:proofErr w:type="spellStart"/>
      <w:r w:rsidRPr="006651B2">
        <w:rPr>
          <w:rFonts w:ascii="Times New Roman" w:hAnsi="Times New Roman" w:cs="Times New Roman"/>
          <w:sz w:val="24"/>
          <w:szCs w:val="24"/>
          <w:lang w:val="en-GB"/>
        </w:rPr>
        <w:t>Barcon</w:t>
      </w:r>
      <w:proofErr w:type="spellEnd"/>
      <w:r w:rsidRPr="006651B2">
        <w:rPr>
          <w:rFonts w:ascii="Times New Roman" w:hAnsi="Times New Roman" w:cs="Times New Roman"/>
          <w:sz w:val="24"/>
          <w:szCs w:val="24"/>
          <w:lang w:val="en-GB"/>
        </w:rPr>
        <w:t>, 2009).</w:t>
      </w:r>
    </w:p>
    <w:p w14:paraId="0BF3DBA3" w14:textId="77777777" w:rsidR="006651B2" w:rsidRPr="006651B2" w:rsidRDefault="006651B2" w:rsidP="006651B2">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t>3. Mobilization – Much easier to share the main goals, steps and activities that the Birmingham 2022 Commonwealth Games organizers intend to undertake, and it is much easier to influence and engage more followers (</w:t>
      </w:r>
      <w:proofErr w:type="spellStart"/>
      <w:r w:rsidRPr="006651B2">
        <w:rPr>
          <w:rFonts w:ascii="Times New Roman" w:hAnsi="Times New Roman" w:cs="Times New Roman"/>
          <w:sz w:val="24"/>
          <w:szCs w:val="24"/>
          <w:lang w:val="en-GB"/>
        </w:rPr>
        <w:t>Cordoso</w:t>
      </w:r>
      <w:proofErr w:type="spellEnd"/>
      <w:r w:rsidRPr="006651B2">
        <w:rPr>
          <w:rFonts w:ascii="Times New Roman" w:hAnsi="Times New Roman" w:cs="Times New Roman"/>
          <w:sz w:val="24"/>
          <w:szCs w:val="24"/>
          <w:lang w:val="en-GB"/>
        </w:rPr>
        <w:t xml:space="preserve"> et al., 2016).</w:t>
      </w:r>
    </w:p>
    <w:p w14:paraId="6A2F3CE2" w14:textId="1B425C68" w:rsidR="006651B2" w:rsidRPr="00D7752E" w:rsidRDefault="006651B2" w:rsidP="00D7752E">
      <w:pPr>
        <w:spacing w:line="360" w:lineRule="auto"/>
        <w:ind w:firstLine="708"/>
        <w:jc w:val="both"/>
        <w:rPr>
          <w:rFonts w:ascii="Times New Roman" w:hAnsi="Times New Roman" w:cs="Times New Roman"/>
          <w:sz w:val="24"/>
          <w:szCs w:val="24"/>
          <w:lang w:val="en-GB"/>
        </w:rPr>
      </w:pPr>
      <w:r w:rsidRPr="006651B2">
        <w:rPr>
          <w:rFonts w:ascii="Times New Roman" w:hAnsi="Times New Roman" w:cs="Times New Roman"/>
          <w:sz w:val="24"/>
          <w:szCs w:val="24"/>
          <w:lang w:val="en-GB"/>
        </w:rPr>
        <w:t>Social media platforms are an essential tool that helps to understand the community and mobilize towards improving some plans, problems and solutions. In addition, it plays an essential role in creating better community connections and promoting certain activities affecting the health and well-being of the community.</w:t>
      </w:r>
    </w:p>
    <w:p w14:paraId="4EB0CE79" w14:textId="6263C294" w:rsidR="00855D56" w:rsidRPr="00D7752E" w:rsidRDefault="00855D56" w:rsidP="00D7752E">
      <w:pPr>
        <w:pStyle w:val="Heading1"/>
        <w:spacing w:line="360" w:lineRule="auto"/>
        <w:jc w:val="center"/>
        <w:rPr>
          <w:rFonts w:ascii="Times New Roman" w:hAnsi="Times New Roman" w:cs="Times New Roman"/>
          <w:b/>
          <w:bCs/>
          <w:color w:val="auto"/>
          <w:sz w:val="24"/>
          <w:szCs w:val="24"/>
          <w:lang w:val="en-US"/>
        </w:rPr>
      </w:pPr>
      <w:bookmarkStart w:id="6" w:name="_Toc120617342"/>
      <w:r w:rsidRPr="00D7752E">
        <w:rPr>
          <w:rFonts w:ascii="Times New Roman" w:hAnsi="Times New Roman" w:cs="Times New Roman"/>
          <w:b/>
          <w:bCs/>
          <w:color w:val="auto"/>
          <w:sz w:val="24"/>
          <w:szCs w:val="24"/>
          <w:lang w:val="en-US"/>
        </w:rPr>
        <w:t>The forward-looking approach to educate</w:t>
      </w:r>
      <w:bookmarkEnd w:id="6"/>
    </w:p>
    <w:p w14:paraId="31A92ABA" w14:textId="24EAE05F" w:rsidR="00523ED5" w:rsidRPr="00D7752E" w:rsidRDefault="00D7752E" w:rsidP="00D7752E">
      <w:pPr>
        <w:spacing w:line="360" w:lineRule="auto"/>
        <w:ind w:firstLine="708"/>
        <w:jc w:val="both"/>
        <w:rPr>
          <w:rFonts w:ascii="Times New Roman" w:hAnsi="Times New Roman" w:cs="Times New Roman"/>
          <w:sz w:val="24"/>
          <w:szCs w:val="24"/>
          <w:lang w:val="en-GB"/>
        </w:rPr>
      </w:pPr>
      <w:r w:rsidRPr="00D7752E">
        <w:rPr>
          <w:rFonts w:ascii="Times New Roman" w:hAnsi="Times New Roman" w:cs="Times New Roman"/>
          <w:sz w:val="24"/>
          <w:szCs w:val="24"/>
          <w:lang w:val="en-GB"/>
        </w:rPr>
        <w:t xml:space="preserve">Various groups of factors influence community development. External impact factors include social, economic, political, legal, environmental and technological. They affect the development of the community in different ways, each of them having pros and cons for the community in their influence. Internal factors mainly affect the behaviour of the community, its interests, problems - social and </w:t>
      </w:r>
      <w:r w:rsidR="00D15CA2" w:rsidRPr="00D7752E">
        <w:rPr>
          <w:rFonts w:ascii="Times New Roman" w:hAnsi="Times New Roman" w:cs="Times New Roman"/>
          <w:sz w:val="24"/>
          <w:szCs w:val="24"/>
          <w:lang w:val="en-GB"/>
        </w:rPr>
        <w:t>economic</w:t>
      </w:r>
      <w:r w:rsidRPr="00D7752E">
        <w:rPr>
          <w:rFonts w:ascii="Times New Roman" w:hAnsi="Times New Roman" w:cs="Times New Roman"/>
          <w:sz w:val="24"/>
          <w:szCs w:val="24"/>
          <w:lang w:val="en-GB"/>
        </w:rPr>
        <w:t xml:space="preserve">, and the management of the organization of the Games itself, in what way it will affect the community. These issues are constantly changing, as both environments are </w:t>
      </w:r>
      <w:proofErr w:type="gramStart"/>
      <w:r w:rsidRPr="00D7752E">
        <w:rPr>
          <w:rFonts w:ascii="Times New Roman" w:hAnsi="Times New Roman" w:cs="Times New Roman"/>
          <w:sz w:val="24"/>
          <w:szCs w:val="24"/>
          <w:lang w:val="en-GB"/>
        </w:rPr>
        <w:t>pretty dynamic</w:t>
      </w:r>
      <w:proofErr w:type="gramEnd"/>
      <w:r w:rsidRPr="00D7752E">
        <w:rPr>
          <w:rFonts w:ascii="Times New Roman" w:hAnsi="Times New Roman" w:cs="Times New Roman"/>
          <w:sz w:val="24"/>
          <w:szCs w:val="24"/>
          <w:lang w:val="en-GB"/>
        </w:rPr>
        <w:t>. For this, the forward-looking approach is a suitable method. It involves creating a plan for future development that includes various methods to achieve efficiency. In the case of the Birmingham 2022 Commonwealth Games, they are taking this approach by taking the foundation of their campaign one step further each year. In 2022, the unification is aimed at stimulating young people to participate in activities aimed at improving the health and well-being of the community. This approach is necessary for implementation because it gives an outstanding direction to the development and future Games, leading to upgrading and achieving the most critical goal - building a legacy in physical activities and well-being.</w:t>
      </w:r>
    </w:p>
    <w:p w14:paraId="34C18EFA" w14:textId="44A645EE" w:rsidR="00FF7C5A" w:rsidRDefault="00FF7C5A" w:rsidP="00D7752E">
      <w:pPr>
        <w:pStyle w:val="Heading1"/>
        <w:spacing w:line="360" w:lineRule="auto"/>
        <w:jc w:val="center"/>
        <w:rPr>
          <w:rFonts w:ascii="Times New Roman" w:hAnsi="Times New Roman" w:cs="Times New Roman"/>
          <w:b/>
          <w:bCs/>
          <w:color w:val="auto"/>
          <w:sz w:val="24"/>
          <w:szCs w:val="24"/>
          <w:lang w:val="en-US"/>
        </w:rPr>
      </w:pPr>
      <w:bookmarkStart w:id="7" w:name="_Toc120617343"/>
      <w:r w:rsidRPr="00D7752E">
        <w:rPr>
          <w:rFonts w:ascii="Times New Roman" w:hAnsi="Times New Roman" w:cs="Times New Roman"/>
          <w:b/>
          <w:bCs/>
          <w:color w:val="auto"/>
          <w:sz w:val="24"/>
          <w:szCs w:val="24"/>
          <w:lang w:val="en-US"/>
        </w:rPr>
        <w:t>Conclusion</w:t>
      </w:r>
      <w:bookmarkEnd w:id="7"/>
    </w:p>
    <w:p w14:paraId="35FF5BB0" w14:textId="77777777" w:rsidR="00282263" w:rsidRPr="00282263" w:rsidRDefault="00D7752E" w:rsidP="00282263">
      <w:pPr>
        <w:spacing w:line="360" w:lineRule="auto"/>
        <w:jc w:val="both"/>
        <w:rPr>
          <w:rFonts w:ascii="Times New Roman" w:hAnsi="Times New Roman" w:cs="Times New Roman"/>
          <w:sz w:val="24"/>
          <w:szCs w:val="24"/>
          <w:lang w:val="en-US"/>
        </w:rPr>
      </w:pPr>
      <w:r>
        <w:rPr>
          <w:lang w:val="en-US"/>
        </w:rPr>
        <w:tab/>
      </w:r>
      <w:r w:rsidR="00282263" w:rsidRPr="00282263">
        <w:rPr>
          <w:rFonts w:ascii="Times New Roman" w:hAnsi="Times New Roman" w:cs="Times New Roman"/>
          <w:sz w:val="24"/>
          <w:szCs w:val="24"/>
          <w:lang w:val="en-US"/>
        </w:rPr>
        <w:t xml:space="preserve">In conclusion of this report, the Birmingham 2022 Commonwealth Games has essential objectives that seed the community's involvement in various activities affecting its future development. For this, the project must commit to laying the next foundation to build a new step in developing the community's heritage. Furthermore, the report examined the good practices used in the organization of the Games and the main points in communicating with the </w:t>
      </w:r>
      <w:r w:rsidR="00282263" w:rsidRPr="00282263">
        <w:rPr>
          <w:rFonts w:ascii="Times New Roman" w:hAnsi="Times New Roman" w:cs="Times New Roman"/>
          <w:sz w:val="24"/>
          <w:szCs w:val="24"/>
          <w:lang w:val="en-US"/>
        </w:rPr>
        <w:lastRenderedPageBreak/>
        <w:t>interested parties. Finally, some basic principles and their observance in organizing the community engagement process were briefly presented.</w:t>
      </w:r>
    </w:p>
    <w:p w14:paraId="206D4482" w14:textId="77777777" w:rsidR="00282263" w:rsidRPr="00282263" w:rsidRDefault="00282263" w:rsidP="00282263">
      <w:pPr>
        <w:spacing w:line="360" w:lineRule="auto"/>
        <w:jc w:val="both"/>
        <w:rPr>
          <w:rFonts w:ascii="Times New Roman" w:hAnsi="Times New Roman" w:cs="Times New Roman"/>
          <w:sz w:val="24"/>
          <w:szCs w:val="24"/>
          <w:lang w:val="en-US"/>
        </w:rPr>
      </w:pPr>
      <w:r w:rsidRPr="00282263">
        <w:rPr>
          <w:rFonts w:ascii="Times New Roman" w:hAnsi="Times New Roman" w:cs="Times New Roman"/>
          <w:sz w:val="24"/>
          <w:szCs w:val="24"/>
          <w:lang w:val="en-US"/>
        </w:rPr>
        <w:t>In conclusion, several main recommendations can be made:</w:t>
      </w:r>
    </w:p>
    <w:p w14:paraId="39DE6475" w14:textId="1AE9F357" w:rsidR="00D7752E" w:rsidRDefault="00282263" w:rsidP="00282263">
      <w:pPr>
        <w:spacing w:line="360" w:lineRule="auto"/>
        <w:jc w:val="both"/>
        <w:rPr>
          <w:rFonts w:ascii="Times New Roman" w:hAnsi="Times New Roman" w:cs="Times New Roman"/>
          <w:sz w:val="24"/>
          <w:szCs w:val="24"/>
        </w:rPr>
      </w:pPr>
      <w:r w:rsidRPr="00282263">
        <w:rPr>
          <w:rFonts w:ascii="Times New Roman" w:hAnsi="Times New Roman" w:cs="Times New Roman"/>
          <w:sz w:val="24"/>
          <w:szCs w:val="24"/>
          <w:lang w:val="en-US"/>
        </w:rPr>
        <w:t>The first recommendation is aimed at making greater use of social media channels to communicate effectively with the community, which will help organizers explore their opinions and interests. The second recommendation is aimed at the use of a looking-forward approach, which needs to define future goals in the long term. For the moment, the Birmingham 2022 Commonwealth Games define the goals for the current year, not specifying future ones for the next five years at least. Good planning is needed to build the legacy where they aspire. Let each year be one step towards the approaching goal. Currently, the Birmingham 2022 Commonwealth Games has yet to establish long-term goals. The third recommendation aims to create more campaigns that include not only the volunteers but also other people from the community who come and actively watch the various sports in fun activities for sports lovers rather than professional athletes. This will contribute to more entertainment and participation of more viewers. In addition to the local community, it is good to consider attracting more tourists to watch the sports events. Good social media advertising will never be superfluous to reach a more significant number of users outside the community.</w:t>
      </w:r>
      <w:r w:rsidR="00D7752E">
        <w:rPr>
          <w:rFonts w:ascii="Times New Roman" w:hAnsi="Times New Roman" w:cs="Times New Roman"/>
          <w:sz w:val="24"/>
          <w:szCs w:val="24"/>
        </w:rPr>
        <w:t xml:space="preserve"> </w:t>
      </w:r>
    </w:p>
    <w:p w14:paraId="65917A46" w14:textId="1D06F8EC" w:rsidR="00282263" w:rsidRDefault="00282263">
      <w:r>
        <w:br w:type="page"/>
      </w:r>
    </w:p>
    <w:p w14:paraId="30FFB420" w14:textId="77777777" w:rsidR="003618AF" w:rsidRPr="00D7752E" w:rsidRDefault="00FF7C5A" w:rsidP="00D7752E">
      <w:pPr>
        <w:pStyle w:val="Heading1"/>
        <w:spacing w:line="360" w:lineRule="auto"/>
        <w:jc w:val="center"/>
        <w:rPr>
          <w:rFonts w:ascii="Times New Roman" w:hAnsi="Times New Roman" w:cs="Times New Roman"/>
          <w:b/>
          <w:bCs/>
          <w:color w:val="auto"/>
          <w:sz w:val="24"/>
          <w:szCs w:val="24"/>
          <w:lang w:val="en-US"/>
        </w:rPr>
      </w:pPr>
      <w:bookmarkStart w:id="8" w:name="_Toc120617344"/>
      <w:r w:rsidRPr="00D7752E">
        <w:rPr>
          <w:rFonts w:ascii="Times New Roman" w:hAnsi="Times New Roman" w:cs="Times New Roman"/>
          <w:b/>
          <w:bCs/>
          <w:color w:val="auto"/>
          <w:sz w:val="24"/>
          <w:szCs w:val="24"/>
          <w:lang w:val="en-US"/>
        </w:rPr>
        <w:lastRenderedPageBreak/>
        <w:t>References</w:t>
      </w:r>
      <w:bookmarkEnd w:id="8"/>
    </w:p>
    <w:p w14:paraId="6180442C" w14:textId="30E49198" w:rsidR="00793430" w:rsidRPr="00255AFB" w:rsidRDefault="00793430"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Birmingham 2022 Commonwealth Games (2022). BIRMINGHAM 2022 COMMONWEALTH GAMES OUR LEGACYSUMMER 2022, Available on </w:t>
      </w:r>
      <w:hyperlink r:id="rId9" w:history="1">
        <w:r w:rsidRPr="00255AFB">
          <w:rPr>
            <w:rStyle w:val="Hyperlink"/>
            <w:rFonts w:ascii="Times New Roman" w:hAnsi="Times New Roman" w:cs="Times New Roman"/>
            <w:sz w:val="24"/>
            <w:szCs w:val="24"/>
            <w:lang w:val="en-US"/>
          </w:rPr>
          <w:t>https://resources.cwg-qbr.pulselive.com/qbr-commonwealth-games/document/2022/07/12/a37f0633-361d-49b1-9cca-d25043dccff8/Birmingham-2022_Our_Legacy.pdf</w:t>
        </w:r>
      </w:hyperlink>
      <w:r w:rsidRPr="00255AFB">
        <w:rPr>
          <w:rFonts w:ascii="Times New Roman" w:hAnsi="Times New Roman" w:cs="Times New Roman"/>
          <w:sz w:val="24"/>
          <w:szCs w:val="24"/>
          <w:lang w:val="en-US"/>
        </w:rPr>
        <w:t xml:space="preserve"> Last accessed on 20 November 2022 </w:t>
      </w:r>
    </w:p>
    <w:p w14:paraId="4BB2521A" w14:textId="62F07577" w:rsidR="00793430" w:rsidRPr="00255AFB" w:rsidRDefault="00793430"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Birmingham 2022, (2022). </w:t>
      </w:r>
      <w:r w:rsidR="00255AFB" w:rsidRPr="00255AFB">
        <w:rPr>
          <w:rFonts w:ascii="Times New Roman" w:hAnsi="Times New Roman" w:cs="Times New Roman"/>
          <w:sz w:val="24"/>
          <w:szCs w:val="24"/>
          <w:lang w:val="en-US"/>
        </w:rPr>
        <w:t xml:space="preserve">About us, Available on </w:t>
      </w:r>
      <w:hyperlink r:id="rId10" w:history="1">
        <w:r w:rsidR="00255AFB" w:rsidRPr="00255AFB">
          <w:rPr>
            <w:rStyle w:val="Hyperlink"/>
            <w:rFonts w:ascii="Times New Roman" w:hAnsi="Times New Roman" w:cs="Times New Roman"/>
            <w:sz w:val="24"/>
            <w:szCs w:val="24"/>
            <w:lang w:val="en-US"/>
          </w:rPr>
          <w:t>https://www.birmingham2022.com/about-us</w:t>
        </w:r>
      </w:hyperlink>
      <w:r w:rsidR="00255AFB" w:rsidRPr="00255AFB">
        <w:rPr>
          <w:rFonts w:ascii="Times New Roman" w:hAnsi="Times New Roman" w:cs="Times New Roman"/>
          <w:sz w:val="24"/>
          <w:szCs w:val="24"/>
          <w:lang w:val="en-US"/>
        </w:rPr>
        <w:t xml:space="preserve"> Last accessed on 20 November 2022 </w:t>
      </w:r>
    </w:p>
    <w:p w14:paraId="75DCC824" w14:textId="365A645C" w:rsidR="006651B2" w:rsidRPr="006651B2" w:rsidRDefault="006651B2" w:rsidP="00282263">
      <w:pPr>
        <w:pStyle w:val="ListParagraph"/>
        <w:numPr>
          <w:ilvl w:val="0"/>
          <w:numId w:val="1"/>
        </w:numPr>
        <w:spacing w:line="360" w:lineRule="auto"/>
        <w:jc w:val="both"/>
        <w:rPr>
          <w:rFonts w:ascii="Times New Roman" w:hAnsi="Times New Roman" w:cs="Times New Roman"/>
          <w:sz w:val="24"/>
          <w:szCs w:val="24"/>
          <w:lang w:val="en-US"/>
        </w:rPr>
      </w:pPr>
      <w:r w:rsidRPr="006651B2">
        <w:rPr>
          <w:rFonts w:ascii="Times New Roman" w:hAnsi="Times New Roman" w:cs="Times New Roman"/>
          <w:sz w:val="24"/>
          <w:szCs w:val="24"/>
          <w:lang w:val="en-US"/>
        </w:rPr>
        <w:t>Bacon</w:t>
      </w:r>
      <w:r>
        <w:rPr>
          <w:rFonts w:ascii="Times New Roman" w:hAnsi="Times New Roman" w:cs="Times New Roman"/>
          <w:sz w:val="24"/>
          <w:szCs w:val="24"/>
          <w:lang w:val="en-US"/>
        </w:rPr>
        <w:t xml:space="preserve">, J., (2009). </w:t>
      </w:r>
      <w:r w:rsidRPr="006651B2">
        <w:rPr>
          <w:rFonts w:ascii="Times New Roman" w:hAnsi="Times New Roman" w:cs="Times New Roman"/>
          <w:sz w:val="24"/>
          <w:szCs w:val="24"/>
          <w:lang w:val="en-US"/>
        </w:rPr>
        <w:t>The art of community: building the new age of participation (theory</w:t>
      </w:r>
    </w:p>
    <w:p w14:paraId="6CBE14AC" w14:textId="44C8DF5C" w:rsidR="006651B2" w:rsidRDefault="006651B2" w:rsidP="00282263">
      <w:pPr>
        <w:pStyle w:val="ListParagraph"/>
        <w:numPr>
          <w:ilvl w:val="0"/>
          <w:numId w:val="1"/>
        </w:numPr>
        <w:spacing w:line="360" w:lineRule="auto"/>
        <w:jc w:val="both"/>
        <w:rPr>
          <w:rFonts w:ascii="Times New Roman" w:hAnsi="Times New Roman" w:cs="Times New Roman"/>
          <w:sz w:val="24"/>
          <w:szCs w:val="24"/>
          <w:lang w:val="en-US"/>
        </w:rPr>
      </w:pPr>
      <w:r w:rsidRPr="006651B2">
        <w:rPr>
          <w:rFonts w:ascii="Times New Roman" w:hAnsi="Times New Roman" w:cs="Times New Roman"/>
          <w:sz w:val="24"/>
          <w:szCs w:val="24"/>
          <w:lang w:val="en-US"/>
        </w:rPr>
        <w:t xml:space="preserve">in practice) Sebastopol (CA): O’Reilly </w:t>
      </w:r>
      <w:proofErr w:type="gramStart"/>
      <w:r w:rsidRPr="006651B2">
        <w:rPr>
          <w:rFonts w:ascii="Times New Roman" w:hAnsi="Times New Roman" w:cs="Times New Roman"/>
          <w:sz w:val="24"/>
          <w:szCs w:val="24"/>
          <w:lang w:val="en-US"/>
        </w:rPr>
        <w:t>Media;</w:t>
      </w:r>
      <w:proofErr w:type="gramEnd"/>
      <w:r w:rsidRPr="006651B2">
        <w:rPr>
          <w:rFonts w:ascii="Times New Roman" w:hAnsi="Times New Roman" w:cs="Times New Roman"/>
          <w:sz w:val="24"/>
          <w:szCs w:val="24"/>
          <w:lang w:val="en-US"/>
        </w:rPr>
        <w:t xml:space="preserve"> </w:t>
      </w:r>
    </w:p>
    <w:p w14:paraId="2DB73495" w14:textId="77777777" w:rsidR="006651B2" w:rsidRPr="00255AFB" w:rsidRDefault="006651B2" w:rsidP="00282263">
      <w:pPr>
        <w:pStyle w:val="ListParagraph"/>
        <w:numPr>
          <w:ilvl w:val="0"/>
          <w:numId w:val="1"/>
        </w:numPr>
        <w:spacing w:line="360" w:lineRule="auto"/>
        <w:jc w:val="both"/>
        <w:rPr>
          <w:rFonts w:ascii="Times New Roman" w:hAnsi="Times New Roman" w:cs="Times New Roman"/>
          <w:sz w:val="24"/>
          <w:szCs w:val="24"/>
          <w:lang w:val="en-US"/>
        </w:rPr>
      </w:pPr>
      <w:r w:rsidRPr="006651B2">
        <w:rPr>
          <w:rFonts w:ascii="Times New Roman" w:hAnsi="Times New Roman" w:cs="Times New Roman"/>
          <w:sz w:val="24"/>
          <w:szCs w:val="24"/>
          <w:lang w:val="en-US"/>
        </w:rPr>
        <w:t xml:space="preserve">Cardoso, M., Warrick, E., </w:t>
      </w:r>
      <w:proofErr w:type="spellStart"/>
      <w:r w:rsidRPr="006651B2">
        <w:rPr>
          <w:rFonts w:ascii="Times New Roman" w:hAnsi="Times New Roman" w:cs="Times New Roman"/>
          <w:sz w:val="24"/>
          <w:szCs w:val="24"/>
          <w:lang w:val="en-US"/>
        </w:rPr>
        <w:t>Golbeck</w:t>
      </w:r>
      <w:proofErr w:type="spellEnd"/>
      <w:r w:rsidRPr="006651B2">
        <w:rPr>
          <w:rFonts w:ascii="Times New Roman" w:hAnsi="Times New Roman" w:cs="Times New Roman"/>
          <w:sz w:val="24"/>
          <w:szCs w:val="24"/>
          <w:lang w:val="en-US"/>
        </w:rPr>
        <w:t xml:space="preserve">, J., &amp; </w:t>
      </w:r>
      <w:proofErr w:type="spellStart"/>
      <w:r w:rsidRPr="006651B2">
        <w:rPr>
          <w:rFonts w:ascii="Times New Roman" w:hAnsi="Times New Roman" w:cs="Times New Roman"/>
          <w:sz w:val="24"/>
          <w:szCs w:val="24"/>
          <w:lang w:val="en-US"/>
        </w:rPr>
        <w:t>Preece</w:t>
      </w:r>
      <w:proofErr w:type="spellEnd"/>
      <w:r w:rsidRPr="006651B2">
        <w:rPr>
          <w:rFonts w:ascii="Times New Roman" w:hAnsi="Times New Roman" w:cs="Times New Roman"/>
          <w:sz w:val="24"/>
          <w:szCs w:val="24"/>
          <w:lang w:val="en-US"/>
        </w:rPr>
        <w:t xml:space="preserve">, J. (2016). Motivational impact of Facebook posts on environmental communities. In Proceedings of the 19th ACM Conference on Computer Supported Cooperative Work and Social </w:t>
      </w:r>
      <w:proofErr w:type="spellStart"/>
      <w:r w:rsidRPr="006651B2">
        <w:rPr>
          <w:rFonts w:ascii="Times New Roman" w:hAnsi="Times New Roman" w:cs="Times New Roman"/>
          <w:sz w:val="24"/>
          <w:szCs w:val="24"/>
          <w:lang w:val="en-US"/>
        </w:rPr>
        <w:t>Comput-ing</w:t>
      </w:r>
      <w:proofErr w:type="spellEnd"/>
      <w:r w:rsidRPr="006651B2">
        <w:rPr>
          <w:rFonts w:ascii="Times New Roman" w:hAnsi="Times New Roman" w:cs="Times New Roman"/>
          <w:sz w:val="24"/>
          <w:szCs w:val="24"/>
          <w:lang w:val="en-US"/>
        </w:rPr>
        <w:t xml:space="preserve"> Companion (pp. 237–240). New York, NY: ACM.</w:t>
      </w:r>
    </w:p>
    <w:p w14:paraId="059C7726" w14:textId="612893E1" w:rsidR="00793430" w:rsidRDefault="00793430"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CTSA Community Engagement Key Function Committee Task Force, (2011). Principles of Community Engagement, 2</w:t>
      </w:r>
      <w:r w:rsidRPr="00255AFB">
        <w:rPr>
          <w:rFonts w:ascii="Times New Roman" w:hAnsi="Times New Roman" w:cs="Times New Roman"/>
          <w:sz w:val="24"/>
          <w:szCs w:val="24"/>
          <w:vertAlign w:val="superscript"/>
          <w:lang w:val="en-US"/>
        </w:rPr>
        <w:t>nd</w:t>
      </w:r>
      <w:r w:rsidRPr="00255AFB">
        <w:rPr>
          <w:rFonts w:ascii="Times New Roman" w:hAnsi="Times New Roman" w:cs="Times New Roman"/>
          <w:sz w:val="24"/>
          <w:szCs w:val="24"/>
          <w:lang w:val="en-US"/>
        </w:rPr>
        <w:t xml:space="preserve"> Ed. Available on </w:t>
      </w:r>
      <w:hyperlink r:id="rId11" w:history="1">
        <w:r w:rsidRPr="00255AFB">
          <w:rPr>
            <w:rStyle w:val="Hyperlink"/>
            <w:rFonts w:ascii="Times New Roman" w:hAnsi="Times New Roman" w:cs="Times New Roman"/>
            <w:sz w:val="24"/>
            <w:szCs w:val="24"/>
            <w:lang w:val="en-US"/>
          </w:rPr>
          <w:t>https://www.atsdr.cdc.gov/communityengagement/pdf/PCE_Report_508_FINAL.pdf</w:t>
        </w:r>
      </w:hyperlink>
      <w:r w:rsidRPr="00255AFB">
        <w:rPr>
          <w:rFonts w:ascii="Times New Roman" w:hAnsi="Times New Roman" w:cs="Times New Roman"/>
          <w:sz w:val="24"/>
          <w:szCs w:val="24"/>
          <w:lang w:val="en-US"/>
        </w:rPr>
        <w:t xml:space="preserve"> Last accessed on 20 November 2022 </w:t>
      </w:r>
    </w:p>
    <w:p w14:paraId="1DFB8880" w14:textId="32C9DFD3" w:rsidR="00FF7C5A" w:rsidRPr="00255AFB" w:rsidRDefault="003618AF"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Centers for Disease Control and Prevention, (2011)., CDC/ATSDR Committee on Community Engagement. Principles of Community Engagement, Second Edition. Atlanta, Georgia: Centers for Disease Control and Prevention. 2011. Available at: http://www.cdc.gov/phppo/pce/index.htm  </w:t>
      </w:r>
    </w:p>
    <w:p w14:paraId="48DD7D52" w14:textId="3DD73B16" w:rsidR="00793430" w:rsidRPr="00255AFB" w:rsidRDefault="00793430"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Centers for Disease Control and Prevention. (1997)</w:t>
      </w:r>
      <w:proofErr w:type="gramStart"/>
      <w:r w:rsidRPr="00255AFB">
        <w:rPr>
          <w:rFonts w:ascii="Times New Roman" w:hAnsi="Times New Roman" w:cs="Times New Roman"/>
          <w:sz w:val="24"/>
          <w:szCs w:val="24"/>
          <w:lang w:val="en-US"/>
        </w:rPr>
        <w:t>.,  Principles</w:t>
      </w:r>
      <w:proofErr w:type="gramEnd"/>
      <w:r w:rsidRPr="00255AFB">
        <w:rPr>
          <w:rFonts w:ascii="Times New Roman" w:hAnsi="Times New Roman" w:cs="Times New Roman"/>
          <w:sz w:val="24"/>
          <w:szCs w:val="24"/>
          <w:lang w:val="en-US"/>
        </w:rPr>
        <w:t xml:space="preserve"> of community engagement (1st ed.). Atlanta (GA): CDC/ATSDR Committee on Community </w:t>
      </w:r>
      <w:proofErr w:type="gramStart"/>
      <w:r w:rsidRPr="00255AFB">
        <w:rPr>
          <w:rFonts w:ascii="Times New Roman" w:hAnsi="Times New Roman" w:cs="Times New Roman"/>
          <w:sz w:val="24"/>
          <w:szCs w:val="24"/>
          <w:lang w:val="en-US"/>
        </w:rPr>
        <w:t>Engagement;</w:t>
      </w:r>
      <w:proofErr w:type="gramEnd"/>
      <w:r w:rsidRPr="00255AFB">
        <w:rPr>
          <w:rFonts w:ascii="Times New Roman" w:hAnsi="Times New Roman" w:cs="Times New Roman"/>
          <w:sz w:val="24"/>
          <w:szCs w:val="24"/>
          <w:lang w:val="en-US"/>
        </w:rPr>
        <w:t xml:space="preserve"> </w:t>
      </w:r>
    </w:p>
    <w:p w14:paraId="492B1B58" w14:textId="77777777" w:rsidR="006651B2" w:rsidRDefault="006651B2" w:rsidP="00282263">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6651B2">
        <w:rPr>
          <w:rFonts w:ascii="Times New Roman" w:hAnsi="Times New Roman" w:cs="Times New Roman"/>
          <w:sz w:val="24"/>
          <w:szCs w:val="24"/>
          <w:lang w:val="en-US"/>
        </w:rPr>
        <w:t>Cothran</w:t>
      </w:r>
      <w:proofErr w:type="spellEnd"/>
      <w:r w:rsidRPr="006651B2">
        <w:rPr>
          <w:rFonts w:ascii="Times New Roman" w:hAnsi="Times New Roman" w:cs="Times New Roman"/>
          <w:sz w:val="24"/>
          <w:szCs w:val="24"/>
          <w:lang w:val="en-US"/>
        </w:rPr>
        <w:t>, H., Wysocki, A., Farnsworth, D., &amp; Clark, J. L. (2019). Developing SMART Goals for Your Organization. FE577. Gainesville: University of Florida Institute of Food and Agricultural Sciences</w:t>
      </w:r>
      <w:r w:rsidRPr="00255AFB">
        <w:rPr>
          <w:rFonts w:ascii="Times New Roman" w:hAnsi="Times New Roman" w:cs="Times New Roman"/>
          <w:sz w:val="24"/>
          <w:szCs w:val="24"/>
          <w:lang w:val="en-US"/>
        </w:rPr>
        <w:t xml:space="preserve"> </w:t>
      </w:r>
    </w:p>
    <w:p w14:paraId="05028134" w14:textId="15C4EDDE" w:rsidR="00255AFB" w:rsidRDefault="00255AFB" w:rsidP="00282263">
      <w:pPr>
        <w:pStyle w:val="ListParagraph"/>
        <w:numPr>
          <w:ilvl w:val="0"/>
          <w:numId w:val="1"/>
        </w:numPr>
        <w:spacing w:line="360" w:lineRule="auto"/>
        <w:jc w:val="both"/>
        <w:rPr>
          <w:rFonts w:ascii="Times New Roman" w:hAnsi="Times New Roman" w:cs="Times New Roman"/>
          <w:sz w:val="24"/>
          <w:szCs w:val="24"/>
          <w:lang w:val="en-US"/>
        </w:rPr>
      </w:pPr>
      <w:r w:rsidRPr="00255AFB">
        <w:rPr>
          <w:rFonts w:ascii="Times New Roman" w:hAnsi="Times New Roman" w:cs="Times New Roman"/>
          <w:sz w:val="24"/>
          <w:szCs w:val="24"/>
          <w:lang w:val="en-US"/>
        </w:rPr>
        <w:t xml:space="preserve">Department for Digital, Culture Media &amp; Sport, (2022). Policy paper: Birmingham 2022 Commonwealth Games: the highlights Available on </w:t>
      </w:r>
      <w:hyperlink r:id="rId12" w:history="1">
        <w:r w:rsidRPr="00255AFB">
          <w:rPr>
            <w:rStyle w:val="Hyperlink"/>
            <w:rFonts w:ascii="Times New Roman" w:hAnsi="Times New Roman" w:cs="Times New Roman"/>
            <w:sz w:val="24"/>
            <w:szCs w:val="24"/>
            <w:lang w:val="en-US"/>
          </w:rPr>
          <w:t>https://www.gov.uk/government/publications/birmingham-2022-commonwealth-games-the-highlights/birmingham-2022-commonwealth-games-the-highlights</w:t>
        </w:r>
      </w:hyperlink>
      <w:r w:rsidRPr="00255AFB">
        <w:rPr>
          <w:rFonts w:ascii="Times New Roman" w:hAnsi="Times New Roman" w:cs="Times New Roman"/>
          <w:sz w:val="24"/>
          <w:szCs w:val="24"/>
          <w:lang w:val="en-US"/>
        </w:rPr>
        <w:t xml:space="preserve"> Last accessed on 20 November 2022 </w:t>
      </w:r>
    </w:p>
    <w:p w14:paraId="3EE60A88" w14:textId="44393164" w:rsidR="006651B2" w:rsidRPr="006651B2" w:rsidRDefault="006651B2" w:rsidP="00282263">
      <w:pPr>
        <w:pStyle w:val="ListParagraph"/>
        <w:numPr>
          <w:ilvl w:val="0"/>
          <w:numId w:val="1"/>
        </w:numPr>
        <w:spacing w:line="360" w:lineRule="auto"/>
        <w:jc w:val="both"/>
        <w:rPr>
          <w:rFonts w:ascii="Times New Roman" w:hAnsi="Times New Roman" w:cs="Times New Roman"/>
          <w:sz w:val="24"/>
          <w:szCs w:val="24"/>
          <w:lang w:val="en-US"/>
        </w:rPr>
      </w:pPr>
      <w:r w:rsidRPr="006651B2">
        <w:rPr>
          <w:rFonts w:ascii="Times New Roman" w:hAnsi="Times New Roman" w:cs="Times New Roman"/>
          <w:sz w:val="24"/>
          <w:szCs w:val="24"/>
          <w:lang w:val="en-US"/>
        </w:rPr>
        <w:lastRenderedPageBreak/>
        <w:t xml:space="preserve">Dozier, A., Hacker, K., Silberberg, M., </w:t>
      </w:r>
      <w:proofErr w:type="spellStart"/>
      <w:r w:rsidRPr="006651B2">
        <w:rPr>
          <w:rFonts w:ascii="Times New Roman" w:hAnsi="Times New Roman" w:cs="Times New Roman"/>
          <w:sz w:val="24"/>
          <w:szCs w:val="24"/>
          <w:lang w:val="en-US"/>
        </w:rPr>
        <w:t>Ziegahn</w:t>
      </w:r>
      <w:proofErr w:type="spellEnd"/>
      <w:r w:rsidRPr="006651B2">
        <w:rPr>
          <w:rFonts w:ascii="Times New Roman" w:hAnsi="Times New Roman" w:cs="Times New Roman"/>
          <w:sz w:val="24"/>
          <w:szCs w:val="24"/>
          <w:lang w:val="en-US"/>
        </w:rPr>
        <w:t>, L. (2011). The Value of Social Networking in Community Engagement</w:t>
      </w:r>
      <w:r>
        <w:rPr>
          <w:rFonts w:ascii="Times New Roman" w:hAnsi="Times New Roman" w:cs="Times New Roman"/>
          <w:sz w:val="24"/>
          <w:szCs w:val="24"/>
          <w:lang w:val="en-US"/>
        </w:rPr>
        <w:t>, The Principles of Community Engagement, 2</w:t>
      </w:r>
      <w:r w:rsidRPr="006651B2">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ed. </w:t>
      </w:r>
    </w:p>
    <w:p w14:paraId="0FFC9F6B" w14:textId="692DA044" w:rsidR="003618AF" w:rsidRDefault="003618AF" w:rsidP="00282263">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255AFB">
        <w:rPr>
          <w:rFonts w:ascii="Times New Roman" w:hAnsi="Times New Roman" w:cs="Times New Roman"/>
          <w:sz w:val="24"/>
          <w:szCs w:val="24"/>
          <w:lang w:val="en-US"/>
        </w:rPr>
        <w:t>Schlake</w:t>
      </w:r>
      <w:proofErr w:type="spellEnd"/>
      <w:r w:rsidRPr="00255AFB">
        <w:rPr>
          <w:rFonts w:ascii="Times New Roman" w:hAnsi="Times New Roman" w:cs="Times New Roman"/>
          <w:sz w:val="24"/>
          <w:szCs w:val="24"/>
          <w:lang w:val="en-US"/>
        </w:rPr>
        <w:t xml:space="preserve">, M. (2015). Community </w:t>
      </w:r>
      <w:r w:rsidR="00EA2986" w:rsidRPr="00255AFB">
        <w:rPr>
          <w:rFonts w:ascii="Times New Roman" w:hAnsi="Times New Roman" w:cs="Times New Roman"/>
          <w:sz w:val="24"/>
          <w:szCs w:val="24"/>
          <w:lang w:val="en-US"/>
        </w:rPr>
        <w:t>Engagement</w:t>
      </w:r>
      <w:r w:rsidRPr="00255AFB">
        <w:rPr>
          <w:rFonts w:ascii="Times New Roman" w:hAnsi="Times New Roman" w:cs="Times New Roman"/>
          <w:sz w:val="24"/>
          <w:szCs w:val="24"/>
          <w:lang w:val="en-US"/>
        </w:rPr>
        <w:t>: Nine principles. Cornhusker Economics</w:t>
      </w:r>
    </w:p>
    <w:p w14:paraId="1339C5FB" w14:textId="546273F8" w:rsidR="00FF7C5A" w:rsidRPr="006651B2" w:rsidRDefault="006651B2" w:rsidP="00282263">
      <w:pPr>
        <w:pStyle w:val="ListParagraph"/>
        <w:numPr>
          <w:ilvl w:val="0"/>
          <w:numId w:val="1"/>
        </w:numPr>
        <w:spacing w:line="360" w:lineRule="auto"/>
        <w:jc w:val="both"/>
        <w:rPr>
          <w:lang w:val="en-US"/>
        </w:rPr>
      </w:pPr>
      <w:r w:rsidRPr="006651B2">
        <w:rPr>
          <w:rFonts w:ascii="Times New Roman" w:hAnsi="Times New Roman" w:cs="Times New Roman"/>
          <w:sz w:val="24"/>
          <w:szCs w:val="24"/>
          <w:lang w:val="en-US"/>
        </w:rPr>
        <w:t xml:space="preserve">Wasserman S, Faust K., (1994).  Social network analysis: methods and applications. Cambridge, United Kingdom: Cambridge </w:t>
      </w:r>
      <w:proofErr w:type="gramStart"/>
      <w:r w:rsidRPr="006651B2">
        <w:rPr>
          <w:rFonts w:ascii="Times New Roman" w:hAnsi="Times New Roman" w:cs="Times New Roman"/>
          <w:sz w:val="24"/>
          <w:szCs w:val="24"/>
          <w:lang w:val="en-US"/>
        </w:rPr>
        <w:t>University;</w:t>
      </w:r>
      <w:proofErr w:type="gramEnd"/>
      <w:r w:rsidRPr="006651B2">
        <w:rPr>
          <w:rFonts w:ascii="Times New Roman" w:hAnsi="Times New Roman" w:cs="Times New Roman"/>
          <w:sz w:val="24"/>
          <w:szCs w:val="24"/>
          <w:lang w:val="en-US"/>
        </w:rPr>
        <w:t xml:space="preserve"> </w:t>
      </w:r>
    </w:p>
    <w:sectPr w:rsidR="00FF7C5A" w:rsidRPr="006651B2" w:rsidSect="00FF7C5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79D75" w14:textId="77777777" w:rsidR="00C3422C" w:rsidRDefault="00C3422C" w:rsidP="00FF7C5A">
      <w:pPr>
        <w:spacing w:after="0" w:line="240" w:lineRule="auto"/>
      </w:pPr>
      <w:r>
        <w:separator/>
      </w:r>
    </w:p>
  </w:endnote>
  <w:endnote w:type="continuationSeparator" w:id="0">
    <w:p w14:paraId="2951B64C" w14:textId="77777777" w:rsidR="00C3422C" w:rsidRDefault="00C3422C" w:rsidP="00FF7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216238"/>
      <w:docPartObj>
        <w:docPartGallery w:val="Page Numbers (Bottom of Page)"/>
        <w:docPartUnique/>
      </w:docPartObj>
    </w:sdtPr>
    <w:sdtEndPr/>
    <w:sdtContent>
      <w:p w14:paraId="1920FB56" w14:textId="19FD093B" w:rsidR="00FF7C5A" w:rsidRDefault="00FF7C5A">
        <w:pPr>
          <w:pStyle w:val="Footer"/>
          <w:jc w:val="center"/>
        </w:pPr>
        <w:r>
          <w:fldChar w:fldCharType="begin"/>
        </w:r>
        <w:r>
          <w:instrText>PAGE   \* MERGEFORMAT</w:instrText>
        </w:r>
        <w:r>
          <w:fldChar w:fldCharType="separate"/>
        </w:r>
        <w:r>
          <w:rPr>
            <w:lang w:val="en-GB"/>
          </w:rPr>
          <w:t>2</w:t>
        </w:r>
        <w:r>
          <w:fldChar w:fldCharType="end"/>
        </w:r>
      </w:p>
    </w:sdtContent>
  </w:sdt>
  <w:p w14:paraId="39ACD3A4" w14:textId="77777777" w:rsidR="00FF7C5A" w:rsidRDefault="00FF7C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747FB" w14:textId="77777777" w:rsidR="00C3422C" w:rsidRDefault="00C3422C" w:rsidP="00FF7C5A">
      <w:pPr>
        <w:spacing w:after="0" w:line="240" w:lineRule="auto"/>
      </w:pPr>
      <w:r>
        <w:separator/>
      </w:r>
    </w:p>
  </w:footnote>
  <w:footnote w:type="continuationSeparator" w:id="0">
    <w:p w14:paraId="24721881" w14:textId="77777777" w:rsidR="00C3422C" w:rsidRDefault="00C3422C" w:rsidP="00FF7C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14CDD"/>
    <w:multiLevelType w:val="hybridMultilevel"/>
    <w:tmpl w:val="11C625C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309475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935"/>
    <w:rsid w:val="000A60E0"/>
    <w:rsid w:val="000C7480"/>
    <w:rsid w:val="00255AFB"/>
    <w:rsid w:val="0027448C"/>
    <w:rsid w:val="00282263"/>
    <w:rsid w:val="002E01B1"/>
    <w:rsid w:val="00361387"/>
    <w:rsid w:val="003618AF"/>
    <w:rsid w:val="003969DE"/>
    <w:rsid w:val="004C0B80"/>
    <w:rsid w:val="00523ED5"/>
    <w:rsid w:val="006651B2"/>
    <w:rsid w:val="006D2935"/>
    <w:rsid w:val="00730130"/>
    <w:rsid w:val="00770E07"/>
    <w:rsid w:val="00781DFE"/>
    <w:rsid w:val="00793430"/>
    <w:rsid w:val="007A1547"/>
    <w:rsid w:val="00855D56"/>
    <w:rsid w:val="00AB7E94"/>
    <w:rsid w:val="00AE7873"/>
    <w:rsid w:val="00B915E7"/>
    <w:rsid w:val="00C3422C"/>
    <w:rsid w:val="00C40D9D"/>
    <w:rsid w:val="00D15CA2"/>
    <w:rsid w:val="00D76374"/>
    <w:rsid w:val="00D7752E"/>
    <w:rsid w:val="00EA2986"/>
    <w:rsid w:val="00FC7A57"/>
    <w:rsid w:val="00FF7C5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1A42E"/>
  <w15:chartTrackingRefBased/>
  <w15:docId w15:val="{34C56548-F5D3-423E-996B-8B599200C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C5A"/>
  </w:style>
  <w:style w:type="paragraph" w:styleId="Footer">
    <w:name w:val="footer"/>
    <w:basedOn w:val="Normal"/>
    <w:link w:val="FooterChar"/>
    <w:uiPriority w:val="99"/>
    <w:unhideWhenUsed/>
    <w:rsid w:val="00FF7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C5A"/>
  </w:style>
  <w:style w:type="character" w:customStyle="1" w:styleId="Heading1Char">
    <w:name w:val="Heading 1 Char"/>
    <w:basedOn w:val="DefaultParagraphFont"/>
    <w:link w:val="Heading1"/>
    <w:uiPriority w:val="9"/>
    <w:rsid w:val="00FF7C5A"/>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3618AF"/>
    <w:rPr>
      <w:i/>
      <w:iCs/>
    </w:rPr>
  </w:style>
  <w:style w:type="paragraph" w:styleId="TOCHeading">
    <w:name w:val="TOC Heading"/>
    <w:basedOn w:val="Heading1"/>
    <w:next w:val="Normal"/>
    <w:uiPriority w:val="39"/>
    <w:unhideWhenUsed/>
    <w:qFormat/>
    <w:rsid w:val="00361387"/>
    <w:pPr>
      <w:outlineLvl w:val="9"/>
    </w:pPr>
    <w:rPr>
      <w:lang w:eastAsia="bg-BG"/>
    </w:rPr>
  </w:style>
  <w:style w:type="paragraph" w:styleId="TOC1">
    <w:name w:val="toc 1"/>
    <w:basedOn w:val="Normal"/>
    <w:next w:val="Normal"/>
    <w:autoRedefine/>
    <w:uiPriority w:val="39"/>
    <w:unhideWhenUsed/>
    <w:rsid w:val="00361387"/>
    <w:pPr>
      <w:spacing w:after="100"/>
    </w:pPr>
  </w:style>
  <w:style w:type="character" w:styleId="Hyperlink">
    <w:name w:val="Hyperlink"/>
    <w:basedOn w:val="DefaultParagraphFont"/>
    <w:uiPriority w:val="99"/>
    <w:unhideWhenUsed/>
    <w:rsid w:val="00361387"/>
    <w:rPr>
      <w:color w:val="0563C1" w:themeColor="hyperlink"/>
      <w:u w:val="single"/>
    </w:rPr>
  </w:style>
  <w:style w:type="character" w:styleId="UnresolvedMention">
    <w:name w:val="Unresolved Mention"/>
    <w:basedOn w:val="DefaultParagraphFont"/>
    <w:uiPriority w:val="99"/>
    <w:semiHidden/>
    <w:unhideWhenUsed/>
    <w:rsid w:val="0027448C"/>
    <w:rPr>
      <w:color w:val="605E5C"/>
      <w:shd w:val="clear" w:color="auto" w:fill="E1DFDD"/>
    </w:rPr>
  </w:style>
  <w:style w:type="paragraph" w:styleId="ListParagraph">
    <w:name w:val="List Paragraph"/>
    <w:basedOn w:val="Normal"/>
    <w:uiPriority w:val="34"/>
    <w:qFormat/>
    <w:rsid w:val="00255A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902672">
      <w:bodyDiv w:val="1"/>
      <w:marLeft w:val="0"/>
      <w:marRight w:val="0"/>
      <w:marTop w:val="0"/>
      <w:marBottom w:val="0"/>
      <w:divBdr>
        <w:top w:val="none" w:sz="0" w:space="0" w:color="auto"/>
        <w:left w:val="none" w:sz="0" w:space="0" w:color="auto"/>
        <w:bottom w:val="none" w:sz="0" w:space="0" w:color="auto"/>
        <w:right w:val="none" w:sz="0" w:space="0" w:color="auto"/>
      </w:divBdr>
    </w:div>
    <w:div w:id="733283322">
      <w:bodyDiv w:val="1"/>
      <w:marLeft w:val="0"/>
      <w:marRight w:val="0"/>
      <w:marTop w:val="0"/>
      <w:marBottom w:val="0"/>
      <w:divBdr>
        <w:top w:val="none" w:sz="0" w:space="0" w:color="auto"/>
        <w:left w:val="none" w:sz="0" w:space="0" w:color="auto"/>
        <w:bottom w:val="none" w:sz="0" w:space="0" w:color="auto"/>
        <w:right w:val="none" w:sz="0" w:space="0" w:color="auto"/>
      </w:divBdr>
    </w:div>
    <w:div w:id="916479074">
      <w:bodyDiv w:val="1"/>
      <w:marLeft w:val="0"/>
      <w:marRight w:val="0"/>
      <w:marTop w:val="0"/>
      <w:marBottom w:val="0"/>
      <w:divBdr>
        <w:top w:val="none" w:sz="0" w:space="0" w:color="auto"/>
        <w:left w:val="none" w:sz="0" w:space="0" w:color="auto"/>
        <w:bottom w:val="none" w:sz="0" w:space="0" w:color="auto"/>
        <w:right w:val="none" w:sz="0" w:space="0" w:color="auto"/>
      </w:divBdr>
    </w:div>
    <w:div w:id="114196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birmingham-2022-commonwealth-games-the-highlights/birmingham-2022-commonwealth-games-the-highligh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sdr.cdc.gov/communityengagement/pdf/PCE_Report_508_FINAL.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irmingham2022.com/about-us" TargetMode="External"/><Relationship Id="rId4" Type="http://schemas.openxmlformats.org/officeDocument/2006/relationships/settings" Target="settings.xml"/><Relationship Id="rId9" Type="http://schemas.openxmlformats.org/officeDocument/2006/relationships/hyperlink" Target="https://resources.cwg-qbr.pulselive.com/qbr-commonwealth-games/document/2022/07/12/a37f0633-361d-49b1-9cca-d25043dccff8/Birmingham-2022_Our_Legac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DAA10-CE95-4910-A83D-48272304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Desislava Nikolova</cp:lastModifiedBy>
  <cp:revision>5</cp:revision>
  <dcterms:created xsi:type="dcterms:W3CDTF">2022-11-29T21:42:00Z</dcterms:created>
  <dcterms:modified xsi:type="dcterms:W3CDTF">2022-11-29T21:45:00Z</dcterms:modified>
</cp:coreProperties>
</file>