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909F8A" w14:textId="77777777" w:rsidR="003A7DC6" w:rsidRPr="00BA7145" w:rsidRDefault="003A7DC6" w:rsidP="00BA7145">
      <w:pPr>
        <w:spacing w:line="360" w:lineRule="auto"/>
        <w:jc w:val="both"/>
        <w:rPr>
          <w:rFonts w:ascii="Arial" w:hAnsi="Arial" w:cs="Arial"/>
        </w:rPr>
      </w:pPr>
      <w:r w:rsidRPr="00BA7145">
        <w:rPr>
          <w:rFonts w:ascii="Arial" w:hAnsi="Arial" w:cs="Arial"/>
        </w:rPr>
        <w:t>1601345 – EAEE5001C – Part 2</w:t>
      </w:r>
    </w:p>
    <w:p w14:paraId="4F155E41" w14:textId="35EEB180" w:rsidR="00554AD4" w:rsidRPr="00056D26" w:rsidRDefault="00A0246C" w:rsidP="00056D26">
      <w:pPr>
        <w:spacing w:line="360" w:lineRule="auto"/>
        <w:jc w:val="both"/>
        <w:rPr>
          <w:rFonts w:ascii="Arial" w:hAnsi="Arial" w:cs="Arial"/>
          <w:b/>
          <w:u w:val="single"/>
        </w:rPr>
      </w:pPr>
      <w:r w:rsidRPr="00056D26">
        <w:rPr>
          <w:rFonts w:ascii="Arial" w:hAnsi="Arial" w:cs="Arial"/>
          <w:b/>
          <w:u w:val="single"/>
        </w:rPr>
        <w:t>Ethics Handbook</w:t>
      </w:r>
    </w:p>
    <w:p w14:paraId="01CDB178" w14:textId="77777777" w:rsidR="003A7DC6" w:rsidRPr="00056D26" w:rsidRDefault="003A7DC6" w:rsidP="00056D26">
      <w:pPr>
        <w:spacing w:line="360" w:lineRule="auto"/>
        <w:jc w:val="both"/>
        <w:rPr>
          <w:rFonts w:ascii="Arial" w:hAnsi="Arial" w:cs="Arial"/>
        </w:rPr>
      </w:pPr>
    </w:p>
    <w:p w14:paraId="3B6B9798" w14:textId="29A3783D" w:rsidR="0078594B" w:rsidRPr="00056D26" w:rsidRDefault="0078594B" w:rsidP="00056D26">
      <w:pPr>
        <w:spacing w:line="360" w:lineRule="auto"/>
        <w:jc w:val="both"/>
        <w:rPr>
          <w:rFonts w:ascii="Arial" w:hAnsi="Arial" w:cs="Arial"/>
          <w:b/>
          <w:u w:val="single"/>
        </w:rPr>
      </w:pPr>
      <w:r w:rsidRPr="00056D26">
        <w:rPr>
          <w:rFonts w:ascii="Arial" w:hAnsi="Arial" w:cs="Arial"/>
          <w:b/>
          <w:u w:val="single"/>
        </w:rPr>
        <w:t>Introduction</w:t>
      </w:r>
    </w:p>
    <w:p w14:paraId="03CC6808" w14:textId="77777777" w:rsidR="00FB4F3F" w:rsidRPr="00056D26" w:rsidRDefault="00FB4F3F" w:rsidP="00056D26">
      <w:pPr>
        <w:spacing w:line="360" w:lineRule="auto"/>
        <w:jc w:val="both"/>
        <w:rPr>
          <w:rFonts w:ascii="Arial" w:hAnsi="Arial" w:cs="Arial"/>
          <w:b/>
          <w:u w:val="single"/>
        </w:rPr>
      </w:pPr>
    </w:p>
    <w:p w14:paraId="4B1DF181" w14:textId="74BEDF92" w:rsidR="003A7DC6" w:rsidRPr="00056D26" w:rsidRDefault="002F778E" w:rsidP="00056D26">
      <w:pPr>
        <w:spacing w:line="360" w:lineRule="auto"/>
        <w:jc w:val="both"/>
        <w:rPr>
          <w:rFonts w:ascii="Arial" w:hAnsi="Arial" w:cs="Arial"/>
        </w:rPr>
      </w:pPr>
      <w:r w:rsidRPr="00056D26">
        <w:rPr>
          <w:rFonts w:ascii="Arial" w:hAnsi="Arial" w:cs="Arial"/>
        </w:rPr>
        <w:t>Sargeant and Harcourt (2012) define ethical research as research that has been developed and practised to underpin a knowledge and understanding of ethical behaviour that protects the participants and the researcher. If a researcher fails to follow the relevant ethical guidelines, repercussions and legal sanction may be the result. Ethical pra</w:t>
      </w:r>
      <w:r w:rsidR="00E219C9" w:rsidRPr="00056D26">
        <w:rPr>
          <w:rFonts w:ascii="Arial" w:hAnsi="Arial" w:cs="Arial"/>
        </w:rPr>
        <w:t xml:space="preserve">ctices include gaining consent as well as </w:t>
      </w:r>
      <w:r w:rsidRPr="00056D26">
        <w:rPr>
          <w:rFonts w:ascii="Arial" w:hAnsi="Arial" w:cs="Arial"/>
        </w:rPr>
        <w:t>understanding anonymity, coercion and plagiarism. However, Sargeant and Harcourt (2012) argue that unethical methods of practise can occur due to inexperience, general mistakes or inappropriate conduct and monitor</w:t>
      </w:r>
      <w:r w:rsidR="007758B8">
        <w:rPr>
          <w:rFonts w:ascii="Arial" w:hAnsi="Arial" w:cs="Arial"/>
        </w:rPr>
        <w:t>ing; which can happen unintentional</w:t>
      </w:r>
      <w:r w:rsidRPr="00056D26">
        <w:rPr>
          <w:rFonts w:ascii="Arial" w:hAnsi="Arial" w:cs="Arial"/>
        </w:rPr>
        <w:t>ly. Therefore, any research, particularly with children</w:t>
      </w:r>
      <w:r w:rsidR="0078594B" w:rsidRPr="00056D26">
        <w:rPr>
          <w:rFonts w:ascii="Arial" w:hAnsi="Arial" w:cs="Arial"/>
        </w:rPr>
        <w:t>,</w:t>
      </w:r>
      <w:r w:rsidRPr="00056D26">
        <w:rPr>
          <w:rFonts w:ascii="Arial" w:hAnsi="Arial" w:cs="Arial"/>
        </w:rPr>
        <w:t xml:space="preserve"> who are considered vulnerable</w:t>
      </w:r>
      <w:r w:rsidR="0078594B" w:rsidRPr="00056D26">
        <w:rPr>
          <w:rFonts w:ascii="Arial" w:hAnsi="Arial" w:cs="Arial"/>
        </w:rPr>
        <w:t>,</w:t>
      </w:r>
      <w:r w:rsidRPr="00056D26">
        <w:rPr>
          <w:rFonts w:ascii="Arial" w:hAnsi="Arial" w:cs="Arial"/>
        </w:rPr>
        <w:t xml:space="preserve"> requires a sufficient amount of knowledge, understanding and reflection in regards to ethics. Subsequently, this handbook </w:t>
      </w:r>
      <w:r w:rsidR="00BA7145" w:rsidRPr="00056D26">
        <w:rPr>
          <w:rFonts w:ascii="Arial" w:hAnsi="Arial" w:cs="Arial"/>
        </w:rPr>
        <w:t xml:space="preserve">is going to evaluate ethical considerations and the challenges involved in relation to ethics when undertaking research with children. </w:t>
      </w:r>
    </w:p>
    <w:p w14:paraId="64952468" w14:textId="77777777" w:rsidR="00B16DD2" w:rsidRPr="00056D26" w:rsidRDefault="00B16DD2" w:rsidP="00056D26">
      <w:pPr>
        <w:spacing w:line="360" w:lineRule="auto"/>
        <w:jc w:val="both"/>
        <w:rPr>
          <w:rFonts w:ascii="Arial" w:hAnsi="Arial" w:cs="Arial"/>
        </w:rPr>
      </w:pPr>
    </w:p>
    <w:p w14:paraId="0A305273" w14:textId="7DC18A5C" w:rsidR="00730511" w:rsidRPr="00056D26" w:rsidRDefault="00730511" w:rsidP="00056D26">
      <w:pPr>
        <w:spacing w:line="360" w:lineRule="auto"/>
        <w:jc w:val="both"/>
        <w:rPr>
          <w:rFonts w:ascii="Arial" w:hAnsi="Arial" w:cs="Arial"/>
          <w:b/>
          <w:u w:val="single"/>
        </w:rPr>
      </w:pPr>
      <w:r w:rsidRPr="00056D26">
        <w:rPr>
          <w:rFonts w:ascii="Arial" w:hAnsi="Arial" w:cs="Arial"/>
          <w:b/>
          <w:u w:val="single"/>
        </w:rPr>
        <w:t>Key Issues</w:t>
      </w:r>
      <w:r w:rsidR="00911F2C" w:rsidRPr="00056D26">
        <w:rPr>
          <w:rFonts w:ascii="Arial" w:hAnsi="Arial" w:cs="Arial"/>
          <w:b/>
          <w:u w:val="single"/>
        </w:rPr>
        <w:t xml:space="preserve"> – Consent, Child’</w:t>
      </w:r>
      <w:r w:rsidR="00FB4F3F" w:rsidRPr="00056D26">
        <w:rPr>
          <w:rFonts w:ascii="Arial" w:hAnsi="Arial" w:cs="Arial"/>
          <w:b/>
          <w:u w:val="single"/>
        </w:rPr>
        <w:t xml:space="preserve">s voice, Confidentiality and Dilemmas involved. </w:t>
      </w:r>
    </w:p>
    <w:p w14:paraId="04E5ED47" w14:textId="77777777" w:rsidR="00FB4F3F" w:rsidRPr="00056D26" w:rsidRDefault="00FB4F3F" w:rsidP="00056D26">
      <w:pPr>
        <w:spacing w:line="360" w:lineRule="auto"/>
        <w:jc w:val="both"/>
        <w:rPr>
          <w:rFonts w:ascii="Arial" w:hAnsi="Arial" w:cs="Arial"/>
          <w:b/>
          <w:u w:val="single"/>
        </w:rPr>
      </w:pPr>
    </w:p>
    <w:p w14:paraId="48A29CCC" w14:textId="5993EA76" w:rsidR="00B16DD2" w:rsidRPr="00056D26" w:rsidRDefault="00632E71" w:rsidP="00056D26">
      <w:pPr>
        <w:spacing w:line="360" w:lineRule="auto"/>
        <w:jc w:val="both"/>
        <w:rPr>
          <w:rFonts w:ascii="Arial" w:hAnsi="Arial" w:cs="Arial"/>
        </w:rPr>
      </w:pPr>
      <w:r w:rsidRPr="00056D26">
        <w:rPr>
          <w:rFonts w:ascii="Arial" w:hAnsi="Arial" w:cs="Arial"/>
        </w:rPr>
        <w:t>Dahlberg and Moss (2005) refer to ethics as a moral responsibility as oppose</w:t>
      </w:r>
      <w:r w:rsidR="007758B8">
        <w:rPr>
          <w:rFonts w:ascii="Arial" w:hAnsi="Arial" w:cs="Arial"/>
        </w:rPr>
        <w:t>d</w:t>
      </w:r>
      <w:r w:rsidRPr="00056D26">
        <w:rPr>
          <w:rFonts w:ascii="Arial" w:hAnsi="Arial" w:cs="Arial"/>
        </w:rPr>
        <w:t xml:space="preserve"> to simply following a set of universal codes and practices. This is supported by the ideas of Tronto (1993) who suggests an ethics of care approach which includes acts of caring, attentiveness, responsiveness and responsibility as well as compassion and intuition in order to cause no harm physically, emotional and psychologically to the participant. Tronto (1993) highlights that ethics is not about following a set code but about dealing with situations morally and responsibly based on the researcher’s personal perceptions of ethical conduct. In order to do no harm, the UNCRC (1990) must be considered. In particular article three conveys that the best interests of the child must always be the top priority and article 12, which states that all children have the right to express their views, feelings and wishes on all matters that affect them. </w:t>
      </w:r>
    </w:p>
    <w:p w14:paraId="56AD61C1" w14:textId="77777777" w:rsidR="00C40AF3" w:rsidRPr="00056D26" w:rsidRDefault="00C40AF3" w:rsidP="00056D26">
      <w:pPr>
        <w:spacing w:line="360" w:lineRule="auto"/>
        <w:jc w:val="both"/>
        <w:rPr>
          <w:rFonts w:ascii="Arial" w:hAnsi="Arial" w:cs="Arial"/>
        </w:rPr>
      </w:pPr>
    </w:p>
    <w:p w14:paraId="548C0905" w14:textId="3B89836A" w:rsidR="00C40AF3" w:rsidRPr="00056D26" w:rsidRDefault="00C40AF3" w:rsidP="00056D26">
      <w:pPr>
        <w:spacing w:line="360" w:lineRule="auto"/>
        <w:jc w:val="both"/>
        <w:rPr>
          <w:rFonts w:ascii="Arial" w:hAnsi="Arial" w:cs="Arial"/>
        </w:rPr>
      </w:pPr>
      <w:r w:rsidRPr="00056D26">
        <w:rPr>
          <w:rFonts w:ascii="Arial" w:hAnsi="Arial" w:cs="Arial"/>
        </w:rPr>
        <w:t xml:space="preserve">In regards to consent, information relating to the research methodology, data analysis and what is expected of the participants should be provided clearly with respect and </w:t>
      </w:r>
      <w:r w:rsidRPr="00056D26">
        <w:rPr>
          <w:rFonts w:ascii="Arial" w:hAnsi="Arial" w:cs="Arial"/>
        </w:rPr>
        <w:lastRenderedPageBreak/>
        <w:t>good communication to ensure the participant is sufficiently informed and clearly understands the consent process (Alderson and Morrow</w:t>
      </w:r>
      <w:r w:rsidR="00FA2E67">
        <w:rPr>
          <w:rFonts w:ascii="Arial" w:hAnsi="Arial" w:cs="Arial"/>
        </w:rPr>
        <w:t>,</w:t>
      </w:r>
      <w:r w:rsidRPr="00056D26">
        <w:rPr>
          <w:rFonts w:ascii="Arial" w:hAnsi="Arial" w:cs="Arial"/>
        </w:rPr>
        <w:t xml:space="preserve"> 2011). When researching young children consent can become a dilemma. When Children are unable to consent, the choices made for them must be in their</w:t>
      </w:r>
      <w:r w:rsidR="00561A16" w:rsidRPr="00056D26">
        <w:rPr>
          <w:rFonts w:ascii="Arial" w:hAnsi="Arial" w:cs="Arial"/>
        </w:rPr>
        <w:t xml:space="preserve"> best interest (Gillick</w:t>
      </w:r>
      <w:r w:rsidR="00FA2E67">
        <w:rPr>
          <w:rFonts w:ascii="Arial" w:hAnsi="Arial" w:cs="Arial"/>
        </w:rPr>
        <w:t>,</w:t>
      </w:r>
      <w:r w:rsidRPr="00056D26">
        <w:rPr>
          <w:rFonts w:ascii="Arial" w:hAnsi="Arial" w:cs="Arial"/>
        </w:rPr>
        <w:t xml:space="preserve"> 1985</w:t>
      </w:r>
      <w:r w:rsidR="00FA2E67">
        <w:rPr>
          <w:rFonts w:ascii="Arial" w:hAnsi="Arial" w:cs="Arial"/>
        </w:rPr>
        <w:t>;</w:t>
      </w:r>
      <w:r w:rsidR="00730511" w:rsidRPr="00056D26">
        <w:rPr>
          <w:rFonts w:ascii="Arial" w:hAnsi="Arial" w:cs="Arial"/>
        </w:rPr>
        <w:t xml:space="preserve"> UNCRC</w:t>
      </w:r>
      <w:r w:rsidR="00FA2E67">
        <w:rPr>
          <w:rFonts w:ascii="Arial" w:hAnsi="Arial" w:cs="Arial"/>
        </w:rPr>
        <w:t>,</w:t>
      </w:r>
      <w:r w:rsidR="00730511" w:rsidRPr="00056D26">
        <w:rPr>
          <w:rFonts w:ascii="Arial" w:hAnsi="Arial" w:cs="Arial"/>
        </w:rPr>
        <w:t xml:space="preserve"> 1990</w:t>
      </w:r>
      <w:r w:rsidRPr="00056D26">
        <w:rPr>
          <w:rFonts w:ascii="Arial" w:hAnsi="Arial" w:cs="Arial"/>
        </w:rPr>
        <w:t xml:space="preserve">). Yet the competence of the child must be considered. </w:t>
      </w:r>
      <w:r w:rsidR="00561A16" w:rsidRPr="00056D26">
        <w:rPr>
          <w:rFonts w:ascii="Arial" w:hAnsi="Arial" w:cs="Arial"/>
        </w:rPr>
        <w:t>Gillick (1985) defines competence as having an adequate understanding of what is being proposed and intelligent enough to make the decision</w:t>
      </w:r>
      <w:r w:rsidR="00730511" w:rsidRPr="00056D26">
        <w:rPr>
          <w:rFonts w:ascii="Arial" w:hAnsi="Arial" w:cs="Arial"/>
        </w:rPr>
        <w:t xml:space="preserve"> for one’s self, in their best interest</w:t>
      </w:r>
      <w:r w:rsidR="00561A16" w:rsidRPr="00056D26">
        <w:rPr>
          <w:rFonts w:ascii="Arial" w:hAnsi="Arial" w:cs="Arial"/>
        </w:rPr>
        <w:t>. According to the child</w:t>
      </w:r>
      <w:r w:rsidR="00767C11">
        <w:rPr>
          <w:rFonts w:ascii="Arial" w:hAnsi="Arial" w:cs="Arial"/>
        </w:rPr>
        <w:t>ren Act, England and Wales (2004</w:t>
      </w:r>
      <w:r w:rsidR="00561A16" w:rsidRPr="00056D26">
        <w:rPr>
          <w:rFonts w:ascii="Arial" w:hAnsi="Arial" w:cs="Arial"/>
        </w:rPr>
        <w:t xml:space="preserve">) the only people who can offer legal consent are people with parental responsibilities of young children and children who are considered competent. Skelton (2008) highlights two dilemmas in relation to parental consent, one of which is parental refusal when the child wishes to participate and secondly, child refusal when parents wish for them to participate. </w:t>
      </w:r>
      <w:r w:rsidR="00B0094D" w:rsidRPr="00056D26">
        <w:rPr>
          <w:rFonts w:ascii="Arial" w:hAnsi="Arial" w:cs="Arial"/>
        </w:rPr>
        <w:t>In order to overcome these potential dilemmas, information regarding the research should be provided with respect and be in depth enough to allow</w:t>
      </w:r>
      <w:r w:rsidR="00CF308E">
        <w:rPr>
          <w:rFonts w:ascii="Arial" w:hAnsi="Arial" w:cs="Arial"/>
        </w:rPr>
        <w:t xml:space="preserve"> all</w:t>
      </w:r>
      <w:r w:rsidR="00B0094D" w:rsidRPr="00056D26">
        <w:rPr>
          <w:rFonts w:ascii="Arial" w:hAnsi="Arial" w:cs="Arial"/>
        </w:rPr>
        <w:t xml:space="preserve"> parties involved to understand what is expected. Parents and children alike should always be given the right to say no or the right to withdraw from the research without repercussions (Alderson and Morrow</w:t>
      </w:r>
      <w:r w:rsidR="00FA2E67">
        <w:rPr>
          <w:rFonts w:ascii="Arial" w:hAnsi="Arial" w:cs="Arial"/>
        </w:rPr>
        <w:t>,</w:t>
      </w:r>
      <w:r w:rsidR="00B0094D" w:rsidRPr="00056D26">
        <w:rPr>
          <w:rFonts w:ascii="Arial" w:hAnsi="Arial" w:cs="Arial"/>
        </w:rPr>
        <w:t xml:space="preserve"> 2011). </w:t>
      </w:r>
    </w:p>
    <w:p w14:paraId="3A9A5EAB" w14:textId="77777777" w:rsidR="004A06B7" w:rsidRPr="00056D26" w:rsidRDefault="004A06B7" w:rsidP="00056D26">
      <w:pPr>
        <w:spacing w:line="360" w:lineRule="auto"/>
        <w:jc w:val="both"/>
        <w:rPr>
          <w:rFonts w:ascii="Arial" w:hAnsi="Arial" w:cs="Arial"/>
        </w:rPr>
      </w:pPr>
    </w:p>
    <w:p w14:paraId="4F2EA1FC" w14:textId="0A0E7A8B" w:rsidR="004A06B7" w:rsidRPr="00056D26" w:rsidRDefault="004A06B7" w:rsidP="00056D26">
      <w:pPr>
        <w:spacing w:line="360" w:lineRule="auto"/>
        <w:jc w:val="both"/>
        <w:rPr>
          <w:rFonts w:ascii="Arial" w:hAnsi="Arial" w:cs="Arial"/>
        </w:rPr>
      </w:pPr>
      <w:r w:rsidRPr="00056D26">
        <w:rPr>
          <w:rFonts w:ascii="Arial" w:hAnsi="Arial" w:cs="Arial"/>
        </w:rPr>
        <w:t>Alderson and Morrow (2011) emphasize that in order for parents to give informed legal consent they must be made aware of their rights. Participant</w:t>
      </w:r>
      <w:r w:rsidR="00730511" w:rsidRPr="00056D26">
        <w:rPr>
          <w:rFonts w:ascii="Arial" w:hAnsi="Arial" w:cs="Arial"/>
        </w:rPr>
        <w:t>s</w:t>
      </w:r>
      <w:r w:rsidRPr="00056D26">
        <w:rPr>
          <w:rFonts w:ascii="Arial" w:hAnsi="Arial" w:cs="Arial"/>
        </w:rPr>
        <w:t xml:space="preserve"> should be given sufficient time to decide, not feel pressurised or coerced into taking part, be able to ask questions about the research</w:t>
      </w:r>
      <w:r w:rsidR="00ED14CB" w:rsidRPr="00056D26">
        <w:rPr>
          <w:rFonts w:ascii="Arial" w:hAnsi="Arial" w:cs="Arial"/>
        </w:rPr>
        <w:t xml:space="preserve"> and be made aware that they can withdraw at any time or to not participate if they do not want to. </w:t>
      </w:r>
      <w:r w:rsidR="00CE3E4F" w:rsidRPr="00056D26">
        <w:rPr>
          <w:rFonts w:ascii="Arial" w:hAnsi="Arial" w:cs="Arial"/>
        </w:rPr>
        <w:t xml:space="preserve">Particularly when working with young children, the child must be made aware that there will be no negative consequences if they say no and the researcher must ensure that the child does not feel pressurised by the researcher simply because they are an adult. Sargeant and Harcourt (2012) identify that due to the nature of adults and children working together a power in-balance can occur. Careful planning, a familiarisation period and good communication can help to overcome this. Other than age, other key differences between children and researchers such as physical, emotional, cognitive, psychological and social capacities need to be addressed and understood </w:t>
      </w:r>
      <w:r w:rsidR="00730511" w:rsidRPr="00056D26">
        <w:rPr>
          <w:rFonts w:ascii="Arial" w:hAnsi="Arial" w:cs="Arial"/>
        </w:rPr>
        <w:t>in order to overcome the</w:t>
      </w:r>
      <w:r w:rsidR="00CE3E4F" w:rsidRPr="00056D26">
        <w:rPr>
          <w:rFonts w:ascii="Arial" w:hAnsi="Arial" w:cs="Arial"/>
        </w:rPr>
        <w:t xml:space="preserve"> in-balance as effectively as possible (Sargeant and Harcourt</w:t>
      </w:r>
      <w:r w:rsidR="00FA2E67">
        <w:rPr>
          <w:rFonts w:ascii="Arial" w:hAnsi="Arial" w:cs="Arial"/>
        </w:rPr>
        <w:t>,</w:t>
      </w:r>
      <w:r w:rsidR="00CE3E4F" w:rsidRPr="00056D26">
        <w:rPr>
          <w:rFonts w:ascii="Arial" w:hAnsi="Arial" w:cs="Arial"/>
        </w:rPr>
        <w:t xml:space="preserve"> 2012). Therefore, it is important to physically be on the same level as the child, for example sitting at a table together or sitting on the floor. To use language that is appropriate and</w:t>
      </w:r>
      <w:r w:rsidR="00730511" w:rsidRPr="00056D26">
        <w:rPr>
          <w:rFonts w:ascii="Arial" w:hAnsi="Arial" w:cs="Arial"/>
        </w:rPr>
        <w:t xml:space="preserve"> that</w:t>
      </w:r>
      <w:r w:rsidR="00CE3E4F" w:rsidRPr="00056D26">
        <w:rPr>
          <w:rFonts w:ascii="Arial" w:hAnsi="Arial" w:cs="Arial"/>
        </w:rPr>
        <w:t xml:space="preserve"> children will understand. Finally,</w:t>
      </w:r>
      <w:r w:rsidR="009C3112" w:rsidRPr="00056D26">
        <w:rPr>
          <w:rFonts w:ascii="Arial" w:hAnsi="Arial" w:cs="Arial"/>
        </w:rPr>
        <w:t xml:space="preserve"> it is important</w:t>
      </w:r>
      <w:r w:rsidR="00CE3E4F" w:rsidRPr="00056D26">
        <w:rPr>
          <w:rFonts w:ascii="Arial" w:hAnsi="Arial" w:cs="Arial"/>
        </w:rPr>
        <w:t xml:space="preserve"> to become familiar with the child in order to understand their emotional, social and psychological abilities (Sargeant and Harcourt 2011). Barley and Bath (2014) articulate the importance of familiarisation when </w:t>
      </w:r>
      <w:r w:rsidR="00AB2B48" w:rsidRPr="00056D26">
        <w:rPr>
          <w:rFonts w:ascii="Arial" w:hAnsi="Arial" w:cs="Arial"/>
        </w:rPr>
        <w:t>undertaking</w:t>
      </w:r>
      <w:r w:rsidR="00CE3E4F" w:rsidRPr="00056D26">
        <w:rPr>
          <w:rFonts w:ascii="Arial" w:hAnsi="Arial" w:cs="Arial"/>
        </w:rPr>
        <w:t xml:space="preserve"> research with </w:t>
      </w:r>
      <w:r w:rsidR="00AB2B48" w:rsidRPr="00056D26">
        <w:rPr>
          <w:rFonts w:ascii="Arial" w:hAnsi="Arial" w:cs="Arial"/>
        </w:rPr>
        <w:t xml:space="preserve">young children as an effective way of accessing the </w:t>
      </w:r>
      <w:r w:rsidR="00D025BB" w:rsidRPr="00056D26">
        <w:rPr>
          <w:rFonts w:ascii="Arial" w:hAnsi="Arial" w:cs="Arial"/>
        </w:rPr>
        <w:t>‘</w:t>
      </w:r>
      <w:r w:rsidR="00AB2B48" w:rsidRPr="00056D26">
        <w:rPr>
          <w:rFonts w:ascii="Arial" w:hAnsi="Arial" w:cs="Arial"/>
        </w:rPr>
        <w:t>child’s voice</w:t>
      </w:r>
      <w:r w:rsidR="00D025BB" w:rsidRPr="00056D26">
        <w:rPr>
          <w:rFonts w:ascii="Arial" w:hAnsi="Arial" w:cs="Arial"/>
        </w:rPr>
        <w:t>’</w:t>
      </w:r>
      <w:r w:rsidR="00AB2B48" w:rsidRPr="00056D26">
        <w:rPr>
          <w:rFonts w:ascii="Arial" w:hAnsi="Arial" w:cs="Arial"/>
        </w:rPr>
        <w:t xml:space="preserve"> and allowing children to feel comfortable expressing themselves; which is essential when completing research </w:t>
      </w:r>
      <w:r w:rsidR="00D025BB" w:rsidRPr="00056D26">
        <w:rPr>
          <w:rFonts w:ascii="Arial" w:hAnsi="Arial" w:cs="Arial"/>
        </w:rPr>
        <w:t>on child perceptions (Mayall</w:t>
      </w:r>
      <w:r w:rsidR="00FA2E67">
        <w:rPr>
          <w:rFonts w:ascii="Arial" w:hAnsi="Arial" w:cs="Arial"/>
        </w:rPr>
        <w:t>,</w:t>
      </w:r>
      <w:r w:rsidR="00D025BB" w:rsidRPr="00056D26">
        <w:rPr>
          <w:rFonts w:ascii="Arial" w:hAnsi="Arial" w:cs="Arial"/>
        </w:rPr>
        <w:t xml:space="preserve"> 2000). </w:t>
      </w:r>
      <w:r w:rsidR="003544B0" w:rsidRPr="00056D26">
        <w:rPr>
          <w:rFonts w:ascii="Arial" w:hAnsi="Arial" w:cs="Arial"/>
        </w:rPr>
        <w:t xml:space="preserve">In regards to building </w:t>
      </w:r>
      <w:r w:rsidR="001275D2" w:rsidRPr="00056D26">
        <w:rPr>
          <w:rFonts w:ascii="Arial" w:hAnsi="Arial" w:cs="Arial"/>
        </w:rPr>
        <w:t>strong relationships between researcher and children when undergoing research, Palaiologou (2012) refers to Hart’s ladder in which some attempts at including children in research assume the term ‘tokenism’. This results in children having little or no say in the research methodology and communication processes; even when the researchers think they have thought critically and the children are involved. In order for research with children to be ethical and true, Palaiologou (2012) s</w:t>
      </w:r>
      <w:r w:rsidR="00730511" w:rsidRPr="00056D26">
        <w:rPr>
          <w:rFonts w:ascii="Arial" w:hAnsi="Arial" w:cs="Arial"/>
        </w:rPr>
        <w:t>uggests that research should be</w:t>
      </w:r>
      <w:r w:rsidR="001275D2" w:rsidRPr="00056D26">
        <w:rPr>
          <w:rFonts w:ascii="Arial" w:hAnsi="Arial" w:cs="Arial"/>
        </w:rPr>
        <w:t xml:space="preserve"> metaphorically using the top half of Hart’s ladder in which participation from children is consulted, informed, with shared decisions and possibly even youth initiated. By following Hart’s </w:t>
      </w:r>
      <w:r w:rsidR="00031F02" w:rsidRPr="00056D26">
        <w:rPr>
          <w:rFonts w:ascii="Arial" w:hAnsi="Arial" w:cs="Arial"/>
        </w:rPr>
        <w:t>guidelines,</w:t>
      </w:r>
      <w:r w:rsidR="001275D2" w:rsidRPr="00056D26">
        <w:rPr>
          <w:rFonts w:ascii="Arial" w:hAnsi="Arial" w:cs="Arial"/>
        </w:rPr>
        <w:t xml:space="preserve"> the power in-balance </w:t>
      </w:r>
      <w:r w:rsidR="00031F02" w:rsidRPr="00056D26">
        <w:rPr>
          <w:rFonts w:ascii="Arial" w:hAnsi="Arial" w:cs="Arial"/>
        </w:rPr>
        <w:t>is limited and children and researcher become equal</w:t>
      </w:r>
      <w:r w:rsidR="00730511" w:rsidRPr="00056D26">
        <w:rPr>
          <w:rFonts w:ascii="Arial" w:hAnsi="Arial" w:cs="Arial"/>
        </w:rPr>
        <w:t xml:space="preserve">, also allowing the child’s voice to be present </w:t>
      </w:r>
      <w:r w:rsidR="005416E1" w:rsidRPr="00056D26">
        <w:rPr>
          <w:rFonts w:ascii="Arial" w:hAnsi="Arial" w:cs="Arial"/>
        </w:rPr>
        <w:t xml:space="preserve">in the research (Hart, 1992). </w:t>
      </w:r>
    </w:p>
    <w:p w14:paraId="0CA594DC" w14:textId="77777777" w:rsidR="00D025BB" w:rsidRPr="00056D26" w:rsidRDefault="00D025BB" w:rsidP="00056D26">
      <w:pPr>
        <w:spacing w:line="360" w:lineRule="auto"/>
        <w:jc w:val="both"/>
        <w:rPr>
          <w:rFonts w:ascii="Arial" w:hAnsi="Arial" w:cs="Arial"/>
        </w:rPr>
      </w:pPr>
    </w:p>
    <w:p w14:paraId="474C6D00" w14:textId="7596AB86" w:rsidR="00D025BB" w:rsidRPr="00056D26" w:rsidRDefault="00D025BB" w:rsidP="00056D26">
      <w:pPr>
        <w:spacing w:line="360" w:lineRule="auto"/>
        <w:jc w:val="both"/>
        <w:rPr>
          <w:rFonts w:ascii="Arial" w:hAnsi="Arial" w:cs="Arial"/>
        </w:rPr>
      </w:pPr>
      <w:r w:rsidRPr="00056D26">
        <w:rPr>
          <w:rFonts w:ascii="Arial" w:hAnsi="Arial" w:cs="Arial"/>
        </w:rPr>
        <w:t xml:space="preserve">Dockett and Perry (2003) argue that due to age and incompetence, children cannot provide reliable information that can be used by researchers. Conversely to this, Mayall (2000) argues that children are active and competent learners and acknowledging children’s own perceptions is essential in understanding how they develop and feel. Sargeant and Harcourt (2012) conclude that when undertaking research with children it is important to consider the ‘child’s voice’ in order to understand their personal views and opinions. This is supported by Grover (2004) who suggests that children should be viewed as adept in their own experiences. </w:t>
      </w:r>
      <w:r w:rsidR="005D486E" w:rsidRPr="00056D26">
        <w:rPr>
          <w:rFonts w:ascii="Arial" w:hAnsi="Arial" w:cs="Arial"/>
        </w:rPr>
        <w:t>The Mosaic a</w:t>
      </w:r>
      <w:r w:rsidR="006A5D44" w:rsidRPr="00056D26">
        <w:rPr>
          <w:rFonts w:ascii="Arial" w:hAnsi="Arial" w:cs="Arial"/>
        </w:rPr>
        <w:t xml:space="preserve">pproach developed by Moss and Clark (2011) offers a creative framework using a multitude of methods to listen to and research children’s perceptions. The aim of the Mosaic </w:t>
      </w:r>
      <w:r w:rsidR="005D486E" w:rsidRPr="00056D26">
        <w:rPr>
          <w:rFonts w:ascii="Arial" w:hAnsi="Arial" w:cs="Arial"/>
        </w:rPr>
        <w:t>Approach</w:t>
      </w:r>
      <w:r w:rsidR="006A5D44" w:rsidRPr="00056D26">
        <w:rPr>
          <w:rFonts w:ascii="Arial" w:hAnsi="Arial" w:cs="Arial"/>
        </w:rPr>
        <w:t xml:space="preserve"> </w:t>
      </w:r>
      <w:r w:rsidR="005D486E" w:rsidRPr="00056D26">
        <w:rPr>
          <w:rFonts w:ascii="Arial" w:hAnsi="Arial" w:cs="Arial"/>
        </w:rPr>
        <w:t>is to view children as experts within their own rights and experiences. The Mosaic approach also allows children the opportunity and time to express themselves in a number of different ways</w:t>
      </w:r>
      <w:r w:rsidR="00881037" w:rsidRPr="00056D26">
        <w:rPr>
          <w:rFonts w:ascii="Arial" w:hAnsi="Arial" w:cs="Arial"/>
        </w:rPr>
        <w:t xml:space="preserve"> by gathering their own research;</w:t>
      </w:r>
      <w:r w:rsidR="005D486E" w:rsidRPr="00056D26">
        <w:rPr>
          <w:rFonts w:ascii="Arial" w:hAnsi="Arial" w:cs="Arial"/>
        </w:rPr>
        <w:t xml:space="preserve"> and is concerned with accumulating multiple types of data to better understand children’s views (Greenfield</w:t>
      </w:r>
      <w:r w:rsidR="00FA2E67">
        <w:rPr>
          <w:rFonts w:ascii="Arial" w:hAnsi="Arial" w:cs="Arial"/>
        </w:rPr>
        <w:t>,</w:t>
      </w:r>
      <w:r w:rsidR="005D486E" w:rsidRPr="00056D26">
        <w:rPr>
          <w:rFonts w:ascii="Arial" w:hAnsi="Arial" w:cs="Arial"/>
        </w:rPr>
        <w:t xml:space="preserve"> 2011). </w:t>
      </w:r>
      <w:r w:rsidR="00004AA3" w:rsidRPr="00056D26">
        <w:rPr>
          <w:rFonts w:ascii="Arial" w:hAnsi="Arial" w:cs="Arial"/>
        </w:rPr>
        <w:t>The Mosaic approach (Clark and Moss</w:t>
      </w:r>
      <w:r w:rsidR="00FA2E67">
        <w:rPr>
          <w:rFonts w:ascii="Arial" w:hAnsi="Arial" w:cs="Arial"/>
        </w:rPr>
        <w:t>,</w:t>
      </w:r>
      <w:r w:rsidR="00004AA3" w:rsidRPr="00056D26">
        <w:rPr>
          <w:rFonts w:ascii="Arial" w:hAnsi="Arial" w:cs="Arial"/>
        </w:rPr>
        <w:t xml:space="preserve"> 2011) recommends the use of diaries, photographs, video recordings and pictures as effective resources to help children gather their own data and communicate their ideas and opinions efficiently. </w:t>
      </w:r>
      <w:r w:rsidR="0007361A">
        <w:rPr>
          <w:rFonts w:ascii="Arial" w:hAnsi="Arial" w:cs="Arial"/>
        </w:rPr>
        <w:t xml:space="preserve">This corresponds with the Reggio Emilia approach </w:t>
      </w:r>
      <w:r w:rsidR="004E17A0">
        <w:rPr>
          <w:rFonts w:ascii="Arial" w:hAnsi="Arial" w:cs="Arial"/>
        </w:rPr>
        <w:t xml:space="preserve">which is built on the philosophy of relationships, in which teaching is a </w:t>
      </w:r>
      <w:r w:rsidR="00FA2E67">
        <w:rPr>
          <w:rFonts w:ascii="Arial" w:hAnsi="Arial" w:cs="Arial"/>
        </w:rPr>
        <w:t>two-way</w:t>
      </w:r>
      <w:r w:rsidR="004E17A0">
        <w:rPr>
          <w:rFonts w:ascii="Arial" w:hAnsi="Arial" w:cs="Arial"/>
        </w:rPr>
        <w:t xml:space="preserve"> relationship between child and teacher; learning is constructed and guided by the children based on their interest (Biermeier</w:t>
      </w:r>
      <w:r w:rsidR="00004AC8">
        <w:rPr>
          <w:rFonts w:ascii="Arial" w:hAnsi="Arial" w:cs="Arial"/>
        </w:rPr>
        <w:t>,</w:t>
      </w:r>
      <w:r w:rsidR="004E17A0">
        <w:rPr>
          <w:rFonts w:ascii="Arial" w:hAnsi="Arial" w:cs="Arial"/>
        </w:rPr>
        <w:t xml:space="preserve"> 2015). </w:t>
      </w:r>
    </w:p>
    <w:p w14:paraId="758F981E" w14:textId="77777777" w:rsidR="00485364" w:rsidRPr="00056D26" w:rsidRDefault="00485364" w:rsidP="00056D26">
      <w:pPr>
        <w:spacing w:line="360" w:lineRule="auto"/>
        <w:jc w:val="both"/>
        <w:rPr>
          <w:rFonts w:ascii="Arial" w:hAnsi="Arial" w:cs="Arial"/>
        </w:rPr>
      </w:pPr>
    </w:p>
    <w:p w14:paraId="72D8FE41" w14:textId="303F38E7" w:rsidR="00EF1CC9" w:rsidRPr="00056D26" w:rsidRDefault="00485364" w:rsidP="00056D26">
      <w:pPr>
        <w:spacing w:line="360" w:lineRule="auto"/>
        <w:jc w:val="both"/>
        <w:rPr>
          <w:rFonts w:ascii="Arial" w:hAnsi="Arial" w:cs="Arial"/>
        </w:rPr>
      </w:pPr>
      <w:r w:rsidRPr="00056D26">
        <w:rPr>
          <w:rFonts w:ascii="Arial" w:hAnsi="Arial" w:cs="Arial"/>
        </w:rPr>
        <w:t>Dockett et al. (2012) refer to the term assent when working with children who are unable to give informed legal consent, which is an agreement to participate (Ford et al.</w:t>
      </w:r>
      <w:r w:rsidR="00FA2E67">
        <w:rPr>
          <w:rFonts w:ascii="Arial" w:hAnsi="Arial" w:cs="Arial"/>
        </w:rPr>
        <w:t>,</w:t>
      </w:r>
      <w:r w:rsidRPr="00056D26">
        <w:rPr>
          <w:rFonts w:ascii="Arial" w:hAnsi="Arial" w:cs="Arial"/>
        </w:rPr>
        <w:t xml:space="preserve"> 2007). Dockett et al. (2012) explain that assent from young children in particular are signalled by responses which could be verbal, behavioural or emotional response</w:t>
      </w:r>
      <w:r w:rsidR="00730511" w:rsidRPr="00056D26">
        <w:rPr>
          <w:rFonts w:ascii="Arial" w:hAnsi="Arial" w:cs="Arial"/>
        </w:rPr>
        <w:t>s</w:t>
      </w:r>
      <w:r w:rsidRPr="00056D26">
        <w:rPr>
          <w:rFonts w:ascii="Arial" w:hAnsi="Arial" w:cs="Arial"/>
        </w:rPr>
        <w:t>. For example, displaying signs of distress</w:t>
      </w:r>
      <w:r w:rsidR="00EF1CC9" w:rsidRPr="00056D26">
        <w:rPr>
          <w:rFonts w:ascii="Arial" w:hAnsi="Arial" w:cs="Arial"/>
        </w:rPr>
        <w:t xml:space="preserve"> or happiness in regards to an activity. It is the responsibility of the researcher to analyse these signals and act accordingly. Dockett et al. (2012) suggests that mixed signals can be a challenge when gaging whether young children fully wish to participate or not, as children may agree to participate due to their perceived reaction to an </w:t>
      </w:r>
      <w:r w:rsidR="00730511" w:rsidRPr="00056D26">
        <w:rPr>
          <w:rFonts w:ascii="Arial" w:hAnsi="Arial" w:cs="Arial"/>
        </w:rPr>
        <w:t>auth</w:t>
      </w:r>
      <w:r w:rsidR="00911F2C" w:rsidRPr="00056D26">
        <w:rPr>
          <w:rFonts w:ascii="Arial" w:hAnsi="Arial" w:cs="Arial"/>
        </w:rPr>
        <w:t>oritative</w:t>
      </w:r>
      <w:r w:rsidR="00EF1CC9" w:rsidRPr="00056D26">
        <w:rPr>
          <w:rFonts w:ascii="Arial" w:hAnsi="Arial" w:cs="Arial"/>
        </w:rPr>
        <w:t xml:space="preserve"> figure, or if participation offers an incentive, such as leaving the classroom to answer questions or a treat. Thus, it is the responsibility of the researcher to overcome these challenges. </w:t>
      </w:r>
    </w:p>
    <w:p w14:paraId="099F0086" w14:textId="77777777" w:rsidR="00EF1CC9" w:rsidRPr="00056D26" w:rsidRDefault="00EF1CC9" w:rsidP="00056D26">
      <w:pPr>
        <w:spacing w:line="360" w:lineRule="auto"/>
        <w:jc w:val="both"/>
        <w:rPr>
          <w:rFonts w:ascii="Arial" w:hAnsi="Arial" w:cs="Arial"/>
        </w:rPr>
      </w:pPr>
    </w:p>
    <w:p w14:paraId="3C0D90FE" w14:textId="6F8031A5" w:rsidR="00F4456A" w:rsidRPr="00056D26" w:rsidRDefault="00F4456A" w:rsidP="00056D26">
      <w:pPr>
        <w:spacing w:line="360" w:lineRule="auto"/>
        <w:jc w:val="both"/>
        <w:rPr>
          <w:rFonts w:ascii="Arial" w:hAnsi="Arial" w:cs="Arial"/>
          <w:b/>
          <w:u w:val="single"/>
        </w:rPr>
      </w:pPr>
      <w:r w:rsidRPr="00056D26">
        <w:rPr>
          <w:rFonts w:ascii="Arial" w:hAnsi="Arial" w:cs="Arial"/>
          <w:b/>
          <w:u w:val="single"/>
        </w:rPr>
        <w:t>Links to Frameworks</w:t>
      </w:r>
    </w:p>
    <w:p w14:paraId="23FD6AD3" w14:textId="77777777" w:rsidR="00F4456A" w:rsidRPr="00056D26" w:rsidRDefault="00F4456A" w:rsidP="00056D26">
      <w:pPr>
        <w:spacing w:line="360" w:lineRule="auto"/>
        <w:jc w:val="both"/>
        <w:rPr>
          <w:rFonts w:ascii="Arial" w:hAnsi="Arial" w:cs="Arial"/>
          <w:b/>
          <w:u w:val="single"/>
        </w:rPr>
      </w:pPr>
    </w:p>
    <w:p w14:paraId="0DFBC951" w14:textId="2D4D6879" w:rsidR="00CD55F0" w:rsidRPr="00056D26" w:rsidRDefault="00CD55F0" w:rsidP="00056D26">
      <w:pPr>
        <w:spacing w:line="360" w:lineRule="auto"/>
        <w:jc w:val="both"/>
        <w:rPr>
          <w:rFonts w:ascii="Arial" w:hAnsi="Arial" w:cs="Arial"/>
        </w:rPr>
      </w:pPr>
      <w:r w:rsidRPr="00056D26">
        <w:rPr>
          <w:rFonts w:ascii="Arial" w:hAnsi="Arial" w:cs="Arial"/>
        </w:rPr>
        <w:t xml:space="preserve">Lewis (2002) conveys six points that need to </w:t>
      </w:r>
      <w:r w:rsidR="00C9271B" w:rsidRPr="00056D26">
        <w:rPr>
          <w:rFonts w:ascii="Arial" w:hAnsi="Arial" w:cs="Arial"/>
        </w:rPr>
        <w:t>be addressed when working with young</w:t>
      </w:r>
      <w:r w:rsidR="00335F58" w:rsidRPr="00056D26">
        <w:rPr>
          <w:rFonts w:ascii="Arial" w:hAnsi="Arial" w:cs="Arial"/>
        </w:rPr>
        <w:t xml:space="preserve"> children. </w:t>
      </w:r>
      <w:r w:rsidR="00DE3D09" w:rsidRPr="00056D26">
        <w:rPr>
          <w:rFonts w:ascii="Arial" w:hAnsi="Arial" w:cs="Arial"/>
        </w:rPr>
        <w:t>Firstly,</w:t>
      </w:r>
      <w:r w:rsidR="001929FD" w:rsidRPr="00056D26">
        <w:rPr>
          <w:rFonts w:ascii="Arial" w:hAnsi="Arial" w:cs="Arial"/>
        </w:rPr>
        <w:t xml:space="preserve"> access</w:t>
      </w:r>
      <w:r w:rsidR="002D4451" w:rsidRPr="00056D26">
        <w:rPr>
          <w:rFonts w:ascii="Arial" w:hAnsi="Arial" w:cs="Arial"/>
        </w:rPr>
        <w:t xml:space="preserve"> Lewis (2002)</w:t>
      </w:r>
      <w:r w:rsidR="006A63B7" w:rsidRPr="00056D26">
        <w:rPr>
          <w:rFonts w:ascii="Arial" w:hAnsi="Arial" w:cs="Arial"/>
        </w:rPr>
        <w:t xml:space="preserve"> </w:t>
      </w:r>
      <w:r w:rsidR="00C1675B" w:rsidRPr="00056D26">
        <w:rPr>
          <w:rFonts w:ascii="Arial" w:hAnsi="Arial" w:cs="Arial"/>
        </w:rPr>
        <w:t>proposes</w:t>
      </w:r>
      <w:r w:rsidR="00C43688" w:rsidRPr="00056D26">
        <w:rPr>
          <w:rFonts w:ascii="Arial" w:hAnsi="Arial" w:cs="Arial"/>
        </w:rPr>
        <w:t xml:space="preserve"> that</w:t>
      </w:r>
      <w:r w:rsidR="00543922">
        <w:rPr>
          <w:rFonts w:ascii="Arial" w:hAnsi="Arial" w:cs="Arial"/>
        </w:rPr>
        <w:t xml:space="preserve"> the way in which t</w:t>
      </w:r>
      <w:r w:rsidR="006A63B7" w:rsidRPr="00056D26">
        <w:rPr>
          <w:rFonts w:ascii="Arial" w:hAnsi="Arial" w:cs="Arial"/>
        </w:rPr>
        <w:t xml:space="preserve">he researcher </w:t>
      </w:r>
      <w:r w:rsidR="00C43688" w:rsidRPr="00056D26">
        <w:rPr>
          <w:rFonts w:ascii="Arial" w:hAnsi="Arial" w:cs="Arial"/>
        </w:rPr>
        <w:t>accesses the children is important</w:t>
      </w:r>
      <w:r w:rsidR="00C84B6D" w:rsidRPr="00056D26">
        <w:rPr>
          <w:rFonts w:ascii="Arial" w:hAnsi="Arial" w:cs="Arial"/>
        </w:rPr>
        <w:t xml:space="preserve"> and advises</w:t>
      </w:r>
      <w:r w:rsidR="00543922">
        <w:rPr>
          <w:rFonts w:ascii="Arial" w:hAnsi="Arial" w:cs="Arial"/>
        </w:rPr>
        <w:t xml:space="preserve"> that</w:t>
      </w:r>
      <w:r w:rsidR="00C84B6D" w:rsidRPr="00056D26">
        <w:rPr>
          <w:rFonts w:ascii="Arial" w:hAnsi="Arial" w:cs="Arial"/>
        </w:rPr>
        <w:t xml:space="preserve"> </w:t>
      </w:r>
      <w:r w:rsidR="00325044" w:rsidRPr="00056D26">
        <w:rPr>
          <w:rFonts w:ascii="Arial" w:hAnsi="Arial" w:cs="Arial"/>
        </w:rPr>
        <w:t>an initial familiarisation and relationship building</w:t>
      </w:r>
      <w:r w:rsidR="00624132" w:rsidRPr="00056D26">
        <w:rPr>
          <w:rFonts w:ascii="Arial" w:hAnsi="Arial" w:cs="Arial"/>
        </w:rPr>
        <w:t xml:space="preserve"> period</w:t>
      </w:r>
      <w:r w:rsidR="00564625" w:rsidRPr="00056D26">
        <w:rPr>
          <w:rFonts w:ascii="Arial" w:hAnsi="Arial" w:cs="Arial"/>
        </w:rPr>
        <w:t xml:space="preserve"> </w:t>
      </w:r>
      <w:r w:rsidR="008C5203" w:rsidRPr="00056D26">
        <w:rPr>
          <w:rFonts w:ascii="Arial" w:hAnsi="Arial" w:cs="Arial"/>
        </w:rPr>
        <w:t>should be established</w:t>
      </w:r>
      <w:r w:rsidR="005B6D21" w:rsidRPr="00056D26">
        <w:rPr>
          <w:rFonts w:ascii="Arial" w:hAnsi="Arial" w:cs="Arial"/>
        </w:rPr>
        <w:t>;</w:t>
      </w:r>
      <w:r w:rsidR="008C5203" w:rsidRPr="00056D26">
        <w:rPr>
          <w:rFonts w:ascii="Arial" w:hAnsi="Arial" w:cs="Arial"/>
        </w:rPr>
        <w:t xml:space="preserve"> </w:t>
      </w:r>
      <w:r w:rsidR="00C7182B" w:rsidRPr="00056D26">
        <w:rPr>
          <w:rFonts w:ascii="Arial" w:hAnsi="Arial" w:cs="Arial"/>
        </w:rPr>
        <w:t xml:space="preserve">which concurs with the </w:t>
      </w:r>
      <w:r w:rsidR="00CE3A54" w:rsidRPr="00056D26">
        <w:rPr>
          <w:rFonts w:ascii="Arial" w:hAnsi="Arial" w:cs="Arial"/>
        </w:rPr>
        <w:t xml:space="preserve">research </w:t>
      </w:r>
      <w:r w:rsidR="005B6D21" w:rsidRPr="00056D26">
        <w:rPr>
          <w:rFonts w:ascii="Arial" w:hAnsi="Arial" w:cs="Arial"/>
        </w:rPr>
        <w:t>undertaken by Barley and Bath (</w:t>
      </w:r>
      <w:r w:rsidR="007E0CC3" w:rsidRPr="00056D26">
        <w:rPr>
          <w:rFonts w:ascii="Arial" w:hAnsi="Arial" w:cs="Arial"/>
        </w:rPr>
        <w:t xml:space="preserve">2014). </w:t>
      </w:r>
      <w:r w:rsidR="00C7182B" w:rsidRPr="00056D26">
        <w:rPr>
          <w:rFonts w:ascii="Arial" w:hAnsi="Arial" w:cs="Arial"/>
        </w:rPr>
        <w:t xml:space="preserve"> </w:t>
      </w:r>
      <w:r w:rsidR="005F60F2" w:rsidRPr="00056D26">
        <w:rPr>
          <w:rFonts w:ascii="Arial" w:hAnsi="Arial" w:cs="Arial"/>
        </w:rPr>
        <w:t xml:space="preserve">Next consent needs to be obtained </w:t>
      </w:r>
      <w:r w:rsidR="004B4703" w:rsidRPr="00056D26">
        <w:rPr>
          <w:rFonts w:ascii="Arial" w:hAnsi="Arial" w:cs="Arial"/>
        </w:rPr>
        <w:t>from both parents and children</w:t>
      </w:r>
      <w:r w:rsidR="0035524D" w:rsidRPr="00056D26">
        <w:rPr>
          <w:rFonts w:ascii="Arial" w:hAnsi="Arial" w:cs="Arial"/>
        </w:rPr>
        <w:t xml:space="preserve">. Macdonald (2013) suggests the use of drawings </w:t>
      </w:r>
      <w:r w:rsidR="00866001" w:rsidRPr="00056D26">
        <w:rPr>
          <w:rFonts w:ascii="Arial" w:hAnsi="Arial" w:cs="Arial"/>
        </w:rPr>
        <w:t xml:space="preserve">and colourings </w:t>
      </w:r>
      <w:r w:rsidR="00242D1D" w:rsidRPr="00056D26">
        <w:rPr>
          <w:rFonts w:ascii="Arial" w:hAnsi="Arial" w:cs="Arial"/>
        </w:rPr>
        <w:t>of smiley faces or sad faces as an effective way of gaining children’s assent</w:t>
      </w:r>
      <w:r w:rsidR="00511114" w:rsidRPr="00056D26">
        <w:rPr>
          <w:rFonts w:ascii="Arial" w:hAnsi="Arial" w:cs="Arial"/>
        </w:rPr>
        <w:t xml:space="preserve">. </w:t>
      </w:r>
      <w:r w:rsidR="00AC7C2B" w:rsidRPr="00056D26">
        <w:rPr>
          <w:rFonts w:ascii="Arial" w:hAnsi="Arial" w:cs="Arial"/>
        </w:rPr>
        <w:t xml:space="preserve">Next is confidentiality which is a significant </w:t>
      </w:r>
      <w:r w:rsidR="00ED4739" w:rsidRPr="00056D26">
        <w:rPr>
          <w:rFonts w:ascii="Arial" w:hAnsi="Arial" w:cs="Arial"/>
        </w:rPr>
        <w:t xml:space="preserve">consideration. </w:t>
      </w:r>
      <w:r w:rsidR="00A44CFF" w:rsidRPr="00056D26">
        <w:rPr>
          <w:rFonts w:ascii="Arial" w:hAnsi="Arial" w:cs="Arial"/>
        </w:rPr>
        <w:t>Confidentiality</w:t>
      </w:r>
      <w:r w:rsidR="00DE2ECF" w:rsidRPr="00056D26">
        <w:rPr>
          <w:rFonts w:ascii="Arial" w:hAnsi="Arial" w:cs="Arial"/>
        </w:rPr>
        <w:t xml:space="preserve"> ensures that the participant ca</w:t>
      </w:r>
      <w:r w:rsidR="00A44CFF" w:rsidRPr="00056D26">
        <w:rPr>
          <w:rFonts w:ascii="Arial" w:hAnsi="Arial" w:cs="Arial"/>
        </w:rPr>
        <w:t xml:space="preserve">nnot be identified </w:t>
      </w:r>
      <w:r w:rsidR="00563C85" w:rsidRPr="00056D26">
        <w:rPr>
          <w:rFonts w:ascii="Arial" w:hAnsi="Arial" w:cs="Arial"/>
        </w:rPr>
        <w:t>or presented in any way that can be identifiable; whereas anonymity ensures that even the researcher cannot identify the participant</w:t>
      </w:r>
      <w:r w:rsidR="00FB7968" w:rsidRPr="00056D26">
        <w:rPr>
          <w:rFonts w:ascii="Arial" w:hAnsi="Arial" w:cs="Arial"/>
        </w:rPr>
        <w:t xml:space="preserve"> as all responses are anonymous (Bell and Waters</w:t>
      </w:r>
      <w:r w:rsidR="00FA2E67">
        <w:rPr>
          <w:rFonts w:ascii="Arial" w:hAnsi="Arial" w:cs="Arial"/>
        </w:rPr>
        <w:t>,</w:t>
      </w:r>
      <w:r w:rsidR="00FB7968" w:rsidRPr="00056D26">
        <w:rPr>
          <w:rFonts w:ascii="Arial" w:hAnsi="Arial" w:cs="Arial"/>
        </w:rPr>
        <w:t xml:space="preserve"> 2014).</w:t>
      </w:r>
      <w:r w:rsidR="00563C85" w:rsidRPr="00056D26">
        <w:rPr>
          <w:rFonts w:ascii="Arial" w:hAnsi="Arial" w:cs="Arial"/>
        </w:rPr>
        <w:t xml:space="preserve"> These concepts are reinforced within the data protection act (1989)</w:t>
      </w:r>
      <w:r w:rsidR="00E256BE" w:rsidRPr="00056D26">
        <w:rPr>
          <w:rFonts w:ascii="Arial" w:hAnsi="Arial" w:cs="Arial"/>
        </w:rPr>
        <w:t xml:space="preserve"> which conveys that data should be used lawfully and fairly, and is kept safe and secure for no longer than is necessary. Macdonald (2013</w:t>
      </w:r>
      <w:r w:rsidR="00385FC0" w:rsidRPr="00056D26">
        <w:rPr>
          <w:rFonts w:ascii="Arial" w:hAnsi="Arial" w:cs="Arial"/>
        </w:rPr>
        <w:t>) highlights that when working with children and using children’s drawings or school work confidentiality can become a dilemma as children like to proudly display their names on their work and present it as theirs. Macdonald (2013) suggests the use of first names only and not mentioning the name of any settings or specific towns in order to overcome this barrier. The next point is recognition</w:t>
      </w:r>
      <w:r w:rsidR="00EE13C2">
        <w:rPr>
          <w:rFonts w:ascii="Arial" w:hAnsi="Arial" w:cs="Arial"/>
        </w:rPr>
        <w:t>,</w:t>
      </w:r>
      <w:bookmarkStart w:id="0" w:name="_GoBack"/>
      <w:bookmarkEnd w:id="0"/>
      <w:r w:rsidR="00385FC0" w:rsidRPr="00056D26">
        <w:rPr>
          <w:rFonts w:ascii="Arial" w:hAnsi="Arial" w:cs="Arial"/>
        </w:rPr>
        <w:t xml:space="preserve"> Lewis (2002) advises that researchers should continuously check with the children and communicate and discuss with the children what activities they are undertaking and the meanings behind them. Ownership is the next point which Lewis (2002) refers to as the rights of the child and their rights to see any data collected and keep any data used created by them. </w:t>
      </w:r>
      <w:r w:rsidR="00166472" w:rsidRPr="00056D26">
        <w:rPr>
          <w:rFonts w:ascii="Arial" w:hAnsi="Arial" w:cs="Arial"/>
        </w:rPr>
        <w:t>Finally,</w:t>
      </w:r>
      <w:r w:rsidR="00385FC0" w:rsidRPr="00056D26">
        <w:rPr>
          <w:rFonts w:ascii="Arial" w:hAnsi="Arial" w:cs="Arial"/>
        </w:rPr>
        <w:t xml:space="preserve"> social responsibility which involves respecting each child’s opinions and experiences, as well as acknowledging them as intelligent researchers in their own right (</w:t>
      </w:r>
      <w:r w:rsidR="009522FA" w:rsidRPr="00056D26">
        <w:rPr>
          <w:rFonts w:ascii="Arial" w:hAnsi="Arial" w:cs="Arial"/>
        </w:rPr>
        <w:t>Greene and Hogan</w:t>
      </w:r>
      <w:r w:rsidR="00FA2E67">
        <w:rPr>
          <w:rFonts w:ascii="Arial" w:hAnsi="Arial" w:cs="Arial"/>
        </w:rPr>
        <w:t>,</w:t>
      </w:r>
      <w:r w:rsidR="009522FA" w:rsidRPr="00056D26">
        <w:rPr>
          <w:rFonts w:ascii="Arial" w:hAnsi="Arial" w:cs="Arial"/>
        </w:rPr>
        <w:t xml:space="preserve"> 2005). These ideas coincide with</w:t>
      </w:r>
      <w:r w:rsidR="00166472" w:rsidRPr="00056D26">
        <w:rPr>
          <w:rFonts w:ascii="Arial" w:hAnsi="Arial" w:cs="Arial"/>
        </w:rPr>
        <w:t xml:space="preserve"> The British Educational Research Association’s (2011) ethical guidelines for educational research. The ethical guidelines focus on four key principles: responsibility to participants, responsibility to sponsors of research, responsibility to the community of educational researchers and responsibility to educational professional</w:t>
      </w:r>
      <w:r w:rsidR="00F4456A" w:rsidRPr="00056D26">
        <w:rPr>
          <w:rFonts w:ascii="Arial" w:hAnsi="Arial" w:cs="Arial"/>
        </w:rPr>
        <w:t>s</w:t>
      </w:r>
      <w:r w:rsidR="00166472" w:rsidRPr="00056D26">
        <w:rPr>
          <w:rFonts w:ascii="Arial" w:hAnsi="Arial" w:cs="Arial"/>
        </w:rPr>
        <w:t xml:space="preserve">, policy makers and the general public. The guidelines advise that researchers should always work with an ethic of respect to all people involved in which everyone is treated equally and fairly and be free from any gender, cultural or political prejudice. </w:t>
      </w:r>
      <w:r w:rsidR="007A6E46" w:rsidRPr="00056D26">
        <w:rPr>
          <w:rFonts w:ascii="Arial" w:hAnsi="Arial" w:cs="Arial"/>
        </w:rPr>
        <w:t>The BERA</w:t>
      </w:r>
      <w:r w:rsidR="00C474E7" w:rsidRPr="00056D26">
        <w:rPr>
          <w:rFonts w:ascii="Arial" w:hAnsi="Arial" w:cs="Arial"/>
        </w:rPr>
        <w:t xml:space="preserve"> (2011)</w:t>
      </w:r>
      <w:r w:rsidR="007A6E46" w:rsidRPr="00056D26">
        <w:rPr>
          <w:rFonts w:ascii="Arial" w:hAnsi="Arial" w:cs="Arial"/>
        </w:rPr>
        <w:t xml:space="preserve"> guidelines offer advice on aspects such as consent, confidentiality, the rights of the child</w:t>
      </w:r>
      <w:r w:rsidR="00C474E7" w:rsidRPr="00056D26">
        <w:rPr>
          <w:rFonts w:ascii="Arial" w:hAnsi="Arial" w:cs="Arial"/>
        </w:rPr>
        <w:t xml:space="preserve"> and privacy, as well as disclosure agreements. BERA (2011) suggests that any illegal or harmful behaviour which has occurred during the research can override confidentiality agreements. </w:t>
      </w:r>
      <w:r w:rsidR="00DC5638" w:rsidRPr="00056D26">
        <w:rPr>
          <w:rFonts w:ascii="Arial" w:hAnsi="Arial" w:cs="Arial"/>
        </w:rPr>
        <w:t>However,</w:t>
      </w:r>
      <w:r w:rsidR="00C474E7" w:rsidRPr="00056D26">
        <w:rPr>
          <w:rFonts w:ascii="Arial" w:hAnsi="Arial" w:cs="Arial"/>
        </w:rPr>
        <w:t xml:space="preserve"> this type of decision needs to </w:t>
      </w:r>
      <w:r w:rsidR="00F4456A" w:rsidRPr="00056D26">
        <w:rPr>
          <w:rFonts w:ascii="Arial" w:hAnsi="Arial" w:cs="Arial"/>
        </w:rPr>
        <w:t xml:space="preserve">be </w:t>
      </w:r>
      <w:r w:rsidR="00DC5638" w:rsidRPr="00056D26">
        <w:rPr>
          <w:rFonts w:ascii="Arial" w:hAnsi="Arial" w:cs="Arial"/>
        </w:rPr>
        <w:t>contemplated carefully</w:t>
      </w:r>
      <w:r w:rsidR="00C474E7" w:rsidRPr="00056D26">
        <w:rPr>
          <w:rFonts w:ascii="Arial" w:hAnsi="Arial" w:cs="Arial"/>
        </w:rPr>
        <w:t xml:space="preserve">. </w:t>
      </w:r>
      <w:r w:rsidR="00DC5638" w:rsidRPr="00056D26">
        <w:rPr>
          <w:rFonts w:ascii="Arial" w:hAnsi="Arial" w:cs="Arial"/>
        </w:rPr>
        <w:t xml:space="preserve">The BERA (2011) guidelines also offers advice on the use of incentives, recommending that incentives need to be used in good measure and not cause any adverse effects. The use of incentives can however cause a bias in research results. </w:t>
      </w:r>
      <w:r w:rsidR="0084137B" w:rsidRPr="00056D26">
        <w:rPr>
          <w:rFonts w:ascii="Arial" w:hAnsi="Arial" w:cs="Arial"/>
        </w:rPr>
        <w:t xml:space="preserve">Rice and Broome (2004) suggest that sometimes incentives can be appropriate and ethical, however incentives need to be honest and not coerce the child into doing something they would not normally be comfortable doing, as well as being developmentally appropriate for the child. On the other hand, Rice and Broome (2004) argue that the use of incentives in research with children can affect the integrity of the research causing a bias in results or cause a subtle coercion that was not intended. </w:t>
      </w:r>
    </w:p>
    <w:p w14:paraId="2E583661" w14:textId="6155BA48" w:rsidR="00EC665C" w:rsidRPr="00056D26" w:rsidRDefault="00EC665C" w:rsidP="00056D26">
      <w:pPr>
        <w:spacing w:line="360" w:lineRule="auto"/>
        <w:jc w:val="both"/>
        <w:rPr>
          <w:rFonts w:ascii="Arial" w:hAnsi="Arial" w:cs="Arial"/>
        </w:rPr>
      </w:pPr>
    </w:p>
    <w:p w14:paraId="30D834F3" w14:textId="5CD399BC" w:rsidR="001E741E" w:rsidRPr="00056D26" w:rsidRDefault="001E741E" w:rsidP="00056D26">
      <w:pPr>
        <w:spacing w:line="360" w:lineRule="auto"/>
        <w:jc w:val="both"/>
        <w:rPr>
          <w:rFonts w:ascii="Arial" w:hAnsi="Arial" w:cs="Arial"/>
        </w:rPr>
      </w:pPr>
      <w:r w:rsidRPr="00056D26">
        <w:rPr>
          <w:rFonts w:ascii="Arial" w:hAnsi="Arial" w:cs="Arial"/>
        </w:rPr>
        <w:t xml:space="preserve">The NSPCC (2012) ethical guidelines propose three types of research methods that are effective when working with children: Talking to and asking children questions about their opinions and feelings, observing children’s behaviour and analysing document files such as school files and social care records. The guidelines convey that researchers must always ensure children feel safe and supported; and consider how to effectively manage the potential risk of harm to participants. The guidelines recognise four aspects during the research process that could potentially cause harm: if the participants find the research process stressful, if suppressed emotions or memories resurface, participants may feel anxious about what they have shared with the researcher and any other additional concerns that may arise. It is the responsibility of the researcher to assess the potential harm and </w:t>
      </w:r>
      <w:r w:rsidR="001B59A4" w:rsidRPr="00056D26">
        <w:rPr>
          <w:rFonts w:ascii="Arial" w:hAnsi="Arial" w:cs="Arial"/>
        </w:rPr>
        <w:t>stop the research if necessary (NSPCC</w:t>
      </w:r>
      <w:r w:rsidR="00FA2E67">
        <w:rPr>
          <w:rFonts w:ascii="Arial" w:hAnsi="Arial" w:cs="Arial"/>
        </w:rPr>
        <w:t>,</w:t>
      </w:r>
      <w:r w:rsidR="001B59A4" w:rsidRPr="00056D26">
        <w:rPr>
          <w:rFonts w:ascii="Arial" w:hAnsi="Arial" w:cs="Arial"/>
        </w:rPr>
        <w:t xml:space="preserve"> 2012). </w:t>
      </w:r>
    </w:p>
    <w:p w14:paraId="543D12C9" w14:textId="77777777" w:rsidR="00D025BB" w:rsidRPr="00056D26" w:rsidRDefault="00D025BB" w:rsidP="00056D26">
      <w:pPr>
        <w:spacing w:line="360" w:lineRule="auto"/>
        <w:jc w:val="both"/>
        <w:rPr>
          <w:rFonts w:ascii="Arial" w:hAnsi="Arial" w:cs="Arial"/>
        </w:rPr>
      </w:pPr>
    </w:p>
    <w:p w14:paraId="665F5D35" w14:textId="33DEA7AB" w:rsidR="00CB5E5D" w:rsidRPr="00056D26" w:rsidRDefault="00CB5E5D" w:rsidP="00056D26">
      <w:pPr>
        <w:spacing w:line="360" w:lineRule="auto"/>
        <w:jc w:val="both"/>
        <w:rPr>
          <w:rFonts w:ascii="Arial" w:hAnsi="Arial" w:cs="Arial"/>
          <w:b/>
          <w:u w:val="single"/>
        </w:rPr>
      </w:pPr>
      <w:r w:rsidRPr="00056D26">
        <w:rPr>
          <w:rFonts w:ascii="Arial" w:hAnsi="Arial" w:cs="Arial"/>
          <w:b/>
          <w:u w:val="single"/>
        </w:rPr>
        <w:t>Conclusion</w:t>
      </w:r>
    </w:p>
    <w:p w14:paraId="324F1BD9" w14:textId="77777777" w:rsidR="005416E1" w:rsidRPr="00056D26" w:rsidRDefault="005416E1" w:rsidP="00056D26">
      <w:pPr>
        <w:spacing w:line="360" w:lineRule="auto"/>
        <w:jc w:val="both"/>
        <w:rPr>
          <w:rFonts w:ascii="Arial" w:hAnsi="Arial" w:cs="Arial"/>
        </w:rPr>
      </w:pPr>
    </w:p>
    <w:p w14:paraId="738797FD" w14:textId="2A2BD4E7" w:rsidR="00CB5E5D" w:rsidRPr="00056D26" w:rsidRDefault="005416E1" w:rsidP="00056D26">
      <w:pPr>
        <w:spacing w:line="360" w:lineRule="auto"/>
        <w:jc w:val="both"/>
        <w:rPr>
          <w:rFonts w:ascii="Arial" w:hAnsi="Arial" w:cs="Arial"/>
        </w:rPr>
      </w:pPr>
      <w:r w:rsidRPr="00056D26">
        <w:rPr>
          <w:rFonts w:ascii="Arial" w:hAnsi="Arial" w:cs="Arial"/>
        </w:rPr>
        <w:t xml:space="preserve">To conclude, </w:t>
      </w:r>
      <w:r w:rsidR="00693780" w:rsidRPr="00056D26">
        <w:rPr>
          <w:rFonts w:ascii="Arial" w:hAnsi="Arial" w:cs="Arial"/>
        </w:rPr>
        <w:t xml:space="preserve">ethics involved when undertaking research with children is a broad subject that includes aspects such as consent, confidentiality, coercion and how to access the child’s voice. Fundamentally it is the responsibility of the researcher to always have the best interests of the child as a top priority and to always consider the child’s feelings and opinions. When completing research, necessary risk assessments have to be implemented to ensure that the child involved always feels safe and supported; and wants to take part. </w:t>
      </w:r>
      <w:r w:rsidR="007A4208" w:rsidRPr="00056D26">
        <w:rPr>
          <w:rFonts w:ascii="Arial" w:hAnsi="Arial" w:cs="Arial"/>
        </w:rPr>
        <w:t xml:space="preserve">Furthermore, when researching child </w:t>
      </w:r>
      <w:r w:rsidR="00FB7968" w:rsidRPr="00056D26">
        <w:rPr>
          <w:rFonts w:ascii="Arial" w:hAnsi="Arial" w:cs="Arial"/>
        </w:rPr>
        <w:t>perceptions,</w:t>
      </w:r>
      <w:r w:rsidR="007A4208" w:rsidRPr="00056D26">
        <w:rPr>
          <w:rFonts w:ascii="Arial" w:hAnsi="Arial" w:cs="Arial"/>
        </w:rPr>
        <w:t xml:space="preserve"> it is crucial to understand how to access the child’s voice and use methods such as the mosaic approach to allow for this. </w:t>
      </w:r>
    </w:p>
    <w:p w14:paraId="7FD30E2E" w14:textId="77777777" w:rsidR="00CB5E5D" w:rsidRDefault="00CB5E5D" w:rsidP="00056D26">
      <w:pPr>
        <w:spacing w:line="360" w:lineRule="auto"/>
        <w:jc w:val="both"/>
        <w:rPr>
          <w:rFonts w:ascii="Arial" w:hAnsi="Arial" w:cs="Arial"/>
        </w:rPr>
      </w:pPr>
    </w:p>
    <w:p w14:paraId="3BFA5DD3" w14:textId="5A19656A" w:rsidR="00F93FEE" w:rsidRPr="00F93FEE" w:rsidRDefault="00F93FEE" w:rsidP="00056D26">
      <w:pPr>
        <w:spacing w:line="360" w:lineRule="auto"/>
        <w:jc w:val="both"/>
        <w:rPr>
          <w:rFonts w:ascii="Arial" w:hAnsi="Arial" w:cs="Arial"/>
          <w:i/>
        </w:rPr>
      </w:pPr>
      <w:r w:rsidRPr="00F93FEE">
        <w:rPr>
          <w:rFonts w:ascii="Arial" w:hAnsi="Arial" w:cs="Arial"/>
          <w:i/>
        </w:rPr>
        <w:t>(</w:t>
      </w:r>
      <w:r w:rsidR="00CF308E">
        <w:rPr>
          <w:rFonts w:ascii="Arial" w:hAnsi="Arial" w:cs="Arial"/>
          <w:i/>
        </w:rPr>
        <w:t>Word Count: 2187</w:t>
      </w:r>
      <w:r w:rsidRPr="00F93FEE">
        <w:rPr>
          <w:rFonts w:ascii="Arial" w:hAnsi="Arial" w:cs="Arial"/>
          <w:i/>
        </w:rPr>
        <w:t>)</w:t>
      </w:r>
    </w:p>
    <w:p w14:paraId="0EEE3881" w14:textId="77777777" w:rsidR="00F93FEE" w:rsidRPr="00056D26" w:rsidRDefault="00F93FEE" w:rsidP="00056D26">
      <w:pPr>
        <w:spacing w:line="360" w:lineRule="auto"/>
        <w:jc w:val="both"/>
        <w:rPr>
          <w:rFonts w:ascii="Arial" w:hAnsi="Arial" w:cs="Arial"/>
        </w:rPr>
      </w:pPr>
    </w:p>
    <w:p w14:paraId="2F550A5A" w14:textId="3F0CAD0C" w:rsidR="00D05FE0" w:rsidRPr="00056D26" w:rsidRDefault="00D05FE0" w:rsidP="00056D26">
      <w:pPr>
        <w:spacing w:line="360" w:lineRule="auto"/>
        <w:jc w:val="both"/>
        <w:rPr>
          <w:rFonts w:ascii="Arial" w:hAnsi="Arial" w:cs="Arial"/>
          <w:b/>
          <w:u w:val="single"/>
        </w:rPr>
      </w:pPr>
      <w:r w:rsidRPr="00056D26">
        <w:rPr>
          <w:rFonts w:ascii="Arial" w:hAnsi="Arial" w:cs="Arial"/>
          <w:b/>
          <w:u w:val="single"/>
        </w:rPr>
        <w:t xml:space="preserve">Reference list </w:t>
      </w:r>
    </w:p>
    <w:p w14:paraId="6C7AF695" w14:textId="77777777" w:rsidR="00D05FE0" w:rsidRPr="00056D26" w:rsidRDefault="00D05FE0" w:rsidP="00056D26">
      <w:pPr>
        <w:spacing w:line="360" w:lineRule="auto"/>
        <w:jc w:val="both"/>
        <w:rPr>
          <w:rFonts w:ascii="Arial" w:hAnsi="Arial" w:cs="Arial"/>
        </w:rPr>
      </w:pPr>
    </w:p>
    <w:p w14:paraId="4452B4CE"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Alderson, P. and Morrow, V. (2011) </w:t>
      </w:r>
      <w:r w:rsidRPr="00056D26">
        <w:rPr>
          <w:rFonts w:ascii="Arial" w:hAnsi="Arial" w:cs="Arial"/>
          <w:i/>
        </w:rPr>
        <w:t>The ethics of research with children and young people, a practical handbook</w:t>
      </w:r>
      <w:r w:rsidRPr="00056D26">
        <w:rPr>
          <w:rFonts w:ascii="Arial" w:hAnsi="Arial" w:cs="Arial"/>
        </w:rPr>
        <w:t xml:space="preserve">. London: Sage. </w:t>
      </w:r>
    </w:p>
    <w:p w14:paraId="33EF1449" w14:textId="77777777" w:rsidR="00D05FE0" w:rsidRPr="00056D26" w:rsidRDefault="00D05FE0" w:rsidP="00056D26">
      <w:pPr>
        <w:spacing w:line="360" w:lineRule="auto"/>
        <w:jc w:val="both"/>
        <w:rPr>
          <w:rFonts w:ascii="Arial" w:hAnsi="Arial" w:cs="Arial"/>
        </w:rPr>
      </w:pPr>
    </w:p>
    <w:p w14:paraId="75E9F900"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Barley, R. and Bath, C. (2014) ‘The importance of familiarisation when doing research with young children’, </w:t>
      </w:r>
      <w:r w:rsidRPr="00056D26">
        <w:rPr>
          <w:rFonts w:ascii="Arial" w:hAnsi="Arial" w:cs="Arial"/>
          <w:i/>
        </w:rPr>
        <w:t>Ethnography and education</w:t>
      </w:r>
      <w:r w:rsidRPr="00056D26">
        <w:rPr>
          <w:rFonts w:ascii="Arial" w:hAnsi="Arial" w:cs="Arial"/>
        </w:rPr>
        <w:t xml:space="preserve">. Vol 9, issue 2, pp182-196. </w:t>
      </w:r>
    </w:p>
    <w:p w14:paraId="2C0275F4" w14:textId="77777777" w:rsidR="00D05FE0" w:rsidRPr="00056D26" w:rsidRDefault="00D05FE0" w:rsidP="00056D26">
      <w:pPr>
        <w:spacing w:line="360" w:lineRule="auto"/>
        <w:jc w:val="both"/>
        <w:rPr>
          <w:rFonts w:ascii="Arial" w:hAnsi="Arial" w:cs="Arial"/>
        </w:rPr>
      </w:pPr>
    </w:p>
    <w:p w14:paraId="7573DC57" w14:textId="77777777" w:rsidR="00D05FE0" w:rsidRDefault="00D05FE0" w:rsidP="00056D26">
      <w:pPr>
        <w:spacing w:line="360" w:lineRule="auto"/>
        <w:jc w:val="both"/>
        <w:rPr>
          <w:rFonts w:ascii="Arial" w:hAnsi="Arial" w:cs="Arial"/>
        </w:rPr>
      </w:pPr>
      <w:r w:rsidRPr="00056D26">
        <w:rPr>
          <w:rFonts w:ascii="Arial" w:hAnsi="Arial" w:cs="Arial"/>
        </w:rPr>
        <w:t xml:space="preserve">Bell, J. and Waters, S. (2014) </w:t>
      </w:r>
      <w:r w:rsidRPr="00056D26">
        <w:rPr>
          <w:rFonts w:ascii="Arial" w:hAnsi="Arial" w:cs="Arial"/>
          <w:i/>
        </w:rPr>
        <w:t>Doing your research project, a guide for first time researchers</w:t>
      </w:r>
      <w:r w:rsidRPr="00056D26">
        <w:rPr>
          <w:rFonts w:ascii="Arial" w:hAnsi="Arial" w:cs="Arial"/>
        </w:rPr>
        <w:t xml:space="preserve">. England: Open university press. </w:t>
      </w:r>
    </w:p>
    <w:p w14:paraId="318EE322" w14:textId="77777777" w:rsidR="004C1E72" w:rsidRDefault="004C1E72" w:rsidP="00056D26">
      <w:pPr>
        <w:spacing w:line="360" w:lineRule="auto"/>
        <w:jc w:val="both"/>
        <w:rPr>
          <w:rFonts w:ascii="Arial" w:hAnsi="Arial" w:cs="Arial"/>
        </w:rPr>
      </w:pPr>
    </w:p>
    <w:p w14:paraId="51AC4DD7" w14:textId="3E127A1B" w:rsidR="004C1E72" w:rsidRPr="00056D26" w:rsidRDefault="004C1E72" w:rsidP="00056D26">
      <w:pPr>
        <w:spacing w:line="360" w:lineRule="auto"/>
        <w:jc w:val="both"/>
        <w:rPr>
          <w:rFonts w:ascii="Arial" w:hAnsi="Arial" w:cs="Arial"/>
        </w:rPr>
      </w:pPr>
      <w:r>
        <w:rPr>
          <w:rFonts w:ascii="Arial" w:hAnsi="Arial" w:cs="Arial"/>
        </w:rPr>
        <w:t xml:space="preserve">Biermeier, M. (2015) ‘Inspired by Reggio Emilia: Emergent curriculum in relationship driven learning environments’, </w:t>
      </w:r>
      <w:r w:rsidRPr="004C1E72">
        <w:rPr>
          <w:rFonts w:ascii="Arial" w:hAnsi="Arial" w:cs="Arial"/>
          <w:i/>
        </w:rPr>
        <w:t>YC: Young children</w:t>
      </w:r>
      <w:r>
        <w:rPr>
          <w:rFonts w:ascii="Arial" w:hAnsi="Arial" w:cs="Arial"/>
        </w:rPr>
        <w:t xml:space="preserve">. Vol 70, issue 5, pp72-79. </w:t>
      </w:r>
    </w:p>
    <w:p w14:paraId="78D8F97A" w14:textId="77777777" w:rsidR="00D05FE0" w:rsidRPr="00056D26" w:rsidRDefault="00D05FE0" w:rsidP="00056D26">
      <w:pPr>
        <w:spacing w:line="360" w:lineRule="auto"/>
        <w:jc w:val="both"/>
        <w:rPr>
          <w:rFonts w:ascii="Arial" w:hAnsi="Arial" w:cs="Arial"/>
        </w:rPr>
      </w:pPr>
    </w:p>
    <w:p w14:paraId="36E7B189" w14:textId="77777777" w:rsidR="00D05FE0" w:rsidRPr="00056D26" w:rsidRDefault="00D05FE0" w:rsidP="00056D26">
      <w:pPr>
        <w:spacing w:line="360" w:lineRule="auto"/>
        <w:jc w:val="both"/>
        <w:rPr>
          <w:rFonts w:ascii="Arial" w:hAnsi="Arial" w:cs="Arial"/>
        </w:rPr>
      </w:pPr>
      <w:r w:rsidRPr="00056D26">
        <w:rPr>
          <w:rFonts w:ascii="Arial" w:hAnsi="Arial" w:cs="Arial"/>
        </w:rPr>
        <w:t>British educational research association. (2011) ‘Ethical guidelines for educational research’</w:t>
      </w:r>
    </w:p>
    <w:p w14:paraId="7192A41E" w14:textId="77777777" w:rsidR="00D05FE0" w:rsidRPr="00056D26" w:rsidRDefault="004A3C75" w:rsidP="00056D26">
      <w:pPr>
        <w:spacing w:line="360" w:lineRule="auto"/>
        <w:jc w:val="both"/>
        <w:rPr>
          <w:rFonts w:ascii="Arial" w:hAnsi="Arial" w:cs="Arial"/>
        </w:rPr>
      </w:pPr>
      <w:hyperlink r:id="rId6" w:history="1">
        <w:r w:rsidR="00D05FE0" w:rsidRPr="00056D26">
          <w:rPr>
            <w:rStyle w:val="Hyperlink"/>
            <w:rFonts w:ascii="Arial" w:hAnsi="Arial" w:cs="Arial"/>
          </w:rPr>
          <w:t>https://www.bera.ac.uk/wp-content/uploads/2014/02/BERA-Ethical-Guidelines-2011.pdf?noredirect=1</w:t>
        </w:r>
      </w:hyperlink>
    </w:p>
    <w:p w14:paraId="21AEFA74" w14:textId="77777777" w:rsidR="00D05FE0" w:rsidRPr="00056D26" w:rsidRDefault="00D05FE0" w:rsidP="00056D26">
      <w:pPr>
        <w:spacing w:line="360" w:lineRule="auto"/>
        <w:jc w:val="both"/>
        <w:rPr>
          <w:rFonts w:ascii="Arial" w:hAnsi="Arial" w:cs="Arial"/>
        </w:rPr>
      </w:pPr>
      <w:r w:rsidRPr="00056D26">
        <w:rPr>
          <w:rFonts w:ascii="Arial" w:hAnsi="Arial" w:cs="Arial"/>
        </w:rPr>
        <w:t>[Accessed: 20</w:t>
      </w:r>
      <w:r w:rsidRPr="00056D26">
        <w:rPr>
          <w:rFonts w:ascii="Arial" w:hAnsi="Arial" w:cs="Arial"/>
          <w:vertAlign w:val="superscript"/>
        </w:rPr>
        <w:t>th</w:t>
      </w:r>
      <w:r w:rsidRPr="00056D26">
        <w:rPr>
          <w:rFonts w:ascii="Arial" w:hAnsi="Arial" w:cs="Arial"/>
        </w:rPr>
        <w:t xml:space="preserve"> October 2017].</w:t>
      </w:r>
    </w:p>
    <w:p w14:paraId="50CAE8D1" w14:textId="77777777" w:rsidR="00D05FE0" w:rsidRPr="00056D26" w:rsidRDefault="00D05FE0" w:rsidP="00056D26">
      <w:pPr>
        <w:spacing w:line="360" w:lineRule="auto"/>
        <w:jc w:val="both"/>
        <w:rPr>
          <w:rFonts w:ascii="Arial" w:hAnsi="Arial" w:cs="Arial"/>
        </w:rPr>
      </w:pPr>
    </w:p>
    <w:p w14:paraId="13526801" w14:textId="77777777" w:rsidR="00D05FE0" w:rsidRPr="00056D26" w:rsidRDefault="00D05FE0" w:rsidP="00056D26">
      <w:pPr>
        <w:spacing w:line="360" w:lineRule="auto"/>
        <w:jc w:val="both"/>
        <w:rPr>
          <w:rFonts w:ascii="Arial" w:hAnsi="Arial" w:cs="Arial"/>
        </w:rPr>
      </w:pPr>
      <w:r w:rsidRPr="00056D26">
        <w:rPr>
          <w:rFonts w:ascii="Arial" w:hAnsi="Arial" w:cs="Arial"/>
        </w:rPr>
        <w:t>British and Irish legal information institute (1985) ‘Gillick V West Norfolk and Wisbech’</w:t>
      </w:r>
    </w:p>
    <w:p w14:paraId="5B6CAC2E" w14:textId="77777777" w:rsidR="00D05FE0" w:rsidRPr="00056D26" w:rsidRDefault="004A3C75" w:rsidP="00056D26">
      <w:pPr>
        <w:spacing w:line="360" w:lineRule="auto"/>
        <w:jc w:val="both"/>
        <w:rPr>
          <w:rFonts w:ascii="Arial" w:hAnsi="Arial" w:cs="Arial"/>
        </w:rPr>
      </w:pPr>
      <w:hyperlink r:id="rId7" w:history="1">
        <w:r w:rsidR="00D05FE0" w:rsidRPr="00056D26">
          <w:rPr>
            <w:rStyle w:val="Hyperlink"/>
            <w:rFonts w:ascii="Arial" w:hAnsi="Arial" w:cs="Arial"/>
          </w:rPr>
          <w:t>http://www.bailii.org/uk/cases/UKHL/1985/7.html</w:t>
        </w:r>
      </w:hyperlink>
    </w:p>
    <w:p w14:paraId="731634ED" w14:textId="77777777" w:rsidR="00D05FE0" w:rsidRPr="00056D26" w:rsidRDefault="00D05FE0" w:rsidP="00056D26">
      <w:pPr>
        <w:spacing w:line="360" w:lineRule="auto"/>
        <w:jc w:val="both"/>
        <w:rPr>
          <w:rFonts w:ascii="Arial" w:hAnsi="Arial" w:cs="Arial"/>
        </w:rPr>
      </w:pPr>
      <w:r w:rsidRPr="00056D26">
        <w:rPr>
          <w:rFonts w:ascii="Arial" w:hAnsi="Arial" w:cs="Arial"/>
        </w:rPr>
        <w:t>[Accessed: 17</w:t>
      </w:r>
      <w:r w:rsidRPr="00056D26">
        <w:rPr>
          <w:rFonts w:ascii="Arial" w:hAnsi="Arial" w:cs="Arial"/>
          <w:vertAlign w:val="superscript"/>
        </w:rPr>
        <w:t>th</w:t>
      </w:r>
      <w:r w:rsidRPr="00056D26">
        <w:rPr>
          <w:rFonts w:ascii="Arial" w:hAnsi="Arial" w:cs="Arial"/>
        </w:rPr>
        <w:t xml:space="preserve"> October 2017].</w:t>
      </w:r>
    </w:p>
    <w:p w14:paraId="35F96E98" w14:textId="77777777" w:rsidR="00D05FE0" w:rsidRPr="00056D26" w:rsidRDefault="00D05FE0" w:rsidP="00056D26">
      <w:pPr>
        <w:spacing w:line="360" w:lineRule="auto"/>
        <w:jc w:val="both"/>
        <w:rPr>
          <w:rFonts w:ascii="Arial" w:hAnsi="Arial" w:cs="Arial"/>
        </w:rPr>
      </w:pPr>
    </w:p>
    <w:p w14:paraId="3D1498DB"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Clark, A. and Moss, P. (2011) </w:t>
      </w:r>
      <w:r w:rsidRPr="00056D26">
        <w:rPr>
          <w:rFonts w:ascii="Arial" w:hAnsi="Arial" w:cs="Arial"/>
          <w:i/>
        </w:rPr>
        <w:t>Listening to young children the mosaic approach</w:t>
      </w:r>
      <w:r w:rsidRPr="00056D26">
        <w:rPr>
          <w:rFonts w:ascii="Arial" w:hAnsi="Arial" w:cs="Arial"/>
        </w:rPr>
        <w:t xml:space="preserve"> (2</w:t>
      </w:r>
      <w:r w:rsidRPr="00056D26">
        <w:rPr>
          <w:rFonts w:ascii="Arial" w:hAnsi="Arial" w:cs="Arial"/>
          <w:vertAlign w:val="superscript"/>
        </w:rPr>
        <w:t>nd</w:t>
      </w:r>
      <w:r w:rsidRPr="00056D26">
        <w:rPr>
          <w:rFonts w:ascii="Arial" w:hAnsi="Arial" w:cs="Arial"/>
        </w:rPr>
        <w:t xml:space="preserve"> edition) London: National children’s bureau. </w:t>
      </w:r>
    </w:p>
    <w:p w14:paraId="5A38E904" w14:textId="77777777" w:rsidR="00D05FE0" w:rsidRPr="00056D26" w:rsidRDefault="00D05FE0" w:rsidP="00056D26">
      <w:pPr>
        <w:spacing w:line="360" w:lineRule="auto"/>
        <w:jc w:val="both"/>
        <w:rPr>
          <w:rFonts w:ascii="Arial" w:hAnsi="Arial" w:cs="Arial"/>
        </w:rPr>
      </w:pPr>
    </w:p>
    <w:p w14:paraId="54502807"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Dalhberg, G. and Moss, P. (2005) </w:t>
      </w:r>
      <w:r w:rsidRPr="00056D26">
        <w:rPr>
          <w:rFonts w:ascii="Arial" w:hAnsi="Arial" w:cs="Arial"/>
          <w:i/>
        </w:rPr>
        <w:t>Ethics and politics in early childhood education</w:t>
      </w:r>
      <w:r w:rsidRPr="00056D26">
        <w:rPr>
          <w:rFonts w:ascii="Arial" w:hAnsi="Arial" w:cs="Arial"/>
        </w:rPr>
        <w:t xml:space="preserve">. Oxfordshire: Routledge. </w:t>
      </w:r>
    </w:p>
    <w:p w14:paraId="221C6BC3" w14:textId="77777777" w:rsidR="00D05FE0" w:rsidRPr="00056D26" w:rsidRDefault="00D05FE0" w:rsidP="00056D26">
      <w:pPr>
        <w:spacing w:line="360" w:lineRule="auto"/>
        <w:jc w:val="both"/>
        <w:rPr>
          <w:rFonts w:ascii="Arial" w:hAnsi="Arial" w:cs="Arial"/>
        </w:rPr>
      </w:pPr>
    </w:p>
    <w:p w14:paraId="375EDBCD"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Dockett, S., Einarsdottir, J. and Perry, B. (2012) ‘Young children’s decisions about research participation: opting out’, </w:t>
      </w:r>
      <w:r w:rsidRPr="00056D26">
        <w:rPr>
          <w:rFonts w:ascii="Arial" w:hAnsi="Arial" w:cs="Arial"/>
          <w:i/>
        </w:rPr>
        <w:t>International journal of early years’ education</w:t>
      </w:r>
      <w:r w:rsidRPr="00056D26">
        <w:rPr>
          <w:rFonts w:ascii="Arial" w:hAnsi="Arial" w:cs="Arial"/>
        </w:rPr>
        <w:t xml:space="preserve">. Vol 20, issue 3, pp244-257. </w:t>
      </w:r>
    </w:p>
    <w:p w14:paraId="4D2317A5" w14:textId="77777777" w:rsidR="00D05FE0" w:rsidRPr="00056D26" w:rsidRDefault="00D05FE0" w:rsidP="00056D26">
      <w:pPr>
        <w:spacing w:line="360" w:lineRule="auto"/>
        <w:jc w:val="both"/>
        <w:rPr>
          <w:rFonts w:ascii="Arial" w:hAnsi="Arial" w:cs="Arial"/>
        </w:rPr>
      </w:pPr>
    </w:p>
    <w:p w14:paraId="564EFC6B"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Dockett, S. and Perry, B. (2003) ‘Children’s views and children’s voices on starting school’, </w:t>
      </w:r>
      <w:r w:rsidRPr="00056D26">
        <w:rPr>
          <w:rFonts w:ascii="Arial" w:hAnsi="Arial" w:cs="Arial"/>
          <w:i/>
        </w:rPr>
        <w:t>Australian Journal of early childhood</w:t>
      </w:r>
      <w:r w:rsidRPr="00056D26">
        <w:rPr>
          <w:rFonts w:ascii="Arial" w:hAnsi="Arial" w:cs="Arial"/>
        </w:rPr>
        <w:t xml:space="preserve">. Vol 28, issue 1, pp12-17. </w:t>
      </w:r>
    </w:p>
    <w:p w14:paraId="2F3668CB" w14:textId="77777777" w:rsidR="00D05FE0" w:rsidRPr="00056D26" w:rsidRDefault="00D05FE0" w:rsidP="00056D26">
      <w:pPr>
        <w:spacing w:line="360" w:lineRule="auto"/>
        <w:jc w:val="both"/>
        <w:rPr>
          <w:rFonts w:ascii="Arial" w:hAnsi="Arial" w:cs="Arial"/>
        </w:rPr>
      </w:pPr>
    </w:p>
    <w:p w14:paraId="555EF801"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Ford, K., Sankey, J. and Crisp, J. (2007) ‘Development of children’s assent documents using a child centred approach’, </w:t>
      </w:r>
      <w:r w:rsidRPr="00056D26">
        <w:rPr>
          <w:rFonts w:ascii="Arial" w:hAnsi="Arial" w:cs="Arial"/>
          <w:i/>
        </w:rPr>
        <w:t>Journal of child health care</w:t>
      </w:r>
      <w:r w:rsidRPr="00056D26">
        <w:rPr>
          <w:rFonts w:ascii="Arial" w:hAnsi="Arial" w:cs="Arial"/>
        </w:rPr>
        <w:t xml:space="preserve">. Vol 11, issue 1, pp19-28. </w:t>
      </w:r>
    </w:p>
    <w:p w14:paraId="375D2A69" w14:textId="77777777" w:rsidR="00D05FE0" w:rsidRPr="00056D26" w:rsidRDefault="00D05FE0" w:rsidP="00056D26">
      <w:pPr>
        <w:spacing w:line="360" w:lineRule="auto"/>
        <w:jc w:val="both"/>
        <w:rPr>
          <w:rFonts w:ascii="Arial" w:hAnsi="Arial" w:cs="Arial"/>
        </w:rPr>
      </w:pPr>
    </w:p>
    <w:p w14:paraId="0C30D524"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Greene, S. and Hogan, D. (2005) </w:t>
      </w:r>
      <w:r w:rsidRPr="00056D26">
        <w:rPr>
          <w:rFonts w:ascii="Arial" w:hAnsi="Arial" w:cs="Arial"/>
          <w:i/>
        </w:rPr>
        <w:t>Researching children’s experiences, approaches and methods.</w:t>
      </w:r>
      <w:r w:rsidRPr="00056D26">
        <w:rPr>
          <w:rFonts w:ascii="Arial" w:hAnsi="Arial" w:cs="Arial"/>
        </w:rPr>
        <w:t xml:space="preserve"> London: Sage. </w:t>
      </w:r>
    </w:p>
    <w:p w14:paraId="486D7522" w14:textId="77777777" w:rsidR="00D05FE0" w:rsidRPr="00056D26" w:rsidRDefault="00D05FE0" w:rsidP="00056D26">
      <w:pPr>
        <w:spacing w:line="360" w:lineRule="auto"/>
        <w:jc w:val="both"/>
        <w:rPr>
          <w:rFonts w:ascii="Arial" w:hAnsi="Arial" w:cs="Arial"/>
        </w:rPr>
      </w:pPr>
    </w:p>
    <w:p w14:paraId="2A3375E4"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Greenfield, C. (2011) ‘Personal reflection on research processes and tools: effectiveness, highlights and challenges in the mosaic approach’, </w:t>
      </w:r>
      <w:r w:rsidRPr="00056D26">
        <w:rPr>
          <w:rFonts w:ascii="Arial" w:hAnsi="Arial" w:cs="Arial"/>
          <w:i/>
        </w:rPr>
        <w:t>Australasian journal of early childhood.</w:t>
      </w:r>
      <w:r w:rsidRPr="00056D26">
        <w:rPr>
          <w:rFonts w:ascii="Arial" w:hAnsi="Arial" w:cs="Arial"/>
        </w:rPr>
        <w:t xml:space="preserve"> Vol 36, issue 3, pp109-117. </w:t>
      </w:r>
    </w:p>
    <w:p w14:paraId="133E6BD2" w14:textId="77777777" w:rsidR="00D05FE0" w:rsidRPr="00056D26" w:rsidRDefault="00D05FE0" w:rsidP="00056D26">
      <w:pPr>
        <w:spacing w:line="360" w:lineRule="auto"/>
        <w:jc w:val="both"/>
        <w:rPr>
          <w:rFonts w:ascii="Arial" w:hAnsi="Arial" w:cs="Arial"/>
        </w:rPr>
      </w:pPr>
    </w:p>
    <w:p w14:paraId="5CBB0F69"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Grover, S. (2004) ‘Why won’t they listen to us? On giving power and voice to children participating in social research’, </w:t>
      </w:r>
      <w:r w:rsidRPr="00056D26">
        <w:rPr>
          <w:rFonts w:ascii="Arial" w:hAnsi="Arial" w:cs="Arial"/>
          <w:i/>
        </w:rPr>
        <w:t>Childhood</w:t>
      </w:r>
      <w:r w:rsidRPr="00056D26">
        <w:rPr>
          <w:rFonts w:ascii="Arial" w:hAnsi="Arial" w:cs="Arial"/>
        </w:rPr>
        <w:t xml:space="preserve">. Vol 11, issue 1, pp81-93. </w:t>
      </w:r>
    </w:p>
    <w:p w14:paraId="0F4B0ADC" w14:textId="77777777" w:rsidR="00D05FE0" w:rsidRPr="00056D26" w:rsidRDefault="00D05FE0" w:rsidP="00056D26">
      <w:pPr>
        <w:spacing w:line="360" w:lineRule="auto"/>
        <w:jc w:val="both"/>
        <w:rPr>
          <w:rFonts w:ascii="Arial" w:hAnsi="Arial" w:cs="Arial"/>
        </w:rPr>
      </w:pPr>
    </w:p>
    <w:p w14:paraId="4CEC59FC" w14:textId="77777777" w:rsidR="00D05FE0" w:rsidRPr="00056D26" w:rsidRDefault="00D05FE0" w:rsidP="00056D26">
      <w:pPr>
        <w:spacing w:line="360" w:lineRule="auto"/>
        <w:jc w:val="both"/>
        <w:rPr>
          <w:rFonts w:ascii="Arial" w:hAnsi="Arial" w:cs="Arial"/>
        </w:rPr>
      </w:pPr>
      <w:r w:rsidRPr="00056D26">
        <w:rPr>
          <w:rFonts w:ascii="Arial" w:hAnsi="Arial" w:cs="Arial"/>
        </w:rPr>
        <w:t>Hart, R. (1992) ‘Child’s participation from tokenism to citizenship’</w:t>
      </w:r>
    </w:p>
    <w:p w14:paraId="2244FE00" w14:textId="77777777" w:rsidR="00D05FE0" w:rsidRPr="00056D26" w:rsidRDefault="004A3C75" w:rsidP="00056D26">
      <w:pPr>
        <w:spacing w:line="360" w:lineRule="auto"/>
        <w:jc w:val="both"/>
        <w:rPr>
          <w:rFonts w:ascii="Arial" w:hAnsi="Arial" w:cs="Arial"/>
        </w:rPr>
      </w:pPr>
      <w:hyperlink r:id="rId8" w:history="1">
        <w:r w:rsidR="00D05FE0" w:rsidRPr="00056D26">
          <w:rPr>
            <w:rStyle w:val="Hyperlink"/>
            <w:rFonts w:ascii="Arial" w:hAnsi="Arial" w:cs="Arial"/>
          </w:rPr>
          <w:t>https://www.unicef-irc.org/publications/pdf/childrens_participation.pdf</w:t>
        </w:r>
      </w:hyperlink>
    </w:p>
    <w:p w14:paraId="4BD11D97" w14:textId="77777777" w:rsidR="00D05FE0" w:rsidRPr="00056D26" w:rsidRDefault="00D05FE0" w:rsidP="00056D26">
      <w:pPr>
        <w:spacing w:line="360" w:lineRule="auto"/>
        <w:jc w:val="both"/>
        <w:rPr>
          <w:rFonts w:ascii="Arial" w:hAnsi="Arial" w:cs="Arial"/>
        </w:rPr>
      </w:pPr>
      <w:r w:rsidRPr="00056D26">
        <w:rPr>
          <w:rFonts w:ascii="Arial" w:hAnsi="Arial" w:cs="Arial"/>
        </w:rPr>
        <w:t>[Accessed: 24</w:t>
      </w:r>
      <w:r w:rsidRPr="00056D26">
        <w:rPr>
          <w:rFonts w:ascii="Arial" w:hAnsi="Arial" w:cs="Arial"/>
          <w:vertAlign w:val="superscript"/>
        </w:rPr>
        <w:t>th</w:t>
      </w:r>
      <w:r w:rsidRPr="00056D26">
        <w:rPr>
          <w:rFonts w:ascii="Arial" w:hAnsi="Arial" w:cs="Arial"/>
        </w:rPr>
        <w:t xml:space="preserve"> October 2017]. </w:t>
      </w:r>
    </w:p>
    <w:p w14:paraId="306910A9" w14:textId="77777777" w:rsidR="00D05FE0" w:rsidRPr="00056D26" w:rsidRDefault="00D05FE0" w:rsidP="00056D26">
      <w:pPr>
        <w:spacing w:line="360" w:lineRule="auto"/>
        <w:jc w:val="both"/>
        <w:rPr>
          <w:rFonts w:ascii="Arial" w:hAnsi="Arial" w:cs="Arial"/>
        </w:rPr>
      </w:pPr>
    </w:p>
    <w:p w14:paraId="49B0DEF6"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Mayall, B. (2000) ‘The sociology of childhood in relation to children’s rights’, </w:t>
      </w:r>
      <w:r w:rsidRPr="00056D26">
        <w:rPr>
          <w:rFonts w:ascii="Arial" w:hAnsi="Arial" w:cs="Arial"/>
          <w:i/>
        </w:rPr>
        <w:t>International journal of children’s rights</w:t>
      </w:r>
      <w:r w:rsidRPr="00056D26">
        <w:rPr>
          <w:rFonts w:ascii="Arial" w:hAnsi="Arial" w:cs="Arial"/>
        </w:rPr>
        <w:t xml:space="preserve">. Vol 8, issue 3, pp243-259. </w:t>
      </w:r>
    </w:p>
    <w:p w14:paraId="21666CB8" w14:textId="77777777" w:rsidR="00D05FE0" w:rsidRPr="00056D26" w:rsidRDefault="00D05FE0" w:rsidP="00056D26">
      <w:pPr>
        <w:spacing w:line="360" w:lineRule="auto"/>
        <w:jc w:val="both"/>
        <w:rPr>
          <w:rFonts w:ascii="Arial" w:hAnsi="Arial" w:cs="Arial"/>
        </w:rPr>
      </w:pPr>
    </w:p>
    <w:p w14:paraId="71659127" w14:textId="12A88DFA" w:rsidR="00D05FE0" w:rsidRPr="00056D26" w:rsidRDefault="00767C11" w:rsidP="00056D26">
      <w:pPr>
        <w:spacing w:line="360" w:lineRule="auto"/>
        <w:jc w:val="both"/>
        <w:rPr>
          <w:rFonts w:ascii="Arial" w:hAnsi="Arial" w:cs="Arial"/>
        </w:rPr>
      </w:pPr>
      <w:r>
        <w:rPr>
          <w:rFonts w:ascii="Arial" w:hAnsi="Arial" w:cs="Arial"/>
        </w:rPr>
        <w:t>HM Government (2004</w:t>
      </w:r>
      <w:r w:rsidR="00D05FE0" w:rsidRPr="00056D26">
        <w:rPr>
          <w:rFonts w:ascii="Arial" w:hAnsi="Arial" w:cs="Arial"/>
        </w:rPr>
        <w:t>) ‘Children’s Act’</w:t>
      </w:r>
    </w:p>
    <w:p w14:paraId="607E7BDA" w14:textId="1BEAD55B" w:rsidR="00D05FE0" w:rsidRPr="00056D26" w:rsidRDefault="00767C11" w:rsidP="00056D26">
      <w:pPr>
        <w:spacing w:line="360" w:lineRule="auto"/>
        <w:jc w:val="both"/>
        <w:rPr>
          <w:rFonts w:ascii="Arial" w:hAnsi="Arial" w:cs="Arial"/>
        </w:rPr>
      </w:pPr>
      <w:hyperlink r:id="rId9" w:history="1">
        <w:r w:rsidRPr="00703CEE">
          <w:rPr>
            <w:rStyle w:val="Hyperlink"/>
            <w:rFonts w:ascii="Arial" w:hAnsi="Arial" w:cs="Arial"/>
          </w:rPr>
          <w:t>https://www.legislation.gov.uk/ukpga/2004/31</w:t>
        </w:r>
      </w:hyperlink>
      <w:r>
        <w:rPr>
          <w:rFonts w:ascii="Arial" w:hAnsi="Arial" w:cs="Arial"/>
        </w:rPr>
        <w:t xml:space="preserve"> </w:t>
      </w:r>
    </w:p>
    <w:p w14:paraId="6F624F9B" w14:textId="77777777" w:rsidR="00D05FE0" w:rsidRPr="00056D26" w:rsidRDefault="00D05FE0" w:rsidP="00056D26">
      <w:pPr>
        <w:spacing w:line="360" w:lineRule="auto"/>
        <w:jc w:val="both"/>
        <w:rPr>
          <w:rFonts w:ascii="Arial" w:hAnsi="Arial" w:cs="Arial"/>
        </w:rPr>
      </w:pPr>
      <w:r w:rsidRPr="00056D26">
        <w:rPr>
          <w:rFonts w:ascii="Arial" w:hAnsi="Arial" w:cs="Arial"/>
        </w:rPr>
        <w:t>[Accessed: 20</w:t>
      </w:r>
      <w:r w:rsidRPr="00056D26">
        <w:rPr>
          <w:rFonts w:ascii="Arial" w:hAnsi="Arial" w:cs="Arial"/>
          <w:vertAlign w:val="superscript"/>
        </w:rPr>
        <w:t>th</w:t>
      </w:r>
      <w:r w:rsidRPr="00056D26">
        <w:rPr>
          <w:rFonts w:ascii="Arial" w:hAnsi="Arial" w:cs="Arial"/>
        </w:rPr>
        <w:t xml:space="preserve"> October 2017].</w:t>
      </w:r>
    </w:p>
    <w:p w14:paraId="2994DF5A" w14:textId="77777777" w:rsidR="00D05FE0" w:rsidRPr="00056D26" w:rsidRDefault="00D05FE0" w:rsidP="00056D26">
      <w:pPr>
        <w:spacing w:line="360" w:lineRule="auto"/>
        <w:jc w:val="both"/>
        <w:rPr>
          <w:rFonts w:ascii="Arial" w:hAnsi="Arial" w:cs="Arial"/>
        </w:rPr>
      </w:pPr>
    </w:p>
    <w:p w14:paraId="4F4944DB" w14:textId="77777777" w:rsidR="00D05FE0" w:rsidRPr="00056D26" w:rsidRDefault="00D05FE0" w:rsidP="00056D26">
      <w:pPr>
        <w:spacing w:line="360" w:lineRule="auto"/>
        <w:jc w:val="both"/>
        <w:rPr>
          <w:rFonts w:ascii="Arial" w:hAnsi="Arial" w:cs="Arial"/>
        </w:rPr>
      </w:pPr>
      <w:r w:rsidRPr="00056D26">
        <w:rPr>
          <w:rFonts w:ascii="Arial" w:hAnsi="Arial" w:cs="Arial"/>
        </w:rPr>
        <w:t>HM Government (1989) ‘Data protection Act’</w:t>
      </w:r>
    </w:p>
    <w:p w14:paraId="48E35223" w14:textId="77777777" w:rsidR="00D05FE0" w:rsidRPr="00056D26" w:rsidRDefault="004A3C75" w:rsidP="00056D26">
      <w:pPr>
        <w:spacing w:line="360" w:lineRule="auto"/>
        <w:jc w:val="both"/>
        <w:rPr>
          <w:rFonts w:ascii="Arial" w:hAnsi="Arial" w:cs="Arial"/>
        </w:rPr>
      </w:pPr>
      <w:hyperlink r:id="rId10" w:history="1">
        <w:r w:rsidR="00D05FE0" w:rsidRPr="00056D26">
          <w:rPr>
            <w:rStyle w:val="Hyperlink"/>
            <w:rFonts w:ascii="Arial" w:hAnsi="Arial" w:cs="Arial"/>
          </w:rPr>
          <w:t>https://www.gov.uk/data-protection</w:t>
        </w:r>
      </w:hyperlink>
    </w:p>
    <w:p w14:paraId="53D2D49E" w14:textId="77777777" w:rsidR="00D05FE0" w:rsidRPr="00056D26" w:rsidRDefault="00D05FE0" w:rsidP="00056D26">
      <w:pPr>
        <w:spacing w:line="360" w:lineRule="auto"/>
        <w:jc w:val="both"/>
        <w:rPr>
          <w:rFonts w:ascii="Arial" w:hAnsi="Arial" w:cs="Arial"/>
        </w:rPr>
      </w:pPr>
      <w:r w:rsidRPr="00056D26">
        <w:rPr>
          <w:rFonts w:ascii="Arial" w:hAnsi="Arial" w:cs="Arial"/>
        </w:rPr>
        <w:t>[Accessed: 17</w:t>
      </w:r>
      <w:r w:rsidRPr="00056D26">
        <w:rPr>
          <w:rFonts w:ascii="Arial" w:hAnsi="Arial" w:cs="Arial"/>
          <w:vertAlign w:val="superscript"/>
        </w:rPr>
        <w:t>th</w:t>
      </w:r>
      <w:r w:rsidRPr="00056D26">
        <w:rPr>
          <w:rFonts w:ascii="Arial" w:hAnsi="Arial" w:cs="Arial"/>
        </w:rPr>
        <w:t xml:space="preserve"> October 2017]. </w:t>
      </w:r>
    </w:p>
    <w:p w14:paraId="5A338B50" w14:textId="77777777" w:rsidR="00D05FE0" w:rsidRPr="00056D26" w:rsidRDefault="00D05FE0" w:rsidP="00056D26">
      <w:pPr>
        <w:spacing w:line="360" w:lineRule="auto"/>
        <w:jc w:val="both"/>
        <w:rPr>
          <w:rFonts w:ascii="Arial" w:hAnsi="Arial" w:cs="Arial"/>
        </w:rPr>
      </w:pPr>
    </w:p>
    <w:p w14:paraId="067454B5"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Lewis, A. (2002) ‘Accessing through research interviews the views of children with difficulties in learning’, </w:t>
      </w:r>
      <w:r w:rsidRPr="00056D26">
        <w:rPr>
          <w:rFonts w:ascii="Arial" w:hAnsi="Arial" w:cs="Arial"/>
          <w:i/>
        </w:rPr>
        <w:t>Support for learning</w:t>
      </w:r>
      <w:r w:rsidRPr="00056D26">
        <w:rPr>
          <w:rFonts w:ascii="Arial" w:hAnsi="Arial" w:cs="Arial"/>
        </w:rPr>
        <w:t xml:space="preserve">. Vol 17, issue 3, pp111-117. </w:t>
      </w:r>
    </w:p>
    <w:p w14:paraId="37E252A9" w14:textId="77777777" w:rsidR="00D05FE0" w:rsidRPr="00056D26" w:rsidRDefault="00D05FE0" w:rsidP="00056D26">
      <w:pPr>
        <w:spacing w:line="360" w:lineRule="auto"/>
        <w:jc w:val="both"/>
        <w:rPr>
          <w:rFonts w:ascii="Arial" w:hAnsi="Arial" w:cs="Arial"/>
        </w:rPr>
      </w:pPr>
    </w:p>
    <w:p w14:paraId="49C2FCD2" w14:textId="22444506" w:rsidR="00D05FE0" w:rsidRPr="00056D26" w:rsidRDefault="00D05FE0" w:rsidP="00056D26">
      <w:pPr>
        <w:spacing w:line="360" w:lineRule="auto"/>
        <w:jc w:val="both"/>
        <w:rPr>
          <w:rFonts w:ascii="Arial" w:hAnsi="Arial" w:cs="Arial"/>
        </w:rPr>
      </w:pPr>
      <w:r w:rsidRPr="00056D26">
        <w:rPr>
          <w:rFonts w:ascii="Arial" w:hAnsi="Arial" w:cs="Arial"/>
        </w:rPr>
        <w:t xml:space="preserve">Macdonald, A. (2013) ‘Researching with young children: considering issues of ethics and engagement’, </w:t>
      </w:r>
      <w:r w:rsidRPr="00056D26">
        <w:rPr>
          <w:rFonts w:ascii="Arial" w:hAnsi="Arial" w:cs="Arial"/>
          <w:i/>
        </w:rPr>
        <w:t>Contemporary issues in early childhood</w:t>
      </w:r>
      <w:r w:rsidRPr="00056D26">
        <w:rPr>
          <w:rFonts w:ascii="Arial" w:hAnsi="Arial" w:cs="Arial"/>
        </w:rPr>
        <w:t xml:space="preserve">. Vol 14, issue 3, pp255-269. </w:t>
      </w:r>
    </w:p>
    <w:p w14:paraId="5869E58B" w14:textId="77777777" w:rsidR="00D05FE0" w:rsidRPr="00056D26" w:rsidRDefault="00D05FE0" w:rsidP="00056D26">
      <w:pPr>
        <w:spacing w:line="360" w:lineRule="auto"/>
        <w:jc w:val="both"/>
        <w:rPr>
          <w:rFonts w:ascii="Arial" w:hAnsi="Arial" w:cs="Arial"/>
        </w:rPr>
      </w:pPr>
    </w:p>
    <w:p w14:paraId="7197FCDB" w14:textId="77777777" w:rsidR="00D05FE0" w:rsidRPr="00056D26" w:rsidRDefault="00D05FE0" w:rsidP="00056D26">
      <w:pPr>
        <w:spacing w:line="360" w:lineRule="auto"/>
        <w:jc w:val="both"/>
        <w:rPr>
          <w:rFonts w:ascii="Arial" w:hAnsi="Arial" w:cs="Arial"/>
        </w:rPr>
      </w:pPr>
      <w:r w:rsidRPr="00056D26">
        <w:rPr>
          <w:rFonts w:ascii="Arial" w:hAnsi="Arial" w:cs="Arial"/>
        </w:rPr>
        <w:t>NSPCC (2017) ‘Research with children, ethics safety and avoiding harm’</w:t>
      </w:r>
    </w:p>
    <w:p w14:paraId="6ECC44F5" w14:textId="77777777" w:rsidR="00D05FE0" w:rsidRPr="00056D26" w:rsidRDefault="004A3C75" w:rsidP="00056D26">
      <w:pPr>
        <w:spacing w:line="360" w:lineRule="auto"/>
        <w:jc w:val="both"/>
        <w:rPr>
          <w:rFonts w:ascii="Arial" w:hAnsi="Arial" w:cs="Arial"/>
        </w:rPr>
      </w:pPr>
      <w:hyperlink r:id="rId11" w:history="1">
        <w:r w:rsidR="00D05FE0" w:rsidRPr="00056D26">
          <w:rPr>
            <w:rStyle w:val="Hyperlink"/>
            <w:rFonts w:ascii="Arial" w:hAnsi="Arial" w:cs="Arial"/>
          </w:rPr>
          <w:t>https://www.nspcc.org.uk/services-and-resources/impact-evidence-evaluation-child-protection/conducting-safe-and-ethical-research/</w:t>
        </w:r>
      </w:hyperlink>
    </w:p>
    <w:p w14:paraId="2D7E5E52" w14:textId="77777777" w:rsidR="00D05FE0" w:rsidRPr="00056D26" w:rsidRDefault="00D05FE0" w:rsidP="00056D26">
      <w:pPr>
        <w:spacing w:line="360" w:lineRule="auto"/>
        <w:jc w:val="both"/>
        <w:rPr>
          <w:rFonts w:ascii="Arial" w:hAnsi="Arial" w:cs="Arial"/>
        </w:rPr>
      </w:pPr>
      <w:r w:rsidRPr="00056D26">
        <w:rPr>
          <w:rFonts w:ascii="Arial" w:hAnsi="Arial" w:cs="Arial"/>
        </w:rPr>
        <w:t>[Accessed: 20</w:t>
      </w:r>
      <w:r w:rsidRPr="00056D26">
        <w:rPr>
          <w:rFonts w:ascii="Arial" w:hAnsi="Arial" w:cs="Arial"/>
          <w:vertAlign w:val="superscript"/>
        </w:rPr>
        <w:t>th</w:t>
      </w:r>
      <w:r w:rsidRPr="00056D26">
        <w:rPr>
          <w:rFonts w:ascii="Arial" w:hAnsi="Arial" w:cs="Arial"/>
        </w:rPr>
        <w:t xml:space="preserve"> October 2017]. </w:t>
      </w:r>
    </w:p>
    <w:p w14:paraId="63F5383E" w14:textId="77777777" w:rsidR="00D05FE0" w:rsidRPr="00056D26" w:rsidRDefault="00D05FE0" w:rsidP="00056D26">
      <w:pPr>
        <w:spacing w:line="360" w:lineRule="auto"/>
        <w:jc w:val="both"/>
        <w:rPr>
          <w:rFonts w:ascii="Arial" w:hAnsi="Arial" w:cs="Arial"/>
        </w:rPr>
      </w:pPr>
    </w:p>
    <w:p w14:paraId="517B952A"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Palaiologou, I. (2012) </w:t>
      </w:r>
      <w:r w:rsidRPr="00056D26">
        <w:rPr>
          <w:rFonts w:ascii="Arial" w:hAnsi="Arial" w:cs="Arial"/>
          <w:i/>
        </w:rPr>
        <w:t>Ethical practise in early childhood</w:t>
      </w:r>
      <w:r w:rsidRPr="00056D26">
        <w:rPr>
          <w:rFonts w:ascii="Arial" w:hAnsi="Arial" w:cs="Arial"/>
        </w:rPr>
        <w:t xml:space="preserve">. London: Sage. </w:t>
      </w:r>
    </w:p>
    <w:p w14:paraId="0D1642A7" w14:textId="77777777" w:rsidR="00D05FE0" w:rsidRPr="00056D26" w:rsidRDefault="00D05FE0" w:rsidP="00056D26">
      <w:pPr>
        <w:spacing w:line="360" w:lineRule="auto"/>
        <w:jc w:val="both"/>
        <w:rPr>
          <w:rFonts w:ascii="Arial" w:hAnsi="Arial" w:cs="Arial"/>
        </w:rPr>
      </w:pPr>
    </w:p>
    <w:p w14:paraId="2A07C4B4"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Rice, M and Broome, M. (2004) ‘Incentives for children in research’, </w:t>
      </w:r>
      <w:r w:rsidRPr="00056D26">
        <w:rPr>
          <w:rFonts w:ascii="Arial" w:hAnsi="Arial" w:cs="Arial"/>
          <w:i/>
        </w:rPr>
        <w:t>Journal of nursing scholarships</w:t>
      </w:r>
      <w:r w:rsidRPr="00056D26">
        <w:rPr>
          <w:rFonts w:ascii="Arial" w:hAnsi="Arial" w:cs="Arial"/>
        </w:rPr>
        <w:t xml:space="preserve">. Vol 36, issue 2, pp167-172. </w:t>
      </w:r>
    </w:p>
    <w:p w14:paraId="07120489" w14:textId="77777777" w:rsidR="00D05FE0" w:rsidRPr="00056D26" w:rsidRDefault="00D05FE0" w:rsidP="00056D26">
      <w:pPr>
        <w:spacing w:line="360" w:lineRule="auto"/>
        <w:jc w:val="both"/>
        <w:rPr>
          <w:rFonts w:ascii="Arial" w:hAnsi="Arial" w:cs="Arial"/>
        </w:rPr>
      </w:pPr>
    </w:p>
    <w:p w14:paraId="5944B8C3"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Sargeant, J. and Harcourt, D. (2012) </w:t>
      </w:r>
      <w:r w:rsidRPr="00056D26">
        <w:rPr>
          <w:rFonts w:ascii="Arial" w:hAnsi="Arial" w:cs="Arial"/>
          <w:i/>
        </w:rPr>
        <w:t>Doing ethical research with children</w:t>
      </w:r>
      <w:r w:rsidRPr="00056D26">
        <w:rPr>
          <w:rFonts w:ascii="Arial" w:hAnsi="Arial" w:cs="Arial"/>
        </w:rPr>
        <w:t xml:space="preserve">. England: Open university press. </w:t>
      </w:r>
    </w:p>
    <w:p w14:paraId="3C70E522" w14:textId="77777777" w:rsidR="00D05FE0" w:rsidRPr="00056D26" w:rsidRDefault="00D05FE0" w:rsidP="00056D26">
      <w:pPr>
        <w:spacing w:line="360" w:lineRule="auto"/>
        <w:jc w:val="both"/>
        <w:rPr>
          <w:rFonts w:ascii="Arial" w:hAnsi="Arial" w:cs="Arial"/>
        </w:rPr>
      </w:pPr>
    </w:p>
    <w:p w14:paraId="52133074"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Skelton, T. (2008) ‘Research with children and young people: exploring the tensions between ethics, competence and participation’, </w:t>
      </w:r>
      <w:r w:rsidRPr="00056D26">
        <w:rPr>
          <w:rFonts w:ascii="Arial" w:hAnsi="Arial" w:cs="Arial"/>
          <w:i/>
        </w:rPr>
        <w:t>Children’s geographies</w:t>
      </w:r>
      <w:r w:rsidRPr="00056D26">
        <w:rPr>
          <w:rFonts w:ascii="Arial" w:hAnsi="Arial" w:cs="Arial"/>
        </w:rPr>
        <w:t xml:space="preserve">. Vol 6, issue 1, pp63-78. </w:t>
      </w:r>
    </w:p>
    <w:p w14:paraId="4536A995" w14:textId="77777777" w:rsidR="00D05FE0" w:rsidRPr="00056D26" w:rsidRDefault="00D05FE0" w:rsidP="00056D26">
      <w:pPr>
        <w:spacing w:line="360" w:lineRule="auto"/>
        <w:jc w:val="both"/>
        <w:rPr>
          <w:rFonts w:ascii="Arial" w:hAnsi="Arial" w:cs="Arial"/>
        </w:rPr>
      </w:pPr>
    </w:p>
    <w:p w14:paraId="5D1491FE"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Tronto, J. (1993) </w:t>
      </w:r>
      <w:r w:rsidRPr="00056D26">
        <w:rPr>
          <w:rFonts w:ascii="Arial" w:hAnsi="Arial" w:cs="Arial"/>
          <w:i/>
        </w:rPr>
        <w:t>Moral boundaries: A political argument for an ethic of care</w:t>
      </w:r>
      <w:r w:rsidRPr="00056D26">
        <w:rPr>
          <w:rFonts w:ascii="Arial" w:hAnsi="Arial" w:cs="Arial"/>
        </w:rPr>
        <w:t xml:space="preserve">. New York: Routledge. </w:t>
      </w:r>
    </w:p>
    <w:p w14:paraId="7931A772" w14:textId="77777777" w:rsidR="00D05FE0" w:rsidRPr="00056D26" w:rsidRDefault="00D05FE0" w:rsidP="00056D26">
      <w:pPr>
        <w:spacing w:line="360" w:lineRule="auto"/>
        <w:jc w:val="both"/>
        <w:rPr>
          <w:rFonts w:ascii="Arial" w:hAnsi="Arial" w:cs="Arial"/>
        </w:rPr>
      </w:pPr>
    </w:p>
    <w:p w14:paraId="00F1A905" w14:textId="77777777" w:rsidR="00D05FE0" w:rsidRPr="00056D26" w:rsidRDefault="00D05FE0" w:rsidP="00056D26">
      <w:pPr>
        <w:spacing w:line="360" w:lineRule="auto"/>
        <w:jc w:val="both"/>
        <w:rPr>
          <w:rFonts w:ascii="Arial" w:hAnsi="Arial" w:cs="Arial"/>
        </w:rPr>
      </w:pPr>
      <w:r w:rsidRPr="00056D26">
        <w:rPr>
          <w:rFonts w:ascii="Arial" w:hAnsi="Arial" w:cs="Arial"/>
        </w:rPr>
        <w:t xml:space="preserve">United Nations (1990) ‘The united nations convention on the rights of the child.’ </w:t>
      </w:r>
    </w:p>
    <w:p w14:paraId="51EDC7CF" w14:textId="77777777" w:rsidR="00D05FE0" w:rsidRPr="00056D26" w:rsidRDefault="004A3C75" w:rsidP="00056D26">
      <w:pPr>
        <w:spacing w:line="360" w:lineRule="auto"/>
        <w:jc w:val="both"/>
        <w:rPr>
          <w:rFonts w:ascii="Arial" w:hAnsi="Arial" w:cs="Arial"/>
        </w:rPr>
      </w:pPr>
      <w:hyperlink r:id="rId12" w:history="1">
        <w:r w:rsidR="00D05FE0" w:rsidRPr="00056D26">
          <w:rPr>
            <w:rStyle w:val="Hyperlink"/>
            <w:rFonts w:ascii="Arial" w:hAnsi="Arial" w:cs="Arial"/>
          </w:rPr>
          <w:t>https://www.unicef.org.uk/what-we-do/un-convention-child-rights/</w:t>
        </w:r>
      </w:hyperlink>
    </w:p>
    <w:p w14:paraId="2A17235F" w14:textId="77777777" w:rsidR="00D05FE0" w:rsidRPr="00056D26" w:rsidRDefault="00D05FE0" w:rsidP="00056D26">
      <w:pPr>
        <w:spacing w:line="360" w:lineRule="auto"/>
        <w:jc w:val="both"/>
        <w:rPr>
          <w:rFonts w:ascii="Arial" w:hAnsi="Arial" w:cs="Arial"/>
        </w:rPr>
      </w:pPr>
      <w:r w:rsidRPr="00056D26">
        <w:rPr>
          <w:rFonts w:ascii="Arial" w:hAnsi="Arial" w:cs="Arial"/>
        </w:rPr>
        <w:t>[Acessed: 19</w:t>
      </w:r>
      <w:r w:rsidRPr="00056D26">
        <w:rPr>
          <w:rFonts w:ascii="Arial" w:hAnsi="Arial" w:cs="Arial"/>
          <w:vertAlign w:val="superscript"/>
        </w:rPr>
        <w:t>th</w:t>
      </w:r>
      <w:r w:rsidRPr="00056D26">
        <w:rPr>
          <w:rFonts w:ascii="Arial" w:hAnsi="Arial" w:cs="Arial"/>
        </w:rPr>
        <w:t xml:space="preserve"> October 2017].</w:t>
      </w:r>
    </w:p>
    <w:p w14:paraId="54B4CA47" w14:textId="77777777" w:rsidR="00D05FE0" w:rsidRPr="00056D26" w:rsidRDefault="00D05FE0" w:rsidP="00056D26">
      <w:pPr>
        <w:spacing w:line="360" w:lineRule="auto"/>
        <w:jc w:val="both"/>
        <w:rPr>
          <w:rFonts w:ascii="Arial" w:hAnsi="Arial" w:cs="Arial"/>
        </w:rPr>
      </w:pPr>
    </w:p>
    <w:p w14:paraId="36C0ECAC" w14:textId="77777777" w:rsidR="00D05FE0" w:rsidRPr="00056D26" w:rsidRDefault="00D05FE0" w:rsidP="00056D26">
      <w:pPr>
        <w:spacing w:line="360" w:lineRule="auto"/>
        <w:jc w:val="both"/>
        <w:rPr>
          <w:rFonts w:ascii="Arial" w:hAnsi="Arial" w:cs="Arial"/>
        </w:rPr>
      </w:pPr>
    </w:p>
    <w:p w14:paraId="5555CAC0" w14:textId="77777777" w:rsidR="00D05FE0" w:rsidRPr="00056D26" w:rsidRDefault="00D05FE0" w:rsidP="00056D26">
      <w:pPr>
        <w:spacing w:line="360" w:lineRule="auto"/>
        <w:jc w:val="both"/>
        <w:rPr>
          <w:rFonts w:ascii="Arial" w:hAnsi="Arial" w:cs="Arial"/>
        </w:rPr>
      </w:pPr>
    </w:p>
    <w:sectPr w:rsidR="00D05FE0" w:rsidRPr="00056D26" w:rsidSect="008B7D6A">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4CE3A4" w14:textId="77777777" w:rsidR="004A3C75" w:rsidRDefault="004A3C75" w:rsidP="00056D26">
      <w:r>
        <w:separator/>
      </w:r>
    </w:p>
  </w:endnote>
  <w:endnote w:type="continuationSeparator" w:id="0">
    <w:p w14:paraId="6C1A1D87" w14:textId="77777777" w:rsidR="004A3C75" w:rsidRDefault="004A3C75" w:rsidP="00056D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357123" w14:textId="77777777" w:rsidR="00056D26" w:rsidRDefault="00056D26" w:rsidP="00703CE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A8108A4" w14:textId="77777777" w:rsidR="00056D26" w:rsidRDefault="00056D2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7069B6" w14:textId="77777777" w:rsidR="00056D26" w:rsidRDefault="00056D26" w:rsidP="00703CE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A3C75">
      <w:rPr>
        <w:rStyle w:val="PageNumber"/>
        <w:noProof/>
      </w:rPr>
      <w:t>1</w:t>
    </w:r>
    <w:r>
      <w:rPr>
        <w:rStyle w:val="PageNumber"/>
      </w:rPr>
      <w:fldChar w:fldCharType="end"/>
    </w:r>
  </w:p>
  <w:p w14:paraId="5E5EA86E" w14:textId="77777777" w:rsidR="00056D26" w:rsidRDefault="00056D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A56A92" w14:textId="77777777" w:rsidR="004A3C75" w:rsidRDefault="004A3C75" w:rsidP="00056D26">
      <w:r>
        <w:separator/>
      </w:r>
    </w:p>
  </w:footnote>
  <w:footnote w:type="continuationSeparator" w:id="0">
    <w:p w14:paraId="036EC747" w14:textId="77777777" w:rsidR="004A3C75" w:rsidRDefault="004A3C75" w:rsidP="00056D2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DC6"/>
    <w:rsid w:val="00004AA3"/>
    <w:rsid w:val="00004AC8"/>
    <w:rsid w:val="00007184"/>
    <w:rsid w:val="00031F02"/>
    <w:rsid w:val="00056D26"/>
    <w:rsid w:val="00064287"/>
    <w:rsid w:val="0007361A"/>
    <w:rsid w:val="000C66FB"/>
    <w:rsid w:val="001275D2"/>
    <w:rsid w:val="00166472"/>
    <w:rsid w:val="001929FD"/>
    <w:rsid w:val="001B59A4"/>
    <w:rsid w:val="001E741E"/>
    <w:rsid w:val="00215A1C"/>
    <w:rsid w:val="00242D1D"/>
    <w:rsid w:val="002A2B8F"/>
    <w:rsid w:val="002D4451"/>
    <w:rsid w:val="002F778E"/>
    <w:rsid w:val="00325044"/>
    <w:rsid w:val="00335F58"/>
    <w:rsid w:val="003544B0"/>
    <w:rsid w:val="0035524D"/>
    <w:rsid w:val="00385FC0"/>
    <w:rsid w:val="003A7DC6"/>
    <w:rsid w:val="00485364"/>
    <w:rsid w:val="004A06B7"/>
    <w:rsid w:val="004A3C75"/>
    <w:rsid w:val="004B4703"/>
    <w:rsid w:val="004C1E72"/>
    <w:rsid w:val="004E17A0"/>
    <w:rsid w:val="00511114"/>
    <w:rsid w:val="005416E1"/>
    <w:rsid w:val="00543922"/>
    <w:rsid w:val="00561A16"/>
    <w:rsid w:val="00563C85"/>
    <w:rsid w:val="00564625"/>
    <w:rsid w:val="00574FF6"/>
    <w:rsid w:val="005B6D21"/>
    <w:rsid w:val="005D486E"/>
    <w:rsid w:val="005F60F2"/>
    <w:rsid w:val="00624132"/>
    <w:rsid w:val="00632E71"/>
    <w:rsid w:val="00693780"/>
    <w:rsid w:val="006A0307"/>
    <w:rsid w:val="006A378C"/>
    <w:rsid w:val="006A5D44"/>
    <w:rsid w:val="006A63B7"/>
    <w:rsid w:val="00730511"/>
    <w:rsid w:val="00767C11"/>
    <w:rsid w:val="007758B8"/>
    <w:rsid w:val="0078594B"/>
    <w:rsid w:val="007A4208"/>
    <w:rsid w:val="007A6E46"/>
    <w:rsid w:val="007E0CC3"/>
    <w:rsid w:val="0084137B"/>
    <w:rsid w:val="00843F87"/>
    <w:rsid w:val="00866001"/>
    <w:rsid w:val="00881037"/>
    <w:rsid w:val="008B7D6A"/>
    <w:rsid w:val="008C5203"/>
    <w:rsid w:val="00911F2C"/>
    <w:rsid w:val="009522FA"/>
    <w:rsid w:val="009C3112"/>
    <w:rsid w:val="009D023D"/>
    <w:rsid w:val="00A0246C"/>
    <w:rsid w:val="00A44CFF"/>
    <w:rsid w:val="00AB2B48"/>
    <w:rsid w:val="00AC7C2B"/>
    <w:rsid w:val="00AF7A4E"/>
    <w:rsid w:val="00B0094D"/>
    <w:rsid w:val="00B16DD2"/>
    <w:rsid w:val="00BA7145"/>
    <w:rsid w:val="00C1675B"/>
    <w:rsid w:val="00C40AF3"/>
    <w:rsid w:val="00C43688"/>
    <w:rsid w:val="00C474E7"/>
    <w:rsid w:val="00C7182B"/>
    <w:rsid w:val="00C84B6D"/>
    <w:rsid w:val="00C8670E"/>
    <w:rsid w:val="00C9271B"/>
    <w:rsid w:val="00CB5E5D"/>
    <w:rsid w:val="00CD55F0"/>
    <w:rsid w:val="00CE3A54"/>
    <w:rsid w:val="00CE3E4F"/>
    <w:rsid w:val="00CF308E"/>
    <w:rsid w:val="00CF3892"/>
    <w:rsid w:val="00D025BB"/>
    <w:rsid w:val="00D059CB"/>
    <w:rsid w:val="00D05FE0"/>
    <w:rsid w:val="00DC5638"/>
    <w:rsid w:val="00DE2ECF"/>
    <w:rsid w:val="00DE3D09"/>
    <w:rsid w:val="00E219C9"/>
    <w:rsid w:val="00E256BE"/>
    <w:rsid w:val="00E657BE"/>
    <w:rsid w:val="00EC1300"/>
    <w:rsid w:val="00EC665C"/>
    <w:rsid w:val="00ED14CB"/>
    <w:rsid w:val="00ED4739"/>
    <w:rsid w:val="00EE13C2"/>
    <w:rsid w:val="00EE295A"/>
    <w:rsid w:val="00EF1CC9"/>
    <w:rsid w:val="00F4456A"/>
    <w:rsid w:val="00F936E6"/>
    <w:rsid w:val="00F93FEE"/>
    <w:rsid w:val="00FA2E67"/>
    <w:rsid w:val="00FB4F3F"/>
    <w:rsid w:val="00FB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54B4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5FE0"/>
    <w:rPr>
      <w:color w:val="0563C1" w:themeColor="hyperlink"/>
      <w:u w:val="single"/>
    </w:rPr>
  </w:style>
  <w:style w:type="paragraph" w:styleId="Footer">
    <w:name w:val="footer"/>
    <w:basedOn w:val="Normal"/>
    <w:link w:val="FooterChar"/>
    <w:uiPriority w:val="99"/>
    <w:unhideWhenUsed/>
    <w:rsid w:val="00056D26"/>
    <w:pPr>
      <w:tabs>
        <w:tab w:val="center" w:pos="4513"/>
        <w:tab w:val="right" w:pos="9026"/>
      </w:tabs>
    </w:pPr>
  </w:style>
  <w:style w:type="character" w:customStyle="1" w:styleId="FooterChar">
    <w:name w:val="Footer Char"/>
    <w:basedOn w:val="DefaultParagraphFont"/>
    <w:link w:val="Footer"/>
    <w:uiPriority w:val="99"/>
    <w:rsid w:val="00056D26"/>
  </w:style>
  <w:style w:type="character" w:styleId="PageNumber">
    <w:name w:val="page number"/>
    <w:basedOn w:val="DefaultParagraphFont"/>
    <w:uiPriority w:val="99"/>
    <w:semiHidden/>
    <w:unhideWhenUsed/>
    <w:rsid w:val="00056D26"/>
  </w:style>
  <w:style w:type="character" w:styleId="FollowedHyperlink">
    <w:name w:val="FollowedHyperlink"/>
    <w:basedOn w:val="DefaultParagraphFont"/>
    <w:uiPriority w:val="99"/>
    <w:semiHidden/>
    <w:unhideWhenUsed/>
    <w:rsid w:val="00767C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nspcc.org.uk/services-and-resources/impact-evidence-evaluation-child-protection/conducting-safe-and-ethical-research/" TargetMode="External"/><Relationship Id="rId12" Type="http://schemas.openxmlformats.org/officeDocument/2006/relationships/hyperlink" Target="https://www.unicef.org.uk/what-we-do/un-convention-child-rights/"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bera.ac.uk/wp-content/uploads/2014/02/BERA-Ethical-Guidelines-2011.pdf?noredirect=1" TargetMode="External"/><Relationship Id="rId7" Type="http://schemas.openxmlformats.org/officeDocument/2006/relationships/hyperlink" Target="http://www.bailii.org/uk/cases/UKHL/1985/7.html" TargetMode="External"/><Relationship Id="rId8" Type="http://schemas.openxmlformats.org/officeDocument/2006/relationships/hyperlink" Target="https://www.unicef-irc.org/publications/pdf/childrens_participation.pdf" TargetMode="External"/><Relationship Id="rId9" Type="http://schemas.openxmlformats.org/officeDocument/2006/relationships/hyperlink" Target="https://www.legislation.gov.uk/ukpga/2004/31" TargetMode="External"/><Relationship Id="rId10"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9</Pages>
  <Words>2853</Words>
  <Characters>16267</Characters>
  <Application>Microsoft Macintosh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39</cp:revision>
  <dcterms:created xsi:type="dcterms:W3CDTF">2017-10-17T15:10:00Z</dcterms:created>
  <dcterms:modified xsi:type="dcterms:W3CDTF">2017-10-31T13:06:00Z</dcterms:modified>
</cp:coreProperties>
</file>