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E4D38" w14:textId="77777777" w:rsidR="00AC6E61" w:rsidRDefault="00000000">
      <w:pPr>
        <w:jc w:val="center"/>
      </w:pPr>
      <w:r>
        <w:rPr>
          <w:noProof/>
        </w:rPr>
        <w:drawing>
          <wp:inline distT="0" distB="0" distL="0" distR="0" wp14:anchorId="1ECF4704" wp14:editId="10E41995">
            <wp:extent cx="5731510" cy="2882546"/>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5731510" cy="2882546"/>
                    </a:xfrm>
                    <a:prstGeom prst="rect">
                      <a:avLst/>
                    </a:prstGeom>
                  </pic:spPr>
                </pic:pic>
              </a:graphicData>
            </a:graphic>
          </wp:inline>
        </w:drawing>
      </w:r>
    </w:p>
    <w:p w14:paraId="12B34B05" w14:textId="4F8021FC" w:rsidR="00383ACB" w:rsidRPr="00383ACB" w:rsidRDefault="00000000" w:rsidP="00383ACB">
      <w:pPr>
        <w:pStyle w:val="Normal1"/>
        <w:spacing w:line="360" w:lineRule="auto"/>
        <w:jc w:val="both"/>
        <w:rPr>
          <w:rFonts w:ascii="Times New Roman" w:hAnsi="Times New Roman" w:cs="Times New Roman"/>
          <w:sz w:val="20"/>
          <w:szCs w:val="20"/>
        </w:rPr>
      </w:pPr>
      <w:r w:rsidRPr="00383ACB">
        <w:rPr>
          <w:sz w:val="20"/>
          <w:szCs w:val="20"/>
        </w:rPr>
        <w:t xml:space="preserve">                                          </w:t>
      </w:r>
      <w:r w:rsidR="00C536A3">
        <w:rPr>
          <w:sz w:val="20"/>
          <w:szCs w:val="20"/>
        </w:rPr>
        <w:t xml:space="preserve">                      </w:t>
      </w:r>
      <w:r w:rsidRPr="00383ACB">
        <w:rPr>
          <w:sz w:val="20"/>
          <w:szCs w:val="20"/>
        </w:rPr>
        <w:t xml:space="preserve">  </w:t>
      </w:r>
      <w:r w:rsidR="00383ACB" w:rsidRPr="00383ACB">
        <w:rPr>
          <w:rFonts w:ascii="Times New Roman" w:hAnsi="Times New Roman" w:cs="Times New Roman"/>
          <w:sz w:val="20"/>
          <w:szCs w:val="20"/>
        </w:rPr>
        <w:t>Flickr.com/photos/182229932@N07/48612612772.(Accessed 29.12.2023).</w:t>
      </w:r>
    </w:p>
    <w:p w14:paraId="26D549EB" w14:textId="0351C3E8" w:rsidR="00AC6E61" w:rsidRDefault="00AC6E61">
      <w:pPr>
        <w:pStyle w:val="Title1"/>
      </w:pPr>
    </w:p>
    <w:p w14:paraId="5F81776A" w14:textId="77777777" w:rsidR="00AC6E61" w:rsidRDefault="00000000">
      <w:pPr>
        <w:pStyle w:val="IntenseQuote"/>
      </w:pPr>
      <w:r>
        <w:t>The Social (Re) Production of inequality ECED7006 Assignment 2 (1100769).</w:t>
      </w:r>
    </w:p>
    <w:p w14:paraId="6EE54D32" w14:textId="3D3D055E" w:rsidR="005B704E" w:rsidRDefault="00000000" w:rsidP="00AB542F">
      <w:pPr>
        <w:pStyle w:val="Normal1"/>
        <w:spacing w:line="360" w:lineRule="auto"/>
        <w:jc w:val="both"/>
        <w:rPr>
          <w:rStyle w:val="Hyperlink"/>
          <w:rFonts w:ascii="Times New Roman" w:hAnsi="Times New Roman" w:cs="Times New Roman"/>
          <w:sz w:val="24"/>
          <w:szCs w:val="24"/>
        </w:rPr>
      </w:pPr>
      <w:hyperlink r:id="rId7" w:anchor=":~:text=https%3A//sway.office.com/AhIX4K0fUNZJazjB%3Fref%3DLink" w:history="1">
        <w:r w:rsidR="002D686B" w:rsidRPr="002E366B">
          <w:rPr>
            <w:rStyle w:val="Hyperlink"/>
            <w:rFonts w:ascii="Times New Roman" w:hAnsi="Times New Roman" w:cs="Times New Roman"/>
            <w:sz w:val="24"/>
            <w:szCs w:val="24"/>
          </w:rPr>
          <w:t>https://sway.office.com/AhIX4K0fUNZJazjB?loc=swsp#:~:text=https%3A//sway.office.com/AhIX4K0fUNZJazjB%3Fref%3DLink</w:t>
        </w:r>
      </w:hyperlink>
    </w:p>
    <w:p w14:paraId="6903C22F" w14:textId="10802539" w:rsidR="004C5762" w:rsidRDefault="004C5762" w:rsidP="00AB542F">
      <w:pPr>
        <w:pStyle w:val="Normal1"/>
        <w:spacing w:line="360" w:lineRule="auto"/>
        <w:jc w:val="both"/>
        <w:rPr>
          <w:rFonts w:ascii="Times New Roman" w:hAnsi="Times New Roman" w:cs="Times New Roman"/>
          <w:sz w:val="24"/>
          <w:szCs w:val="24"/>
        </w:rPr>
      </w:pPr>
      <w:hyperlink r:id="rId8" w:history="1">
        <w:r w:rsidRPr="009B589F">
          <w:rPr>
            <w:rStyle w:val="Hyperlink"/>
            <w:rFonts w:ascii="Times New Roman" w:hAnsi="Times New Roman" w:cs="Times New Roman"/>
            <w:sz w:val="24"/>
            <w:szCs w:val="24"/>
          </w:rPr>
          <w:t>https://sway.office.com/AhIX4K0fUNZJazjB?ref=Link</w:t>
        </w:r>
      </w:hyperlink>
    </w:p>
    <w:p w14:paraId="04CEFC72" w14:textId="33A2867F"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Within this assignment one campaigning or activist group that has had recent media coverage will be explored and examined. A reflection of why the movement has been developed and what are the aims and objectives involved within the group. The barriers to equity will be considered. The chosen group is a menopause group named Pausitivity (Pausitivity.co.uk, 2023).</w:t>
      </w:r>
    </w:p>
    <w:p w14:paraId="13B75A36" w14:textId="36CAE36F" w:rsidR="00AC6E61" w:rsidRPr="00AB542F" w:rsidRDefault="00000000" w:rsidP="00AB542F">
      <w:pPr>
        <w:pStyle w:val="Normal1"/>
        <w:spacing w:line="360" w:lineRule="auto"/>
        <w:jc w:val="both"/>
        <w:rPr>
          <w:rFonts w:ascii="Times New Roman" w:hAnsi="Times New Roman" w:cs="Times New Roman"/>
          <w:sz w:val="24"/>
          <w:szCs w:val="24"/>
        </w:rPr>
      </w:pPr>
      <w:hyperlink r:id="rId9" w:history="1">
        <w:r w:rsidR="005E0E58" w:rsidRPr="00B82C5B">
          <w:rPr>
            <w:rStyle w:val="Hyperlink"/>
            <w:rFonts w:ascii="Times New Roman" w:hAnsi="Times New Roman" w:cs="Times New Roman"/>
            <w:sz w:val="24"/>
            <w:szCs w:val="24"/>
          </w:rPr>
          <w:t>https://www.pausitivity.co.uk/2023</w:t>
        </w:r>
      </w:hyperlink>
      <w:r w:rsidR="005E0E58" w:rsidRPr="00AB542F">
        <w:rPr>
          <w:rFonts w:ascii="Times New Roman" w:hAnsi="Times New Roman" w:cs="Times New Roman"/>
          <w:sz w:val="24"/>
          <w:szCs w:val="24"/>
        </w:rPr>
        <w:t>.</w:t>
      </w:r>
      <w:r w:rsidR="00AB542F">
        <w:rPr>
          <w:rFonts w:ascii="Times New Roman" w:hAnsi="Times New Roman" w:cs="Times New Roman"/>
          <w:sz w:val="24"/>
          <w:szCs w:val="24"/>
        </w:rPr>
        <w:t xml:space="preserve"> (Accessed 03.02.2023).</w:t>
      </w:r>
    </w:p>
    <w:p w14:paraId="7C0C9751" w14:textId="77777777" w:rsidR="00AC6E61" w:rsidRPr="00AB542F" w:rsidRDefault="00000000" w:rsidP="00AB542F">
      <w:pPr>
        <w:pStyle w:val="Normal1"/>
        <w:spacing w:line="360" w:lineRule="auto"/>
        <w:jc w:val="both"/>
        <w:rPr>
          <w:rFonts w:ascii="Times New Roman" w:hAnsi="Times New Roman" w:cs="Times New Roman"/>
          <w:sz w:val="24"/>
          <w:szCs w:val="24"/>
        </w:rPr>
      </w:pPr>
      <w:hyperlink r:id="rId10">
        <w:r w:rsidRPr="00AB542F">
          <w:rPr>
            <w:rStyle w:val="SwayHyperlink"/>
            <w:rFonts w:ascii="Times New Roman" w:hAnsi="Times New Roman" w:cs="Times New Roman"/>
            <w:sz w:val="24"/>
            <w:szCs w:val="24"/>
          </w:rPr>
          <w:t>https://www.pausitivity.co.uk/poster-download/2023</w:t>
        </w:r>
      </w:hyperlink>
      <w:r w:rsidRPr="00AB542F">
        <w:rPr>
          <w:rFonts w:ascii="Times New Roman" w:hAnsi="Times New Roman" w:cs="Times New Roman"/>
          <w:sz w:val="24"/>
          <w:szCs w:val="24"/>
        </w:rPr>
        <w:t>. (Accessed 03.02.2023).</w:t>
      </w:r>
    </w:p>
    <w:p w14:paraId="0A15E621"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 xml:space="preserve">Pausitivity has recently been in the media spotlight campaigning with the hope of educating women and men on the confusion and fear often surrounding the menopause topic when understanding how it effects the body physiologically and psychologically (Pausitivity.co.uk/media,2023). The hashtag for this campaign group is – To make the world </w:t>
      </w:r>
      <w:r w:rsidRPr="00AB542F">
        <w:rPr>
          <w:rFonts w:ascii="Times New Roman" w:hAnsi="Times New Roman" w:cs="Times New Roman"/>
          <w:sz w:val="24"/>
          <w:szCs w:val="24"/>
        </w:rPr>
        <w:lastRenderedPageBreak/>
        <w:t xml:space="preserve">know #KNOWYOURMENOPAUSE. This is one other way this campaign group helps to spread the information through algorithms on social media. This movement has developed to reassure the population that guidance and advice are available upon the menopause topic. Menopause is a subject which has historically been taboo, not discussed, misunderstood, uninformed and shrouded in embarrassment and shame as explored by Beck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(2020); Duffy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(2011); Grandey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(2020) and Krajewski (2019). This is why it is so important to be able to readily access factual informed information and education readily within society upon this topic regardless of the circumstance and no matter what nationality one is born into or what disability one may have it should be made available to each and every individual so that equity is established. There has been much confusion surrounding the definitions of the stages of the menopause, the many symptoms involved in the menopause transition and the use of hormone replacement therapy and its risks and health benefits. This is why it is so important to have evidence based factual information accessible to the public concerning this transition as noted by Löfqvist (2022) and Harper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(2022). There has always been a lack of information in public places concerning the menopause transition due to the taboo surrounding its existence (Dillaway, 2020).The aims and objectives of this campaign are to provide support and education to be made available to all genders by having posters displayed in every surgery, G.P practice, healthcare centre, hospital, prison, foodbanks, school, workplace, library, gym and any public place and space available to display important information pertaining to menopause symptoms. The poster shows some common symptoms experienced in the menopause transition and the ages that many women commonly experience them and includes advice to seek doctors advice on options available and a website link where there is an abundance of information and helpful links and content to explore. There is a printable poster available in many languages including English, Welsh, Gaelic, French, German, Dutch, Romanian and Urdu. This helps the campaign to provide accessibility to the rich diversity of various nationalities. The United Kingdom is a diverse country full of a multitude of cultures including many immigrants which makes it important to supply women and men of all nationalities access to knowledge and informed advice in addition to up to date information upon the menopause topic as noted by Zou et al (2020). The Pausitivity campaign is so inclusive that it also includes an accessible poster in video format that can reach out to individuals with learning disabilities and other disabilities and uses symbols, speech and signs so as to include the disadvantaged and marginalised individuals within our society (Pausitivity.co.uk, 2023). A downloadable menopause support pack is also available which includes helpful information and resources (Pausitivity.co.uk/menopause-support-packs, 2023). The origins of this </w:t>
      </w:r>
      <w:r w:rsidRPr="00AB542F">
        <w:rPr>
          <w:rFonts w:ascii="Times New Roman" w:hAnsi="Times New Roman" w:cs="Times New Roman"/>
          <w:sz w:val="24"/>
          <w:szCs w:val="24"/>
        </w:rPr>
        <w:lastRenderedPageBreak/>
        <w:t>campaign group started with a single woman sitting in various G.P’s waiting rooms searching for answers to why she was feeling the way she was, an experience echoed by many women across the country over many years. After chatting online to a handful of other women who had similar experiences the idea arose to start the campaign to make information regarding the menopause accessible to everybody in the form of posters which then grew to online content and a website Pausitivity.co.uk (2023). </w:t>
      </w:r>
    </w:p>
    <w:p w14:paraId="052A4274" w14:textId="77777777" w:rsidR="00AC6E61" w:rsidRPr="00AB542F" w:rsidRDefault="00000000" w:rsidP="00AB542F">
      <w:pPr>
        <w:spacing w:line="360" w:lineRule="auto"/>
        <w:jc w:val="both"/>
        <w:rPr>
          <w:rFonts w:ascii="Times New Roman" w:hAnsi="Times New Roman" w:cs="Times New Roman"/>
          <w:sz w:val="24"/>
          <w:szCs w:val="24"/>
        </w:rPr>
      </w:pPr>
      <w:r w:rsidRPr="00AB542F">
        <w:rPr>
          <w:rFonts w:ascii="Times New Roman" w:hAnsi="Times New Roman" w:cs="Times New Roman"/>
          <w:noProof/>
          <w:sz w:val="24"/>
          <w:szCs w:val="24"/>
        </w:rPr>
        <w:drawing>
          <wp:inline distT="0" distB="0" distL="0" distR="0" wp14:anchorId="19B6144A" wp14:editId="79352655">
            <wp:extent cx="2865755" cy="2143554"/>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1" cstate="print"/>
                    <a:stretch>
                      <a:fillRect/>
                    </a:stretch>
                  </pic:blipFill>
                  <pic:spPr>
                    <a:xfrm>
                      <a:off x="0" y="0"/>
                      <a:ext cx="2865755" cy="2143554"/>
                    </a:xfrm>
                    <a:prstGeom prst="rect">
                      <a:avLst/>
                    </a:prstGeom>
                  </pic:spPr>
                </pic:pic>
              </a:graphicData>
            </a:graphic>
          </wp:inline>
        </w:drawing>
      </w:r>
    </w:p>
    <w:p w14:paraId="4144140A" w14:textId="77777777" w:rsidR="00AC6E61" w:rsidRPr="00AB542F" w:rsidRDefault="00000000" w:rsidP="00AB542F">
      <w:pPr>
        <w:pStyle w:val="Caption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fldChar w:fldCharType="begin"/>
      </w:r>
      <w:r w:rsidRPr="00AB542F">
        <w:rPr>
          <w:rFonts w:ascii="Times New Roman" w:hAnsi="Times New Roman" w:cs="Times New Roman"/>
          <w:sz w:val="24"/>
          <w:szCs w:val="24"/>
        </w:rPr>
        <w:instrText xml:space="preserve"> SEQ Figure \*ARABIC </w:instrText>
      </w:r>
      <w:r w:rsidRPr="00AB542F">
        <w:rPr>
          <w:rFonts w:ascii="Times New Roman" w:hAnsi="Times New Roman" w:cs="Times New Roman"/>
          <w:sz w:val="24"/>
          <w:szCs w:val="24"/>
        </w:rPr>
        <w:fldChar w:fldCharType="separate"/>
      </w:r>
      <w:r w:rsidRPr="00AB542F">
        <w:rPr>
          <w:rFonts w:ascii="Times New Roman" w:hAnsi="Times New Roman" w:cs="Times New Roman"/>
          <w:sz w:val="24"/>
          <w:szCs w:val="24"/>
        </w:rPr>
        <w:t>1</w:t>
      </w:r>
      <w:r w:rsidRPr="00AB542F">
        <w:rPr>
          <w:rFonts w:ascii="Times New Roman" w:hAnsi="Times New Roman" w:cs="Times New Roman"/>
          <w:sz w:val="24"/>
          <w:szCs w:val="24"/>
        </w:rPr>
        <w:fldChar w:fldCharType="end"/>
      </w:r>
      <w:r w:rsidRPr="00AB542F">
        <w:rPr>
          <w:rFonts w:ascii="Times New Roman" w:hAnsi="Times New Roman" w:cs="Times New Roman"/>
          <w:sz w:val="24"/>
          <w:szCs w:val="24"/>
        </w:rPr>
        <w:t xml:space="preserve"> - </w:t>
      </w:r>
      <w:hyperlink r:id="rId12">
        <w:r w:rsidRPr="00AB542F">
          <w:rPr>
            <w:rStyle w:val="SwayHyperlink"/>
            <w:rFonts w:ascii="Times New Roman" w:hAnsi="Times New Roman" w:cs="Times New Roman"/>
            <w:sz w:val="24"/>
            <w:szCs w:val="24"/>
          </w:rPr>
          <w:t>https://youtu.be/f1gZORvScpY</w:t>
        </w:r>
      </w:hyperlink>
    </w:p>
    <w:p w14:paraId="6BC18A70" w14:textId="77777777" w:rsidR="00AC6E61" w:rsidRPr="00AB542F" w:rsidRDefault="00000000" w:rsidP="00AB542F">
      <w:pPr>
        <w:pStyle w:val="Caption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Hotflashhavoc.com/Movie-Clips,2018. (Accessed 03.02.2023).</w:t>
      </w:r>
    </w:p>
    <w:p w14:paraId="7AE8DD79" w14:textId="77777777" w:rsidR="00AC6E61" w:rsidRPr="00AB542F" w:rsidRDefault="00000000" w:rsidP="00AB542F">
      <w:pPr>
        <w:spacing w:line="360" w:lineRule="auto"/>
        <w:jc w:val="both"/>
        <w:rPr>
          <w:rFonts w:ascii="Times New Roman" w:hAnsi="Times New Roman" w:cs="Times New Roman"/>
          <w:sz w:val="24"/>
          <w:szCs w:val="24"/>
        </w:rPr>
      </w:pPr>
      <w:r w:rsidRPr="00AB542F">
        <w:rPr>
          <w:rFonts w:ascii="Times New Roman" w:hAnsi="Times New Roman" w:cs="Times New Roman"/>
          <w:noProof/>
          <w:sz w:val="24"/>
          <w:szCs w:val="24"/>
        </w:rPr>
        <w:drawing>
          <wp:inline distT="0" distB="0" distL="0" distR="0" wp14:anchorId="070C87B7" wp14:editId="06BF1C46">
            <wp:extent cx="2865755" cy="1938516"/>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865755" cy="1938516"/>
                    </a:xfrm>
                    <a:prstGeom prst="rect">
                      <a:avLst/>
                    </a:prstGeom>
                  </pic:spPr>
                </pic:pic>
              </a:graphicData>
            </a:graphic>
          </wp:inline>
        </w:drawing>
      </w:r>
    </w:p>
    <w:p w14:paraId="528575A6" w14:textId="77777777" w:rsidR="00AC6E61" w:rsidRPr="00AB542F" w:rsidRDefault="00000000" w:rsidP="00AB542F">
      <w:pPr>
        <w:pStyle w:val="Caption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fldChar w:fldCharType="begin"/>
      </w:r>
      <w:r w:rsidRPr="00AB542F">
        <w:rPr>
          <w:rFonts w:ascii="Times New Roman" w:hAnsi="Times New Roman" w:cs="Times New Roman"/>
          <w:sz w:val="24"/>
          <w:szCs w:val="24"/>
        </w:rPr>
        <w:instrText xml:space="preserve"> SEQ Figure \*ARABIC </w:instrText>
      </w:r>
      <w:r w:rsidRPr="00AB542F">
        <w:rPr>
          <w:rFonts w:ascii="Times New Roman" w:hAnsi="Times New Roman" w:cs="Times New Roman"/>
          <w:sz w:val="24"/>
          <w:szCs w:val="24"/>
        </w:rPr>
        <w:fldChar w:fldCharType="separate"/>
      </w:r>
      <w:r w:rsidRPr="00AB542F">
        <w:rPr>
          <w:rFonts w:ascii="Times New Roman" w:hAnsi="Times New Roman" w:cs="Times New Roman"/>
          <w:sz w:val="24"/>
          <w:szCs w:val="24"/>
        </w:rPr>
        <w:t>2</w:t>
      </w:r>
      <w:r w:rsidRPr="00AB542F">
        <w:rPr>
          <w:rFonts w:ascii="Times New Roman" w:hAnsi="Times New Roman" w:cs="Times New Roman"/>
          <w:sz w:val="24"/>
          <w:szCs w:val="24"/>
        </w:rPr>
        <w:fldChar w:fldCharType="end"/>
      </w:r>
      <w:r w:rsidRPr="00AB542F">
        <w:rPr>
          <w:rFonts w:ascii="Times New Roman" w:hAnsi="Times New Roman" w:cs="Times New Roman"/>
          <w:sz w:val="24"/>
          <w:szCs w:val="24"/>
        </w:rPr>
        <w:t xml:space="preserve"> - flickr.com/photos/30478819@N08/48558134377,2023. (Accessed 03.02.2023).</w:t>
      </w:r>
    </w:p>
    <w:p w14:paraId="64FF4389" w14:textId="77777777" w:rsidR="00AC6E61" w:rsidRPr="00AB542F" w:rsidRDefault="00000000" w:rsidP="00AB542F">
      <w:pPr>
        <w:pStyle w:val="Normal1"/>
        <w:spacing w:line="360" w:lineRule="auto"/>
        <w:jc w:val="both"/>
        <w:rPr>
          <w:rFonts w:ascii="Times New Roman" w:hAnsi="Times New Roman" w:cs="Times New Roman"/>
          <w:sz w:val="24"/>
          <w:szCs w:val="24"/>
        </w:rPr>
      </w:pPr>
      <w:hyperlink r:id="rId14">
        <w:r w:rsidRPr="00AB542F">
          <w:rPr>
            <w:rStyle w:val="SwayHyperlink"/>
            <w:rFonts w:ascii="Times New Roman" w:hAnsi="Times New Roman" w:cs="Times New Roman"/>
            <w:sz w:val="24"/>
            <w:szCs w:val="24"/>
          </w:rPr>
          <w:t>https://www.bigissue.com/life/health/menopause-activist-teams-up-with-big-issue-to-give-sellers-crucial-advice/2023</w:t>
        </w:r>
      </w:hyperlink>
      <w:r w:rsidRPr="00AB542F">
        <w:rPr>
          <w:rFonts w:ascii="Times New Roman" w:hAnsi="Times New Roman" w:cs="Times New Roman"/>
          <w:sz w:val="24"/>
          <w:szCs w:val="24"/>
        </w:rPr>
        <w:t>. (Accessed 03.02.2023).</w:t>
      </w:r>
    </w:p>
    <w:p w14:paraId="2FCEBDA1"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 xml:space="preserve">This movement has been developed to improve barriers to equity within society regarding the menopause and to spread the word in Westminster to support the women’s health commission. This campaign has support from politicians, trade unions, hospital trusts, celebrities, doctors </w:t>
      </w:r>
      <w:r w:rsidRPr="00AB542F">
        <w:rPr>
          <w:rFonts w:ascii="Times New Roman" w:hAnsi="Times New Roman" w:cs="Times New Roman"/>
          <w:sz w:val="24"/>
          <w:szCs w:val="24"/>
        </w:rPr>
        <w:lastRenderedPageBreak/>
        <w:t>and the media and from women and men all over the world. The barriers facing menopausal women include untrained doctors where menopause is concerned an alarmingly significant number of G.P’s don’t have sufficient training surrounding this subject which produces an inconsistent service with regards to women’s healthcare (Pulse today.co.uk, 2023). One specialist in Women’s health Doctor Nighat Arif said that ‘In her evidence there was misogyny within medicine when it comes to women’s health which led to the normalisation of women’s pain and menopause symptoms’ (Publications.parliament.uk,2022). Women have resorted to self diagnosing and finding information online and educating doctors on the subject. Last year the newly founded Women and Equalities Commission recommended that doctors should have mandatory training on the menopause and that at least one member of staff should have specialist training on the subject (Committees.Parliament.uk, 2023) This has been denied by the government along with four other recommendations that the committee has made citing that it was not necessary and that GP’s have ongoing training as it is part of their ongoing development to undertake training upon the menopause (Pulse today.co.uk, 2023). This does not resonate with most women when they go to the G.P for advice and are turned away still bewildered and confused and struggling to get adequate diagnosis and treatment with doctors still hesitant to prescribe hormone replacement therapy . However, this is becoming easier to self diagnose due to the vast array of information now available online. Women still struggle to access hormone replacement therapy and GP’s often seem confused about how to deliver this treatment (Mahase, 2019). </w:t>
      </w:r>
    </w:p>
    <w:p w14:paraId="294DA1AE" w14:textId="77777777" w:rsidR="00AC6E61" w:rsidRPr="00AB542F" w:rsidRDefault="00000000" w:rsidP="00AB542F">
      <w:pPr>
        <w:spacing w:line="360" w:lineRule="auto"/>
        <w:jc w:val="both"/>
        <w:rPr>
          <w:rFonts w:ascii="Times New Roman" w:hAnsi="Times New Roman" w:cs="Times New Roman"/>
          <w:sz w:val="24"/>
          <w:szCs w:val="24"/>
        </w:rPr>
      </w:pPr>
      <w:r w:rsidRPr="00AB542F">
        <w:rPr>
          <w:rFonts w:ascii="Times New Roman" w:hAnsi="Times New Roman" w:cs="Times New Roman"/>
          <w:noProof/>
          <w:sz w:val="24"/>
          <w:szCs w:val="24"/>
        </w:rPr>
        <w:drawing>
          <wp:inline distT="0" distB="0" distL="0" distR="0" wp14:anchorId="6CAC6405" wp14:editId="2C8615AB">
            <wp:extent cx="2865755" cy="2003162"/>
            <wp:effectExtent l="0" t="0" r="0" b="0"/>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5" cstate="print"/>
                    <a:stretch>
                      <a:fillRect/>
                    </a:stretch>
                  </pic:blipFill>
                  <pic:spPr>
                    <a:xfrm>
                      <a:off x="0" y="0"/>
                      <a:ext cx="2865755" cy="2003162"/>
                    </a:xfrm>
                    <a:prstGeom prst="rect">
                      <a:avLst/>
                    </a:prstGeom>
                  </pic:spPr>
                </pic:pic>
              </a:graphicData>
            </a:graphic>
          </wp:inline>
        </w:drawing>
      </w:r>
    </w:p>
    <w:p w14:paraId="22406209" w14:textId="77777777" w:rsidR="00AC6E61" w:rsidRPr="00AB542F" w:rsidRDefault="00000000" w:rsidP="00AB542F">
      <w:pPr>
        <w:pStyle w:val="Caption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fldChar w:fldCharType="begin"/>
      </w:r>
      <w:r w:rsidRPr="00AB542F">
        <w:rPr>
          <w:rFonts w:ascii="Times New Roman" w:hAnsi="Times New Roman" w:cs="Times New Roman"/>
          <w:sz w:val="24"/>
          <w:szCs w:val="24"/>
        </w:rPr>
        <w:instrText xml:space="preserve"> SEQ Figure \*ARABIC </w:instrText>
      </w:r>
      <w:r w:rsidRPr="00AB542F">
        <w:rPr>
          <w:rFonts w:ascii="Times New Roman" w:hAnsi="Times New Roman" w:cs="Times New Roman"/>
          <w:sz w:val="24"/>
          <w:szCs w:val="24"/>
        </w:rPr>
        <w:fldChar w:fldCharType="separate"/>
      </w:r>
      <w:r w:rsidRPr="00AB542F">
        <w:rPr>
          <w:rFonts w:ascii="Times New Roman" w:hAnsi="Times New Roman" w:cs="Times New Roman"/>
          <w:sz w:val="24"/>
          <w:szCs w:val="24"/>
        </w:rPr>
        <w:t>3</w:t>
      </w:r>
      <w:r w:rsidRPr="00AB542F">
        <w:rPr>
          <w:rFonts w:ascii="Times New Roman" w:hAnsi="Times New Roman" w:cs="Times New Roman"/>
          <w:sz w:val="24"/>
          <w:szCs w:val="24"/>
        </w:rPr>
        <w:fldChar w:fldCharType="end"/>
      </w:r>
      <w:r w:rsidRPr="00AB542F">
        <w:rPr>
          <w:rFonts w:ascii="Times New Roman" w:hAnsi="Times New Roman" w:cs="Times New Roman"/>
          <w:sz w:val="24"/>
          <w:szCs w:val="24"/>
        </w:rPr>
        <w:t xml:space="preserve"> - Perfectlinens.com/pages/buying-guide,2023 (Accessed 03.02.2023).</w:t>
      </w:r>
    </w:p>
    <w:p w14:paraId="1AFDB43C" w14:textId="77777777" w:rsidR="00AC6E61" w:rsidRPr="00AB542F" w:rsidRDefault="00000000" w:rsidP="00AB542F">
      <w:pPr>
        <w:pStyle w:val="Normal1"/>
        <w:spacing w:line="360" w:lineRule="auto"/>
        <w:jc w:val="both"/>
        <w:rPr>
          <w:rFonts w:ascii="Times New Roman" w:hAnsi="Times New Roman" w:cs="Times New Roman"/>
          <w:sz w:val="24"/>
          <w:szCs w:val="24"/>
        </w:rPr>
      </w:pPr>
      <w:hyperlink r:id="rId16">
        <w:r w:rsidRPr="00AB542F">
          <w:rPr>
            <w:rStyle w:val="SwayHyperlink"/>
            <w:rFonts w:ascii="Times New Roman" w:hAnsi="Times New Roman" w:cs="Times New Roman"/>
            <w:sz w:val="24"/>
            <w:szCs w:val="24"/>
          </w:rPr>
          <w:t>https://www.50sense.net/pausitivity-at-parliament-how-we-helped-mps-to-knowyourmenopause/2023</w:t>
        </w:r>
      </w:hyperlink>
      <w:r w:rsidRPr="00AB542F">
        <w:rPr>
          <w:rFonts w:ascii="Times New Roman" w:hAnsi="Times New Roman" w:cs="Times New Roman"/>
          <w:sz w:val="24"/>
          <w:szCs w:val="24"/>
        </w:rPr>
        <w:t>. (Accessed 02.02.2023).</w:t>
      </w:r>
    </w:p>
    <w:p w14:paraId="11F827C8" w14:textId="77777777" w:rsidR="00AC6E61" w:rsidRPr="00AB542F" w:rsidRDefault="00000000" w:rsidP="00AB542F">
      <w:pPr>
        <w:pStyle w:val="Normal1"/>
        <w:spacing w:line="360" w:lineRule="auto"/>
        <w:jc w:val="both"/>
        <w:rPr>
          <w:rFonts w:ascii="Times New Roman" w:hAnsi="Times New Roman" w:cs="Times New Roman"/>
          <w:sz w:val="24"/>
          <w:szCs w:val="24"/>
        </w:rPr>
      </w:pPr>
      <w:hyperlink r:id="rId17" w:anchor=":~:text=The Report recommends that the,and building a supportive culture">
        <w:r w:rsidRPr="00AB542F">
          <w:rPr>
            <w:rStyle w:val="SwayHyperlink"/>
            <w:rFonts w:ascii="Times New Roman" w:hAnsi="Times New Roman" w:cs="Times New Roman"/>
            <w:sz w:val="24"/>
            <w:szCs w:val="24"/>
          </w:rPr>
          <w:t>https://www.menopausemandate.com/#:~:text=The%20Report%20recommends%20that%20the,and%20building%20a%20supportive%20culture</w:t>
        </w:r>
      </w:hyperlink>
      <w:r w:rsidRPr="00AB542F">
        <w:rPr>
          <w:rFonts w:ascii="Times New Roman" w:hAnsi="Times New Roman" w:cs="Times New Roman"/>
          <w:sz w:val="24"/>
          <w:szCs w:val="24"/>
        </w:rPr>
        <w:t>, 2023.(Accessed 03.02.2023).</w:t>
      </w:r>
    </w:p>
    <w:p w14:paraId="781AF028"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However, it is to become mandatory in England for all new G.Ps’ to have the training from 2024 under the first ever Women’s Health strategy which is a 10 year strategy which sets out to improve women’s health (Gov.Uk, 2022). Pausitivity also have workplace information on the website giving expert advice covering hormone replacement therapy, nutrition, lifestyle, tips on raising awareness of menopause in the workplace, mental health, exercise and how to discuss the menopause with a doctor (Pausitivity.co.uk/work-with-us, 2023). This is another important factor for menopausal women when trying to gain equality and avoid discrimination when trying to access basic support surrounding conditions within the workplace with many women taking time off or leaving work due to symptoms and an unsupportive workplace. A recent menopause and the workplace report and the largest study undertaken on the subject in Britain by the Fawcett society which involved 400 women between 45 and 55 found that one in ten women leave work due to problematic menopause symptoms (Fawcettsociety.org.uk, 2022). Work can be a challenging place for women struggling with symptoms as explained by Beck et al (2021) Atkinson et al (2021) and Steffan (2021). Difficulties include embarrassment due to hot flushes, tiredness, loss of confidence, depression, unsympathetic colleagues and managers, poor concentration, poor memory, brain fog, stressful workloads and lack of flexible working hours (womens-health-concern.org, 2023). This is a big concern for the government as women over 50 are the fastest growing demographic in the workplace due to an aging society (Peoplemanagement.co.uk,2022). </w:t>
      </w:r>
    </w:p>
    <w:p w14:paraId="3C7C19D4" w14:textId="77777777" w:rsidR="00AC6E61" w:rsidRPr="00AB542F" w:rsidRDefault="00000000" w:rsidP="00AB542F">
      <w:pPr>
        <w:spacing w:line="360" w:lineRule="auto"/>
        <w:jc w:val="both"/>
        <w:rPr>
          <w:rFonts w:ascii="Times New Roman" w:hAnsi="Times New Roman" w:cs="Times New Roman"/>
          <w:sz w:val="24"/>
          <w:szCs w:val="24"/>
        </w:rPr>
      </w:pPr>
      <w:r w:rsidRPr="00AB542F">
        <w:rPr>
          <w:rFonts w:ascii="Times New Roman" w:hAnsi="Times New Roman" w:cs="Times New Roman"/>
          <w:noProof/>
          <w:sz w:val="24"/>
          <w:szCs w:val="24"/>
        </w:rPr>
        <w:drawing>
          <wp:inline distT="0" distB="0" distL="0" distR="0" wp14:anchorId="2EFA12B8" wp14:editId="4AACEF44">
            <wp:extent cx="2865755" cy="1611987"/>
            <wp:effectExtent l="0" t="0" r="0" b="0"/>
            <wp:docPr id="5" name="Picture5">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9" cstate="print">
                      <a:extLst>
                        <a:ext uri="{C809E66F-F1BF-436E-b5F7-EEA9579F0CBA}">
                          <wp15:webVideoPr xmlns:wp15="http://schemas.microsoft.com/office/word/2012/wordprocessingDrawing" embeddedHtml="&lt;iframe type='text/html' width='1280' height='720' src='https://www.youtube.com/embed/JKfCXMOBpjU?autoplay=1&amp;rel=0' frameborder='0'&gt;&lt;/iframe&gt;" h="720" w="1280"/>
                        </a:ext>
                      </a:extLst>
                    </a:blip>
                    <a:stretch>
                      <a:fillRect/>
                    </a:stretch>
                  </pic:blipFill>
                  <pic:spPr>
                    <a:xfrm>
                      <a:off x="0" y="0"/>
                      <a:ext cx="2865755" cy="1611987"/>
                    </a:xfrm>
                    <a:prstGeom prst="rect">
                      <a:avLst/>
                    </a:prstGeom>
                  </pic:spPr>
                </pic:pic>
              </a:graphicData>
            </a:graphic>
          </wp:inline>
        </w:drawing>
      </w:r>
    </w:p>
    <w:p w14:paraId="7FF7B80C" w14:textId="77777777" w:rsidR="00AC6E61" w:rsidRPr="00AB542F" w:rsidRDefault="00000000" w:rsidP="00AB542F">
      <w:pPr>
        <w:pStyle w:val="Caption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fldChar w:fldCharType="begin"/>
      </w:r>
      <w:r w:rsidRPr="00AB542F">
        <w:rPr>
          <w:rFonts w:ascii="Times New Roman" w:hAnsi="Times New Roman" w:cs="Times New Roman"/>
          <w:sz w:val="24"/>
          <w:szCs w:val="24"/>
        </w:rPr>
        <w:instrText xml:space="preserve"> SEQ Figure \*ARABIC </w:instrText>
      </w:r>
      <w:r w:rsidRPr="00AB542F">
        <w:rPr>
          <w:rFonts w:ascii="Times New Roman" w:hAnsi="Times New Roman" w:cs="Times New Roman"/>
          <w:sz w:val="24"/>
          <w:szCs w:val="24"/>
        </w:rPr>
        <w:fldChar w:fldCharType="separate"/>
      </w:r>
      <w:r w:rsidRPr="00AB542F">
        <w:rPr>
          <w:rFonts w:ascii="Times New Roman" w:hAnsi="Times New Roman" w:cs="Times New Roman"/>
          <w:sz w:val="24"/>
          <w:szCs w:val="24"/>
        </w:rPr>
        <w:t>4</w:t>
      </w:r>
      <w:r w:rsidRPr="00AB542F">
        <w:rPr>
          <w:rFonts w:ascii="Times New Roman" w:hAnsi="Times New Roman" w:cs="Times New Roman"/>
          <w:sz w:val="24"/>
          <w:szCs w:val="24"/>
        </w:rPr>
        <w:fldChar w:fldCharType="end"/>
      </w:r>
      <w:r w:rsidRPr="00AB542F">
        <w:rPr>
          <w:rFonts w:ascii="Times New Roman" w:hAnsi="Times New Roman" w:cs="Times New Roman"/>
          <w:sz w:val="24"/>
          <w:szCs w:val="24"/>
        </w:rPr>
        <w:t xml:space="preserve"> - </w:t>
      </w:r>
      <w:hyperlink r:id="rId20">
        <w:r w:rsidRPr="00AB542F">
          <w:rPr>
            <w:rStyle w:val="SwayHyperlink"/>
            <w:rFonts w:ascii="Times New Roman" w:hAnsi="Times New Roman" w:cs="Times New Roman"/>
            <w:sz w:val="24"/>
            <w:szCs w:val="24"/>
          </w:rPr>
          <w:t>https://www.youtube.com/watch?v=JKfCXMOBpjU,2022</w:t>
        </w:r>
      </w:hyperlink>
      <w:r w:rsidRPr="00AB542F">
        <w:rPr>
          <w:rFonts w:ascii="Times New Roman" w:hAnsi="Times New Roman" w:cs="Times New Roman"/>
          <w:sz w:val="24"/>
          <w:szCs w:val="24"/>
        </w:rPr>
        <w:t>. (Accessed 03.02.2023).</w:t>
      </w:r>
    </w:p>
    <w:p w14:paraId="45E59CDA" w14:textId="4822A231"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 xml:space="preserve">Much can be improved to accommodate and support women at work. Simple changes that can benefit are normalising conversation surrounding the menopause, air conditioning or cooler work environments, flexible working hours, hybrid working, cold drinking water, a quiet space </w:t>
      </w:r>
      <w:r w:rsidRPr="00AB542F">
        <w:rPr>
          <w:rFonts w:ascii="Times New Roman" w:hAnsi="Times New Roman" w:cs="Times New Roman"/>
          <w:sz w:val="24"/>
          <w:szCs w:val="24"/>
        </w:rPr>
        <w:lastRenderedPageBreak/>
        <w:t>to go when feeling overwhelmed or suffering hot flushes, comfortable, light and loose fitting work attire, access to fresh air, adequate breaks, menopause leave, information and training for employees and managers and a menopause champion within the workplace, (Nhs.inform,2023). Menopause policy is not a legal requirement within workplaces however, many companies are implementing a standard policy to address inequality and to support equity and diversity. This supports good working practices and addresses underlying stigmas. Unfortunately the government have rejected five of the recommendations by the Menopause and the workplace report produced by the Women and Equalities commission (Publications.Parliament.Uk. 2022). According to Menopausemandate.com (2023) those rejections include menopause leave within the workplace, model menopause policies to support employers to give advice on flexible working and menopause sick leave and provisions for training, education and building a supportive culture and one being that the menopause should be a protected characteristic in the Equalities Act (2010).</w:t>
      </w:r>
      <w:r w:rsidR="00BC009D">
        <w:rPr>
          <w:rFonts w:ascii="Times New Roman" w:hAnsi="Times New Roman" w:cs="Times New Roman"/>
          <w:sz w:val="24"/>
          <w:szCs w:val="24"/>
        </w:rPr>
        <w:t xml:space="preserve"> </w:t>
      </w:r>
      <w:r w:rsidRPr="00AB542F">
        <w:rPr>
          <w:rFonts w:ascii="Times New Roman" w:hAnsi="Times New Roman" w:cs="Times New Roman"/>
          <w:sz w:val="24"/>
          <w:szCs w:val="24"/>
        </w:rPr>
        <w:t xml:space="preserve">Pausitivity has recently been teaming up with the Big Issue to discuss and educate minority groups and the disadvantaged about the topic of the menopause to give sellers crucial advise with regards to supporting and reaching out to the people in our communities. One of the founding members of the campaign group realised one day while walking that if she couldn’t access information and was unaware of her own psychological and physiological symptoms relating to the menopause even though she was a well educated woman, how could others who were more disadvantaged survive this torturous time. Many women in our society do not go to G.P surgeries. This led to a partnership between Pausitivity and The Big Issue foundation. A positive collaboration that spreads information to the wider public from the ground level ( Bigissue.com, 2023). There are still many difficulties  and barriers for people from marginalised groups to access information. Among those are illiterate groups, many in the gypsy and traveller communities, individuals who are computer illiterate, autistic women, homeless individuals, immigrant women and refugees, people who cant speak English and people from various cultures still don’t have access to information and have cultural barriers which makes it difficult to be able to access information (Reeves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2022; Jones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2019 and Lazar </w:t>
      </w:r>
      <w:r w:rsidRPr="00AB542F">
        <w:rPr>
          <w:rStyle w:val="Emphasis1"/>
          <w:rFonts w:ascii="Times New Roman" w:hAnsi="Times New Roman" w:cs="Times New Roman"/>
          <w:sz w:val="24"/>
          <w:szCs w:val="24"/>
        </w:rPr>
        <w:t>et al</w:t>
      </w:r>
      <w:r w:rsidRPr="00AB542F">
        <w:rPr>
          <w:rFonts w:ascii="Times New Roman" w:hAnsi="Times New Roman" w:cs="Times New Roman"/>
          <w:sz w:val="24"/>
          <w:szCs w:val="24"/>
        </w:rPr>
        <w:t xml:space="preserve">, 2019). Campaign groups like Pausitivity are vitally important to support women’s health and wellbeing. Campaigns support social change and are a way of spreading information to the population regarding specific ideologies seeking justice and inclusion within society. Campaigns are a way to connect and swap personal experiences on a topic that is passionate to the individual. Campaigns are an activity that individuals and groups perform to provide the changes that need to be achieved within society (Commonslibrary.org,2023). The theoretical perspective and </w:t>
      </w:r>
      <w:r w:rsidRPr="00AB542F">
        <w:rPr>
          <w:rFonts w:ascii="Times New Roman" w:hAnsi="Times New Roman" w:cs="Times New Roman"/>
          <w:sz w:val="24"/>
          <w:szCs w:val="24"/>
        </w:rPr>
        <w:lastRenderedPageBreak/>
        <w:t xml:space="preserve">approach used within this campaign comes from a feminist constructivist approach which understands that gender is a social construction which encounters the power and imbalance created within a male dominated society seeking change and acknowledgement when faced with gender intersectionality and bias and power imbalances affecting our society (Lombardo and Kantola, 2021). Gender inequality has been relevant in feminism historically and is central to the movement to create change within society specifically where gender imbalance is concerned. Mohajan (2022) acknowledges that women have been oppressed by men historically in our patriarchal society and the power imbalance is still dominant today and endeavours to restore balance and respect on equal levels and strives to achieve equality in all aspects of society. In conclusion what began with one lady sitting in a doctors surgery has transpired into a full scale campaign supported by thousands. There are many campaigns in recent years all striving for the same goal in reaching equality between the sexes and much progress has been made in establishing a more equal society, however there is still more to be done to achieve the goal within government and industries through the world. Empowering women and men throughout the UK and further to understand the wider implications of the menopause and how it affects women in every part of their being. The power of inclusion and understanding reaches beyond societies social norms and seeks to find positive change for women. The menopause has been a taboo subject for women for too long and as societies are becoming more inclusive and diverse the implications surrounding the subject are empowering women to take control of the situation and support each other throughout this stage of life. There is a generational shift in the discussion surrounding the menopause and its implications surrounding inequality and gender power norms. In an aging society it is important that women lead the revolution in changing perspectives surrounding this topic. </w:t>
      </w:r>
    </w:p>
    <w:p w14:paraId="715069EF" w14:textId="77777777" w:rsidR="00AB542F"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 xml:space="preserve">                                                </w:t>
      </w:r>
    </w:p>
    <w:p w14:paraId="63808A04" w14:textId="77777777" w:rsidR="00AB542F" w:rsidRPr="00AB542F" w:rsidRDefault="00AB542F" w:rsidP="00AB542F">
      <w:pPr>
        <w:pStyle w:val="Normal1"/>
        <w:spacing w:line="360" w:lineRule="auto"/>
        <w:jc w:val="both"/>
        <w:rPr>
          <w:rFonts w:ascii="Times New Roman" w:hAnsi="Times New Roman" w:cs="Times New Roman"/>
          <w:sz w:val="24"/>
          <w:szCs w:val="24"/>
        </w:rPr>
      </w:pPr>
    </w:p>
    <w:p w14:paraId="6B6ABDF0" w14:textId="77777777" w:rsidR="00AB542F" w:rsidRPr="00AB542F" w:rsidRDefault="00AB542F" w:rsidP="00AB542F">
      <w:pPr>
        <w:pStyle w:val="Normal1"/>
        <w:spacing w:line="360" w:lineRule="auto"/>
        <w:jc w:val="both"/>
        <w:rPr>
          <w:rFonts w:ascii="Times New Roman" w:hAnsi="Times New Roman" w:cs="Times New Roman"/>
          <w:sz w:val="24"/>
          <w:szCs w:val="24"/>
        </w:rPr>
      </w:pPr>
    </w:p>
    <w:p w14:paraId="683A4A3F" w14:textId="77777777" w:rsidR="00AB542F" w:rsidRPr="00AB542F" w:rsidRDefault="00AB542F" w:rsidP="00AB542F">
      <w:pPr>
        <w:pStyle w:val="Normal1"/>
        <w:spacing w:line="360" w:lineRule="auto"/>
        <w:jc w:val="both"/>
        <w:rPr>
          <w:rFonts w:ascii="Times New Roman" w:hAnsi="Times New Roman" w:cs="Times New Roman"/>
          <w:sz w:val="24"/>
          <w:szCs w:val="24"/>
        </w:rPr>
      </w:pPr>
    </w:p>
    <w:p w14:paraId="5AAB734E" w14:textId="77777777" w:rsidR="00AB542F" w:rsidRPr="00AB542F" w:rsidRDefault="00AB542F" w:rsidP="00AB542F">
      <w:pPr>
        <w:pStyle w:val="Normal1"/>
        <w:spacing w:line="360" w:lineRule="auto"/>
        <w:jc w:val="both"/>
        <w:rPr>
          <w:rFonts w:ascii="Times New Roman" w:hAnsi="Times New Roman" w:cs="Times New Roman"/>
          <w:sz w:val="24"/>
          <w:szCs w:val="24"/>
        </w:rPr>
      </w:pPr>
    </w:p>
    <w:p w14:paraId="2834C613" w14:textId="77777777" w:rsidR="00AB542F" w:rsidRPr="00AB542F" w:rsidRDefault="00AB542F" w:rsidP="00AB542F">
      <w:pPr>
        <w:pStyle w:val="Normal1"/>
        <w:spacing w:line="360" w:lineRule="auto"/>
        <w:jc w:val="both"/>
        <w:rPr>
          <w:rFonts w:ascii="Times New Roman" w:hAnsi="Times New Roman" w:cs="Times New Roman"/>
          <w:sz w:val="24"/>
          <w:szCs w:val="24"/>
        </w:rPr>
      </w:pPr>
    </w:p>
    <w:p w14:paraId="7C52E9F6" w14:textId="77777777" w:rsidR="005E0E58" w:rsidRDefault="005E0E58" w:rsidP="00AB542F">
      <w:pPr>
        <w:pStyle w:val="Normal1"/>
        <w:spacing w:line="360" w:lineRule="auto"/>
        <w:jc w:val="both"/>
        <w:rPr>
          <w:rFonts w:ascii="Times New Roman" w:hAnsi="Times New Roman" w:cs="Times New Roman"/>
          <w:sz w:val="24"/>
          <w:szCs w:val="24"/>
        </w:rPr>
      </w:pPr>
    </w:p>
    <w:p w14:paraId="14BF21FA" w14:textId="19C7C46F" w:rsidR="00AC6E61" w:rsidRPr="00AB542F" w:rsidRDefault="005E0E58" w:rsidP="00AB542F">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AB542F" w:rsidRPr="00AB542F">
        <w:rPr>
          <w:rFonts w:ascii="Times New Roman" w:hAnsi="Times New Roman" w:cs="Times New Roman"/>
          <w:sz w:val="24"/>
          <w:szCs w:val="24"/>
        </w:rPr>
        <w:t xml:space="preserve"> </w:t>
      </w:r>
      <w:r w:rsidR="00F66747">
        <w:rPr>
          <w:rFonts w:ascii="Times New Roman" w:hAnsi="Times New Roman" w:cs="Times New Roman"/>
          <w:sz w:val="24"/>
          <w:szCs w:val="24"/>
        </w:rPr>
        <w:t xml:space="preserve">      </w:t>
      </w:r>
      <w:r w:rsidR="00AB542F" w:rsidRPr="00AB542F">
        <w:rPr>
          <w:rFonts w:ascii="Times New Roman" w:hAnsi="Times New Roman" w:cs="Times New Roman"/>
          <w:sz w:val="24"/>
          <w:szCs w:val="24"/>
        </w:rPr>
        <w:t xml:space="preserve">   References </w:t>
      </w:r>
    </w:p>
    <w:p w14:paraId="038731F1"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50sense.net/pausitivity-at-parliament-how-we-helped-mps-to-knowyourmenopause/2023. (Accessed 01.02.2023).</w:t>
      </w:r>
    </w:p>
    <w:p w14:paraId="74938DEA"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Mohajan, H., 2022. An Overview on the Feminism and Its Categories.</w:t>
      </w:r>
    </w:p>
    <w:p w14:paraId="5BB84005"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Atkinson, C., Beck, V., Brewis, J., Davies, A. and Duberley, J., 2021. Menopause and the workplace: New directions in HRM research and HR practice. </w:t>
      </w:r>
      <w:r w:rsidRPr="00AB542F">
        <w:rPr>
          <w:rStyle w:val="Emphasis1"/>
          <w:rFonts w:ascii="Times New Roman" w:hAnsi="Times New Roman" w:cs="Times New Roman"/>
          <w:sz w:val="24"/>
          <w:szCs w:val="24"/>
        </w:rPr>
        <w:t>Human Resource Management Journal</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31</w:t>
      </w:r>
      <w:r w:rsidRPr="00AB542F">
        <w:rPr>
          <w:rFonts w:ascii="Times New Roman" w:hAnsi="Times New Roman" w:cs="Times New Roman"/>
          <w:sz w:val="24"/>
          <w:szCs w:val="24"/>
        </w:rPr>
        <w:t>(1), pp.49-64.</w:t>
      </w:r>
    </w:p>
    <w:p w14:paraId="467CDCF4"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Atkinson, C., Carmichael, F. and Duberley, J., 2021. The menopause taboo at work: Examining women’s embodied experiences of menopause in the UK police service. </w:t>
      </w:r>
      <w:r w:rsidRPr="00AB542F">
        <w:rPr>
          <w:rStyle w:val="Emphasis1"/>
          <w:rFonts w:ascii="Times New Roman" w:hAnsi="Times New Roman" w:cs="Times New Roman"/>
          <w:sz w:val="24"/>
          <w:szCs w:val="24"/>
        </w:rPr>
        <w:t>Work, Employment and Society</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35</w:t>
      </w:r>
      <w:r w:rsidRPr="00AB542F">
        <w:rPr>
          <w:rFonts w:ascii="Times New Roman" w:hAnsi="Times New Roman" w:cs="Times New Roman"/>
          <w:sz w:val="24"/>
          <w:szCs w:val="24"/>
        </w:rPr>
        <w:t>(4), pp.657-676.</w:t>
      </w:r>
    </w:p>
    <w:p w14:paraId="3F354E03"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Beck, V., Brewis, J. and Davies, A., 2020. The remains of the taboo: experiences, attitudes, and knowledge about menopause in the workplace. </w:t>
      </w:r>
      <w:r w:rsidRPr="00AB542F">
        <w:rPr>
          <w:rStyle w:val="Emphasis1"/>
          <w:rFonts w:ascii="Times New Roman" w:hAnsi="Times New Roman" w:cs="Times New Roman"/>
          <w:sz w:val="24"/>
          <w:szCs w:val="24"/>
        </w:rPr>
        <w:t>Climacteric</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23</w:t>
      </w:r>
      <w:r w:rsidRPr="00AB542F">
        <w:rPr>
          <w:rFonts w:ascii="Times New Roman" w:hAnsi="Times New Roman" w:cs="Times New Roman"/>
          <w:sz w:val="24"/>
          <w:szCs w:val="24"/>
        </w:rPr>
        <w:t>(2), pp.158-164.</w:t>
      </w:r>
    </w:p>
    <w:p w14:paraId="7AFEACF7"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Beck, V., Brewis, J. and Davies, A., 2021. Women’s experiences of menopause at work and performance management. </w:t>
      </w:r>
      <w:r w:rsidRPr="00AB542F">
        <w:rPr>
          <w:rStyle w:val="Emphasis1"/>
          <w:rFonts w:ascii="Times New Roman" w:hAnsi="Times New Roman" w:cs="Times New Roman"/>
          <w:sz w:val="24"/>
          <w:szCs w:val="24"/>
        </w:rPr>
        <w:t>Organization</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28</w:t>
      </w:r>
      <w:r w:rsidRPr="00AB542F">
        <w:rPr>
          <w:rFonts w:ascii="Times New Roman" w:hAnsi="Times New Roman" w:cs="Times New Roman"/>
          <w:sz w:val="24"/>
          <w:szCs w:val="24"/>
        </w:rPr>
        <w:t>(3), pp.510-520.</w:t>
      </w:r>
    </w:p>
    <w:p w14:paraId="173E84CE"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Bigissue.com/life/health/menopause-activist-teams-up-with-big-issue-to-give-sellers-crucial-advice.2023. (Accessed 02.02.2023).</w:t>
      </w:r>
    </w:p>
    <w:p w14:paraId="54799D17"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Committees.parliament.uk/committee/328/women-and-equalities-committee/2023.(Accessed 02.02.2023)</w:t>
      </w:r>
    </w:p>
    <w:p w14:paraId="588C556B"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Commonslibrary.org/campaigning-for-social-change-beyond-just-protesting-for-it/#:~:text=Campaigns,2023. (Accessed 02.02.2023).</w:t>
      </w:r>
    </w:p>
    <w:p w14:paraId="1AB5D073"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Dillaway, H., 2020. Living in Uncertain Times: Experiences of Menopause and Reproductive Aging. </w:t>
      </w:r>
      <w:r w:rsidRPr="00AB542F">
        <w:rPr>
          <w:rStyle w:val="Emphasis1"/>
          <w:rFonts w:ascii="Times New Roman" w:hAnsi="Times New Roman" w:cs="Times New Roman"/>
          <w:sz w:val="24"/>
          <w:szCs w:val="24"/>
        </w:rPr>
        <w:t>The Palgrave Handbook of Critical Menstruation Studies</w:t>
      </w:r>
      <w:r w:rsidRPr="00AB542F">
        <w:rPr>
          <w:rFonts w:ascii="Times New Roman" w:hAnsi="Times New Roman" w:cs="Times New Roman"/>
          <w:sz w:val="24"/>
          <w:szCs w:val="24"/>
        </w:rPr>
        <w:t>, pp.253-268.</w:t>
      </w:r>
    </w:p>
    <w:p w14:paraId="4C0A98CE"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Duffy, O., Iversen, L. and Hannaford, P.C., 2011. The menopause ‘It's somewhere between a taboo and a joke’. A focus group study. </w:t>
      </w:r>
      <w:r w:rsidRPr="00AB542F">
        <w:rPr>
          <w:rStyle w:val="Emphasis1"/>
          <w:rFonts w:ascii="Times New Roman" w:hAnsi="Times New Roman" w:cs="Times New Roman"/>
          <w:sz w:val="24"/>
          <w:szCs w:val="24"/>
        </w:rPr>
        <w:t>Climacteric</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14</w:t>
      </w:r>
      <w:r w:rsidRPr="00AB542F">
        <w:rPr>
          <w:rFonts w:ascii="Times New Roman" w:hAnsi="Times New Roman" w:cs="Times New Roman"/>
          <w:sz w:val="24"/>
          <w:szCs w:val="24"/>
        </w:rPr>
        <w:t>(4), pp.497-505.</w:t>
      </w:r>
    </w:p>
    <w:p w14:paraId="4D94E62F"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Fawcettsociety.org.uk/menopauseandtheworkplace, 2022.( Accessed 02.02.2023).</w:t>
      </w:r>
    </w:p>
    <w:p w14:paraId="644F80A0"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Flickr.com/photos/182229932@N07/48612612772. (Accessed 29.12.2023).</w:t>
      </w:r>
    </w:p>
    <w:p w14:paraId="59065503"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Fflickr.com/photos/30478819@N08/48558134377,2023. (Accessed 03.02.2023).</w:t>
      </w:r>
    </w:p>
    <w:p w14:paraId="62F83A97"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lastRenderedPageBreak/>
        <w:t>Gov.uk/government/publications/womens-health-strategy-for-england/womens-health-strategy-for-england,2022.(Accessed 02.02.2023).</w:t>
      </w:r>
    </w:p>
    <w:p w14:paraId="67EC9F46"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Grandey, A.A., Gabriel, A.S. and King, E.B., 2020. Tackling taboo topics: A review of the three M s in working women’s lives. </w:t>
      </w:r>
      <w:r w:rsidRPr="00AB542F">
        <w:rPr>
          <w:rStyle w:val="Emphasis1"/>
          <w:rFonts w:ascii="Times New Roman" w:hAnsi="Times New Roman" w:cs="Times New Roman"/>
          <w:sz w:val="24"/>
          <w:szCs w:val="24"/>
        </w:rPr>
        <w:t>Journal of Management</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46</w:t>
      </w:r>
      <w:r w:rsidRPr="00AB542F">
        <w:rPr>
          <w:rFonts w:ascii="Times New Roman" w:hAnsi="Times New Roman" w:cs="Times New Roman"/>
          <w:sz w:val="24"/>
          <w:szCs w:val="24"/>
        </w:rPr>
        <w:t>(1), pp.7-35.</w:t>
      </w:r>
    </w:p>
    <w:p w14:paraId="7BA73A43"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Harper, J.C., Phillips, S., Biswakarma, R., Yasmin, E., Saridogan, E., Radhakrishnan, S., C Davies, M. and Talaulikar, V., 2022. An online survey of perimenopausal women to determine their attitudes and knowledge of the menopause. </w:t>
      </w:r>
      <w:r w:rsidRPr="00AB542F">
        <w:rPr>
          <w:rStyle w:val="Emphasis1"/>
          <w:rFonts w:ascii="Times New Roman" w:hAnsi="Times New Roman" w:cs="Times New Roman"/>
          <w:sz w:val="24"/>
          <w:szCs w:val="24"/>
        </w:rPr>
        <w:t>Women's Health</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18</w:t>
      </w:r>
      <w:r w:rsidRPr="00AB542F">
        <w:rPr>
          <w:rFonts w:ascii="Times New Roman" w:hAnsi="Times New Roman" w:cs="Times New Roman"/>
          <w:sz w:val="24"/>
          <w:szCs w:val="24"/>
        </w:rPr>
        <w:t>, p.17455057221106890.</w:t>
      </w:r>
    </w:p>
    <w:p w14:paraId="59730384"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Hotflashhavoc.com/Movie-Clips,2018. https://youtu.be/f1gZORvScpY (Accessed 03.02.2023).</w:t>
      </w:r>
    </w:p>
    <w:p w14:paraId="2C5ABD70"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Jones, C., Slater, J., Cleasby, S., Kemp, G., Lisney, E. and Rennie, S., 2019. Pissed Off!: Disability activists fighting for toilet access in the UK. In </w:t>
      </w:r>
      <w:r w:rsidRPr="00AB542F">
        <w:rPr>
          <w:rStyle w:val="Emphasis1"/>
          <w:rFonts w:ascii="Times New Roman" w:hAnsi="Times New Roman" w:cs="Times New Roman"/>
          <w:sz w:val="24"/>
          <w:szCs w:val="24"/>
        </w:rPr>
        <w:t>The Routledge Handbook of Disability Activism</w:t>
      </w:r>
      <w:r w:rsidRPr="00AB542F">
        <w:rPr>
          <w:rFonts w:ascii="Times New Roman" w:hAnsi="Times New Roman" w:cs="Times New Roman"/>
          <w:sz w:val="24"/>
          <w:szCs w:val="24"/>
        </w:rPr>
        <w:t> (pp. 219-231). Routledge.</w:t>
      </w:r>
    </w:p>
    <w:p w14:paraId="30224D67"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Krajewski, S., 2019. Killer Whales and Killer Women: Exploring Menopause as a ‘Satellite Taboo’that Orbits Madness and Old Age. </w:t>
      </w:r>
      <w:r w:rsidRPr="00AB542F">
        <w:rPr>
          <w:rStyle w:val="Emphasis1"/>
          <w:rFonts w:ascii="Times New Roman" w:hAnsi="Times New Roman" w:cs="Times New Roman"/>
          <w:sz w:val="24"/>
          <w:szCs w:val="24"/>
        </w:rPr>
        <w:t>Sexuality &amp; Culture</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23</w:t>
      </w:r>
      <w:r w:rsidRPr="00AB542F">
        <w:rPr>
          <w:rFonts w:ascii="Times New Roman" w:hAnsi="Times New Roman" w:cs="Times New Roman"/>
          <w:sz w:val="24"/>
          <w:szCs w:val="24"/>
        </w:rPr>
        <w:t>(2), pp.605-620.</w:t>
      </w:r>
    </w:p>
    <w:p w14:paraId="2F00287C"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Lazar, A., Su, N.M., Bardzell, J. and Bardzell, S., 2019, May. Parting the Red Sea: sociotechnical systems and lived experiences of menopause. In </w:t>
      </w:r>
      <w:r w:rsidRPr="00AB542F">
        <w:rPr>
          <w:rStyle w:val="Emphasis1"/>
          <w:rFonts w:ascii="Times New Roman" w:hAnsi="Times New Roman" w:cs="Times New Roman"/>
          <w:sz w:val="24"/>
          <w:szCs w:val="24"/>
        </w:rPr>
        <w:t>Proceedings of the 2019 CHI conference on human factors in computing systems</w:t>
      </w:r>
      <w:r w:rsidRPr="00AB542F">
        <w:rPr>
          <w:rFonts w:ascii="Times New Roman" w:hAnsi="Times New Roman" w:cs="Times New Roman"/>
          <w:sz w:val="24"/>
          <w:szCs w:val="24"/>
        </w:rPr>
        <w:t> (pp. 1-16).</w:t>
      </w:r>
    </w:p>
    <w:p w14:paraId="341DDC23"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Löfqvist, H., 2022. Treatment with Female Hormones: Rise and Fall, Confusion and Comeback. In </w:t>
      </w:r>
      <w:r w:rsidRPr="00AB542F">
        <w:rPr>
          <w:rStyle w:val="Emphasis1"/>
          <w:rFonts w:ascii="Times New Roman" w:hAnsi="Times New Roman" w:cs="Times New Roman"/>
          <w:sz w:val="24"/>
          <w:szCs w:val="24"/>
        </w:rPr>
        <w:t>Modern Menopausal Hormone Treatment: Facts and Myths About Sex Hormones</w:t>
      </w:r>
      <w:r w:rsidRPr="00AB542F">
        <w:rPr>
          <w:rFonts w:ascii="Times New Roman" w:hAnsi="Times New Roman" w:cs="Times New Roman"/>
          <w:sz w:val="24"/>
          <w:szCs w:val="24"/>
        </w:rPr>
        <w:t> (pp. 47-53). Cham: Springer International Publishing.</w:t>
      </w:r>
    </w:p>
    <w:p w14:paraId="7893024E"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Lombardo, E. and Kantola, J., 2021. Social constructivism. In </w:t>
      </w:r>
      <w:r w:rsidRPr="00AB542F">
        <w:rPr>
          <w:rStyle w:val="Emphasis1"/>
          <w:rFonts w:ascii="Times New Roman" w:hAnsi="Times New Roman" w:cs="Times New Roman"/>
          <w:sz w:val="24"/>
          <w:szCs w:val="24"/>
        </w:rPr>
        <w:t>The Routledge handbook of gender and EU politics</w:t>
      </w:r>
      <w:r w:rsidRPr="00AB542F">
        <w:rPr>
          <w:rFonts w:ascii="Times New Roman" w:hAnsi="Times New Roman" w:cs="Times New Roman"/>
          <w:sz w:val="24"/>
          <w:szCs w:val="24"/>
        </w:rPr>
        <w:t> (pp. 43-55). Routledge.</w:t>
      </w:r>
    </w:p>
    <w:p w14:paraId="3ACC5123"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Mahase, E., 2019. HRT: GPs raise concern about “threatening and unprofessional” template letter for patients “refused” treatment. </w:t>
      </w:r>
      <w:r w:rsidRPr="00AB542F">
        <w:rPr>
          <w:rStyle w:val="Emphasis1"/>
          <w:rFonts w:ascii="Times New Roman" w:hAnsi="Times New Roman" w:cs="Times New Roman"/>
          <w:sz w:val="24"/>
          <w:szCs w:val="24"/>
        </w:rPr>
        <w:t>BMJ: British Medical Journal (Online)</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367</w:t>
      </w:r>
      <w:r w:rsidRPr="00AB542F">
        <w:rPr>
          <w:rFonts w:ascii="Times New Roman" w:hAnsi="Times New Roman" w:cs="Times New Roman"/>
          <w:sz w:val="24"/>
          <w:szCs w:val="24"/>
        </w:rPr>
        <w:t>.</w:t>
      </w:r>
    </w:p>
    <w:p w14:paraId="4B518DA5" w14:textId="37984355"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Menomartha.com/health-topic/menopause-in-multiply-languages/2023.(Accessed 01.02.2023).</w:t>
      </w:r>
    </w:p>
    <w:p w14:paraId="12B3DC4B"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Menopausemandate.com,2023 (Accessed 02.02.2023).</w:t>
      </w:r>
    </w:p>
    <w:p w14:paraId="1916EB8F"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lastRenderedPageBreak/>
        <w:t xml:space="preserve">Moseley, R.L., </w:t>
      </w:r>
      <w:proofErr w:type="spellStart"/>
      <w:r w:rsidRPr="00AB542F">
        <w:rPr>
          <w:rFonts w:ascii="Times New Roman" w:hAnsi="Times New Roman" w:cs="Times New Roman"/>
          <w:sz w:val="24"/>
          <w:szCs w:val="24"/>
        </w:rPr>
        <w:t>Druce</w:t>
      </w:r>
      <w:proofErr w:type="spellEnd"/>
      <w:r w:rsidRPr="00AB542F">
        <w:rPr>
          <w:rFonts w:ascii="Times New Roman" w:hAnsi="Times New Roman" w:cs="Times New Roman"/>
          <w:sz w:val="24"/>
          <w:szCs w:val="24"/>
        </w:rPr>
        <w:t>, T. and Turner‐Cobb, J.M., 2021. Autism research is ‘all about the blokes and the kids’: Autistic women breaking the silence on menopause. </w:t>
      </w:r>
      <w:r w:rsidRPr="00AB542F">
        <w:rPr>
          <w:rStyle w:val="Emphasis1"/>
          <w:rFonts w:ascii="Times New Roman" w:hAnsi="Times New Roman" w:cs="Times New Roman"/>
          <w:sz w:val="24"/>
          <w:szCs w:val="24"/>
        </w:rPr>
        <w:t>British Journal of Health Psychology</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26</w:t>
      </w:r>
      <w:r w:rsidRPr="00AB542F">
        <w:rPr>
          <w:rFonts w:ascii="Times New Roman" w:hAnsi="Times New Roman" w:cs="Times New Roman"/>
          <w:sz w:val="24"/>
          <w:szCs w:val="24"/>
        </w:rPr>
        <w:t>(3), pp.709-726.</w:t>
      </w:r>
    </w:p>
    <w:p w14:paraId="1F579D46"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Nhsinform.scot/healthy-living/womens-health/later-years-around-50-years-and-over/menopause-and-post-menopause-health/menopause-and-the-workplace, 2023.(Accessed 02.02.2023).</w:t>
      </w:r>
    </w:p>
    <w:p w14:paraId="7F39557A"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 xml:space="preserve">Pausitivity.co.uk, 2023. (Accessed 01.02.2023) </w:t>
      </w:r>
    </w:p>
    <w:p w14:paraId="55911B5C"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Pausitivity.co.uk/about-us/2023. ( Accessed 01.02.2023).</w:t>
      </w:r>
    </w:p>
    <w:p w14:paraId="3AD383F2"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Pausitivity.co.uk/media,2023. (Accessed 01.02.2023)</w:t>
      </w:r>
    </w:p>
    <w:p w14:paraId="5F79A77D"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Pausitivity.co.uk/menopause-support-packs/2023. (Assessed 01.02.2023).</w:t>
      </w:r>
    </w:p>
    <w:p w14:paraId="591B58AD"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Pausitivity.co.uk/poster-download/2023.(Accessed 03.02.2023).</w:t>
      </w:r>
    </w:p>
    <w:p w14:paraId="0925BEC4"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Pausitivity.co.uk/work-with-us/2023. (Accessed 01.02.2023).</w:t>
      </w:r>
    </w:p>
    <w:p w14:paraId="0814177C"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Peoplemanagement.co.uk/article/1754967/one-10-women-quit-job-menopause-symptoms-survey-reveals,2022.(Accessed 02.02.2023).</w:t>
      </w:r>
    </w:p>
    <w:p w14:paraId="05D59EF5"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Perfectlinens.com/pages/buying-guide,2023 (Accessed 03.02.2023).</w:t>
      </w:r>
    </w:p>
    <w:p w14:paraId="6F3FC53D"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Publications.parliament.uk/pa/cm5803/cmselect/cmwomeq/91/report.html.2022. (Accessed 02.02.2023).</w:t>
      </w:r>
    </w:p>
    <w:p w14:paraId="7C7EA3C0"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Publications.parliament.uk/pa/cm5803/cmselect/cmwomeq/91/report.html, 2022 (Accessed 02.02.2023).</w:t>
      </w:r>
    </w:p>
    <w:p w14:paraId="215D00DA"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Pulsetoday.co.uk/news/clinical-areas/womens-health/mandatory-menopause-training-for-gps-is-not-needed-says-government/2023.( Accessed 02.02.2023)</w:t>
      </w:r>
    </w:p>
    <w:p w14:paraId="07F667AB"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Reeves, A., Elliott, M., Karvonen-Gutierriez, C. and Harlow, S., 2022. SYSTEMATIC EXCLUSION AT STUDY COMMENCEMENT MASKS EARLIER MENOPAUSE FOR BLACK WOMEN IN THE STUDY OF WOMEN’S HEALTH ACROSS THE NATION (SWAN). </w:t>
      </w:r>
      <w:r w:rsidRPr="00AB542F">
        <w:rPr>
          <w:rStyle w:val="Emphasis1"/>
          <w:rFonts w:ascii="Times New Roman" w:hAnsi="Times New Roman" w:cs="Times New Roman"/>
          <w:sz w:val="24"/>
          <w:szCs w:val="24"/>
        </w:rPr>
        <w:t>Innovation in Aging</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6</w:t>
      </w:r>
      <w:r w:rsidRPr="00AB542F">
        <w:rPr>
          <w:rFonts w:ascii="Times New Roman" w:hAnsi="Times New Roman" w:cs="Times New Roman"/>
          <w:sz w:val="24"/>
          <w:szCs w:val="24"/>
        </w:rPr>
        <w:t>(Supplement_1), pp.482-483.</w:t>
      </w:r>
    </w:p>
    <w:p w14:paraId="12F3AEA4"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Steffan, B., 2021. Managing menopause at work: The contradictory nature of identity talk. </w:t>
      </w:r>
      <w:r w:rsidRPr="00AB542F">
        <w:rPr>
          <w:rStyle w:val="Emphasis1"/>
          <w:rFonts w:ascii="Times New Roman" w:hAnsi="Times New Roman" w:cs="Times New Roman"/>
          <w:sz w:val="24"/>
          <w:szCs w:val="24"/>
        </w:rPr>
        <w:t>Gender, Work &amp; Organization</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28</w:t>
      </w:r>
      <w:r w:rsidRPr="00AB542F">
        <w:rPr>
          <w:rFonts w:ascii="Times New Roman" w:hAnsi="Times New Roman" w:cs="Times New Roman"/>
          <w:sz w:val="24"/>
          <w:szCs w:val="24"/>
        </w:rPr>
        <w:t>(1), pp.195-214.</w:t>
      </w:r>
    </w:p>
    <w:p w14:paraId="297F80CD"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lastRenderedPageBreak/>
        <w:t>Womens-health-concern.org/help-and-advice/menopause-in-the-workplace,2023 (Accessed 02.02.2023).</w:t>
      </w:r>
    </w:p>
    <w:p w14:paraId="1B7D0D4B"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Youtube.com/watch?v=JKfCXMOBpjU,2022(Accessed 03.02.2023).</w:t>
      </w:r>
    </w:p>
    <w:p w14:paraId="2773C167" w14:textId="77777777" w:rsidR="00AC6E61" w:rsidRPr="00AB542F" w:rsidRDefault="00000000" w:rsidP="00AB542F">
      <w:pPr>
        <w:pStyle w:val="Normal1"/>
        <w:spacing w:line="360" w:lineRule="auto"/>
        <w:jc w:val="both"/>
        <w:rPr>
          <w:rFonts w:ascii="Times New Roman" w:hAnsi="Times New Roman" w:cs="Times New Roman"/>
          <w:sz w:val="24"/>
          <w:szCs w:val="24"/>
        </w:rPr>
      </w:pPr>
      <w:r w:rsidRPr="00AB542F">
        <w:rPr>
          <w:rFonts w:ascii="Times New Roman" w:hAnsi="Times New Roman" w:cs="Times New Roman"/>
          <w:sz w:val="24"/>
          <w:szCs w:val="24"/>
        </w:rPr>
        <w:t>Zou, P., Waliwitiya, T., Luo, Y., Sun, W., Shao, J., Zhang, H. and Huang, Y., 2021. Factors influencing healthy menopause among immigrant women: a scoping review. </w:t>
      </w:r>
      <w:r w:rsidRPr="00AB542F">
        <w:rPr>
          <w:rStyle w:val="Emphasis1"/>
          <w:rFonts w:ascii="Times New Roman" w:hAnsi="Times New Roman" w:cs="Times New Roman"/>
          <w:sz w:val="24"/>
          <w:szCs w:val="24"/>
        </w:rPr>
        <w:t>BMC Women's Health</w:t>
      </w:r>
      <w:r w:rsidRPr="00AB542F">
        <w:rPr>
          <w:rFonts w:ascii="Times New Roman" w:hAnsi="Times New Roman" w:cs="Times New Roman"/>
          <w:sz w:val="24"/>
          <w:szCs w:val="24"/>
        </w:rPr>
        <w:t>, </w:t>
      </w:r>
      <w:r w:rsidRPr="00AB542F">
        <w:rPr>
          <w:rStyle w:val="Emphasis1"/>
          <w:rFonts w:ascii="Times New Roman" w:hAnsi="Times New Roman" w:cs="Times New Roman"/>
          <w:sz w:val="24"/>
          <w:szCs w:val="24"/>
        </w:rPr>
        <w:t>21</w:t>
      </w:r>
      <w:r w:rsidRPr="00AB542F">
        <w:rPr>
          <w:rFonts w:ascii="Times New Roman" w:hAnsi="Times New Roman" w:cs="Times New Roman"/>
          <w:sz w:val="24"/>
          <w:szCs w:val="24"/>
        </w:rPr>
        <w:t>(1), pp.1-11.</w:t>
      </w:r>
    </w:p>
    <w:sectPr w:rsidR="00AC6E61" w:rsidRPr="00AB542F">
      <w:footerReference w:type="default" r:id="rId2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8F80E" w14:textId="77777777" w:rsidR="000E2EBE" w:rsidRDefault="000E2EBE" w:rsidP="00B01007">
      <w:pPr>
        <w:spacing w:after="0" w:line="240" w:lineRule="auto"/>
      </w:pPr>
      <w:r>
        <w:separator/>
      </w:r>
    </w:p>
  </w:endnote>
  <w:endnote w:type="continuationSeparator" w:id="0">
    <w:p w14:paraId="59CA13A5" w14:textId="77777777" w:rsidR="000E2EBE" w:rsidRDefault="000E2EBE" w:rsidP="00B01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275331"/>
      <w:docPartObj>
        <w:docPartGallery w:val="Page Numbers (Bottom of Page)"/>
        <w:docPartUnique/>
      </w:docPartObj>
    </w:sdtPr>
    <w:sdtEndPr>
      <w:rPr>
        <w:noProof/>
      </w:rPr>
    </w:sdtEndPr>
    <w:sdtContent>
      <w:p w14:paraId="25017664" w14:textId="40F5B5C7" w:rsidR="00B01007" w:rsidRDefault="00B010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BD8A34" w14:textId="77777777" w:rsidR="00B01007" w:rsidRDefault="00B010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A8676" w14:textId="77777777" w:rsidR="000E2EBE" w:rsidRDefault="000E2EBE" w:rsidP="00B01007">
      <w:pPr>
        <w:spacing w:after="0" w:line="240" w:lineRule="auto"/>
      </w:pPr>
      <w:r>
        <w:separator/>
      </w:r>
    </w:p>
  </w:footnote>
  <w:footnote w:type="continuationSeparator" w:id="0">
    <w:p w14:paraId="2ACADE7D" w14:textId="77777777" w:rsidR="000E2EBE" w:rsidRDefault="000E2EBE" w:rsidP="00B010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6E61"/>
    <w:rsid w:val="000B2552"/>
    <w:rsid w:val="000E2EBE"/>
    <w:rsid w:val="001B49D6"/>
    <w:rsid w:val="002D686B"/>
    <w:rsid w:val="00383ACB"/>
    <w:rsid w:val="003E26D8"/>
    <w:rsid w:val="004B1A64"/>
    <w:rsid w:val="004C39D0"/>
    <w:rsid w:val="004C5762"/>
    <w:rsid w:val="004E7409"/>
    <w:rsid w:val="005B704E"/>
    <w:rsid w:val="005E0E58"/>
    <w:rsid w:val="006F0A71"/>
    <w:rsid w:val="009B183B"/>
    <w:rsid w:val="009E0603"/>
    <w:rsid w:val="00AB542F"/>
    <w:rsid w:val="00AC6E61"/>
    <w:rsid w:val="00B01007"/>
    <w:rsid w:val="00BC009D"/>
    <w:rsid w:val="00C536A3"/>
    <w:rsid w:val="00C67B73"/>
    <w:rsid w:val="00C93028"/>
    <w:rsid w:val="00CF3D3F"/>
    <w:rsid w:val="00E8080A"/>
    <w:rsid w:val="00F66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77C19"/>
  <w15:docId w15:val="{271F9470-8BFC-4954-AE89-46ACB1A3E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character" w:styleId="Hyperlink">
    <w:name w:val="Hyperlink"/>
    <w:basedOn w:val="DefaultParagraphFont"/>
    <w:uiPriority w:val="99"/>
    <w:unhideWhenUsed/>
    <w:rsid w:val="00AB542F"/>
    <w:rPr>
      <w:color w:val="0563C1" w:themeColor="hyperlink"/>
      <w:u w:val="single"/>
    </w:rPr>
  </w:style>
  <w:style w:type="character" w:styleId="UnresolvedMention">
    <w:name w:val="Unresolved Mention"/>
    <w:basedOn w:val="DefaultParagraphFont"/>
    <w:uiPriority w:val="99"/>
    <w:semiHidden/>
    <w:unhideWhenUsed/>
    <w:rsid w:val="00AB542F"/>
    <w:rPr>
      <w:color w:val="605E5C"/>
      <w:shd w:val="clear" w:color="auto" w:fill="E1DFDD"/>
    </w:rPr>
  </w:style>
  <w:style w:type="paragraph" w:styleId="Header">
    <w:name w:val="header"/>
    <w:basedOn w:val="Normal"/>
    <w:link w:val="HeaderChar"/>
    <w:uiPriority w:val="99"/>
    <w:unhideWhenUsed/>
    <w:rsid w:val="00B010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007"/>
  </w:style>
  <w:style w:type="paragraph" w:styleId="Footer">
    <w:name w:val="footer"/>
    <w:basedOn w:val="Normal"/>
    <w:link w:val="FooterChar"/>
    <w:uiPriority w:val="99"/>
    <w:unhideWhenUsed/>
    <w:rsid w:val="00B010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0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way.office.com/AhIX4K0fUNZJazjB?ref=Link" TargetMode="External"/><Relationship Id="rId13" Type="http://schemas.openxmlformats.org/officeDocument/2006/relationships/image" Target="media/image3.jpg"/><Relationship Id="rId18" Type="http://schemas.openxmlformats.org/officeDocument/2006/relationships/hyperlink" Target="https://youtu.be/JKfCXMOBpjU"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sway.office.com/AhIX4K0fUNZJazjB?loc=swsp" TargetMode="External"/><Relationship Id="rId12" Type="http://schemas.openxmlformats.org/officeDocument/2006/relationships/hyperlink" Target="https://youtu.be/f1gZORvScpY" TargetMode="External"/><Relationship Id="rId17" Type="http://schemas.openxmlformats.org/officeDocument/2006/relationships/hyperlink" Target="https://www.menopausemandate.com/" TargetMode="External"/><Relationship Id="rId2" Type="http://schemas.openxmlformats.org/officeDocument/2006/relationships/settings" Target="settings.xml"/><Relationship Id="rId16" Type="http://schemas.openxmlformats.org/officeDocument/2006/relationships/hyperlink" Target="https://www.50sense.net/pausitivity-at-parliament-how-we-helped-mps-to-knowyourmenopause/2023" TargetMode="External"/><Relationship Id="rId20" Type="http://schemas.openxmlformats.org/officeDocument/2006/relationships/hyperlink" Target="https://www.youtube.com/watch?v=JKfCXMOBpjU,2022"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2.jpg"/><Relationship Id="rId5" Type="http://schemas.openxmlformats.org/officeDocument/2006/relationships/endnotes" Target="endnotes.xml"/><Relationship Id="rId15" Type="http://schemas.openxmlformats.org/officeDocument/2006/relationships/image" Target="media/image4.jpg"/><Relationship Id="rId23" Type="http://schemas.openxmlformats.org/officeDocument/2006/relationships/theme" Target="theme/theme1.xml"/><Relationship Id="rId10" Type="http://schemas.openxmlformats.org/officeDocument/2006/relationships/hyperlink" Target="https://www.pausitivity.co.uk/poster-download/2023" TargetMode="External"/><Relationship Id="rId19" Type="http://schemas.openxmlformats.org/officeDocument/2006/relationships/image" Target="media/image5.jpg"/><Relationship Id="rId4" Type="http://schemas.openxmlformats.org/officeDocument/2006/relationships/footnotes" Target="footnotes.xml"/><Relationship Id="rId9" Type="http://schemas.openxmlformats.org/officeDocument/2006/relationships/hyperlink" Target="https://www.pausitivity.co.uk/2023" TargetMode="External"/><Relationship Id="rId14" Type="http://schemas.openxmlformats.org/officeDocument/2006/relationships/hyperlink" Target="https://www.bigissue.com/life/health/menopause-activist-teams-up-with-big-issue-to-give-sellers-crucial-advice/202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3197</Words>
  <Characters>18224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sally</cp:lastModifiedBy>
  <cp:revision>20</cp:revision>
  <dcterms:created xsi:type="dcterms:W3CDTF">2023-02-03T15:40:00Z</dcterms:created>
  <dcterms:modified xsi:type="dcterms:W3CDTF">2023-02-03T16:38:00Z</dcterms:modified>
</cp:coreProperties>
</file>