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AD22D" w14:textId="1C8CDE0B" w:rsidR="0017540F" w:rsidRDefault="006C4FA9">
      <w:r w:rsidRPr="00074402">
        <w:rPr>
          <w:rFonts w:ascii="Arial" w:hAnsi="Arial" w:cs="Arial"/>
          <w:noProof/>
        </w:rPr>
        <w:drawing>
          <wp:anchor distT="0" distB="0" distL="114300" distR="114300" simplePos="0" relativeHeight="251659264" behindDoc="0" locked="0" layoutInCell="1" allowOverlap="1" wp14:anchorId="43C1CA35" wp14:editId="0E927645">
            <wp:simplePos x="0" y="0"/>
            <wp:positionH relativeFrom="margin">
              <wp:posOffset>-451413</wp:posOffset>
            </wp:positionH>
            <wp:positionV relativeFrom="paragraph">
              <wp:posOffset>225</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33A6EB" w14:textId="77777777" w:rsidR="006C4FA9" w:rsidRPr="006C4FA9" w:rsidRDefault="006C4FA9" w:rsidP="006C4FA9"/>
    <w:p w14:paraId="043DD707" w14:textId="77777777" w:rsidR="006C4FA9" w:rsidRPr="006C4FA9" w:rsidRDefault="006C4FA9" w:rsidP="006C4FA9"/>
    <w:p w14:paraId="54A387B4" w14:textId="77777777" w:rsidR="006C4FA9" w:rsidRDefault="006C4FA9" w:rsidP="006C4FA9"/>
    <w:p w14:paraId="6E58F834" w14:textId="77777777" w:rsidR="006C4FA9" w:rsidRPr="006C4FA9" w:rsidRDefault="006C4FA9" w:rsidP="006C4FA9"/>
    <w:p w14:paraId="2B0A933A" w14:textId="77777777" w:rsidR="006C4FA9" w:rsidRPr="00814A9E" w:rsidRDefault="006C4FA9" w:rsidP="006C4FA9">
      <w:pPr>
        <w:tabs>
          <w:tab w:val="left" w:pos="6540"/>
        </w:tabs>
        <w:spacing w:line="360" w:lineRule="auto"/>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Pr>
          <w:rFonts w:ascii="Arial" w:hAnsi="Arial" w:cs="Arial"/>
          <w:sz w:val="28"/>
          <w:szCs w:val="28"/>
          <w:lang w:val="nl-NL"/>
        </w:rPr>
        <w:t xml:space="preserve"> Aminata Sinayoko</w:t>
      </w:r>
    </w:p>
    <w:p w14:paraId="4FBEE519" w14:textId="77777777" w:rsidR="006C4FA9" w:rsidRPr="00814A9E" w:rsidRDefault="006C4FA9" w:rsidP="006C4FA9">
      <w:pPr>
        <w:tabs>
          <w:tab w:val="left" w:pos="6540"/>
        </w:tabs>
        <w:spacing w:line="360" w:lineRule="auto"/>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Pr>
          <w:rFonts w:ascii="Arial" w:hAnsi="Arial" w:cs="Arial"/>
          <w:sz w:val="28"/>
          <w:szCs w:val="28"/>
          <w:lang w:val="nl-NL"/>
        </w:rPr>
        <w:t xml:space="preserve"> 2310293</w:t>
      </w:r>
    </w:p>
    <w:p w14:paraId="6967BF6E" w14:textId="332D423A" w:rsidR="006C4FA9" w:rsidRPr="00814A9E" w:rsidRDefault="006C4FA9" w:rsidP="006C4FA9">
      <w:pPr>
        <w:tabs>
          <w:tab w:val="left" w:pos="6540"/>
        </w:tabs>
        <w:spacing w:line="360" w:lineRule="auto"/>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Pr="006C4FA9">
        <w:rPr>
          <w:rFonts w:ascii="Arial" w:hAnsi="Arial" w:cs="Arial"/>
        </w:rPr>
        <w:t>Health, Wellbeing and Sustainable Development</w:t>
      </w:r>
    </w:p>
    <w:p w14:paraId="4C27C683" w14:textId="4C83981E" w:rsidR="006C4FA9" w:rsidRPr="006C4FA9" w:rsidRDefault="006C4FA9" w:rsidP="006C4FA9">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 xml:space="preserve">: </w:t>
      </w:r>
      <w:r w:rsidRPr="006C4FA9">
        <w:rPr>
          <w:rFonts w:ascii="Arial" w:hAnsi="Arial" w:cs="Arial"/>
        </w:rPr>
        <w:t>BMHP6030</w:t>
      </w:r>
    </w:p>
    <w:p w14:paraId="2CF76A7B" w14:textId="5B05BA4E" w:rsidR="006C4FA9" w:rsidRPr="006C4FA9" w:rsidRDefault="006C4FA9" w:rsidP="006C4FA9">
      <w:pPr>
        <w:tabs>
          <w:tab w:val="left" w:pos="6540"/>
        </w:tabs>
        <w:spacing w:line="360" w:lineRule="auto"/>
        <w:rPr>
          <w:rFonts w:ascii="Arial" w:hAnsi="Arial" w:cs="Arial"/>
          <w:sz w:val="28"/>
          <w:szCs w:val="28"/>
        </w:rPr>
      </w:pPr>
      <w:r>
        <w:rPr>
          <w:rFonts w:ascii="Arial" w:hAnsi="Arial" w:cs="Arial"/>
          <w:b/>
          <w:bCs/>
          <w:sz w:val="28"/>
          <w:szCs w:val="28"/>
        </w:rPr>
        <w:t>Lecturer</w:t>
      </w:r>
      <w:r w:rsidRPr="00074402">
        <w:rPr>
          <w:rFonts w:ascii="Arial" w:hAnsi="Arial" w:cs="Arial"/>
          <w:b/>
          <w:bCs/>
          <w:sz w:val="28"/>
          <w:szCs w:val="28"/>
        </w:rPr>
        <w:t xml:space="preserve"> name</w:t>
      </w:r>
      <w:r>
        <w:rPr>
          <w:rFonts w:ascii="Arial" w:hAnsi="Arial" w:cs="Arial"/>
          <w:sz w:val="28"/>
          <w:szCs w:val="28"/>
        </w:rPr>
        <w:t xml:space="preserve">: </w:t>
      </w:r>
      <w:r w:rsidRPr="006C4FA9">
        <w:rPr>
          <w:rFonts w:ascii="Arial" w:hAnsi="Arial" w:cs="Arial"/>
        </w:rPr>
        <w:t>Dr Itse Olaoye</w:t>
      </w:r>
    </w:p>
    <w:p w14:paraId="2ABCB0D3" w14:textId="5F015A69" w:rsidR="006C4FA9" w:rsidRPr="00CF6B0A" w:rsidRDefault="006C4FA9" w:rsidP="006C4FA9">
      <w:pPr>
        <w:rPr>
          <w:rFonts w:ascii="Arial" w:hAnsi="Arial" w:cs="Arial"/>
          <w:sz w:val="28"/>
          <w:szCs w:val="28"/>
        </w:rPr>
      </w:pPr>
      <w:r w:rsidRPr="006C4FA9">
        <w:rPr>
          <w:rFonts w:ascii="Arial" w:hAnsi="Arial" w:cs="Arial"/>
          <w:b/>
          <w:bCs/>
          <w:sz w:val="28"/>
          <w:szCs w:val="28"/>
        </w:rPr>
        <w:t>Component 2:</w:t>
      </w:r>
      <w:r>
        <w:t xml:space="preserve"> </w:t>
      </w:r>
      <w:r w:rsidRPr="006C4FA9">
        <w:rPr>
          <w:rFonts w:ascii="Arial" w:hAnsi="Arial" w:cs="Arial"/>
        </w:rPr>
        <w:t>Written Assignment (Report)</w:t>
      </w:r>
    </w:p>
    <w:p w14:paraId="49CCD0A8" w14:textId="6765A6A0" w:rsidR="006C4FA9" w:rsidRPr="00C35620" w:rsidRDefault="00C35620" w:rsidP="006C4FA9">
      <w:pPr>
        <w:rPr>
          <w:rFonts w:ascii="Arial" w:hAnsi="Arial" w:cs="Arial"/>
          <w:b/>
          <w:bCs/>
          <w:sz w:val="28"/>
          <w:szCs w:val="28"/>
        </w:rPr>
      </w:pPr>
      <w:r w:rsidRPr="00C35620">
        <w:rPr>
          <w:rFonts w:ascii="Arial" w:hAnsi="Arial" w:cs="Arial"/>
          <w:b/>
          <w:bCs/>
          <w:sz w:val="28"/>
          <w:szCs w:val="28"/>
        </w:rPr>
        <w:t xml:space="preserve">Submitted </w:t>
      </w:r>
      <w:r>
        <w:rPr>
          <w:rFonts w:ascii="Arial" w:hAnsi="Arial" w:cs="Arial"/>
          <w:b/>
          <w:bCs/>
          <w:sz w:val="28"/>
          <w:szCs w:val="28"/>
        </w:rPr>
        <w:t>:</w:t>
      </w:r>
      <w:r w:rsidR="00C1295E" w:rsidRPr="00C1295E">
        <w:t xml:space="preserve"> </w:t>
      </w:r>
      <w:r w:rsidR="00C1295E" w:rsidRPr="00C1295E">
        <w:rPr>
          <w:rFonts w:ascii="Arial" w:hAnsi="Arial" w:cs="Arial"/>
        </w:rPr>
        <w:t>7 August 2026,</w:t>
      </w:r>
    </w:p>
    <w:p w14:paraId="75D9E851" w14:textId="31A56647" w:rsidR="006C4FA9" w:rsidRDefault="006C4FA9" w:rsidP="006C4FA9">
      <w:pPr>
        <w:tabs>
          <w:tab w:val="left" w:pos="1786"/>
        </w:tabs>
      </w:pPr>
    </w:p>
    <w:p w14:paraId="1F6F62A6" w14:textId="77777777" w:rsidR="00140549" w:rsidRDefault="00140549" w:rsidP="006C4FA9">
      <w:pPr>
        <w:tabs>
          <w:tab w:val="left" w:pos="1786"/>
        </w:tabs>
      </w:pPr>
    </w:p>
    <w:p w14:paraId="14BE9454" w14:textId="77777777" w:rsidR="00140549" w:rsidRDefault="00140549" w:rsidP="006C4FA9">
      <w:pPr>
        <w:tabs>
          <w:tab w:val="left" w:pos="1786"/>
        </w:tabs>
      </w:pPr>
    </w:p>
    <w:p w14:paraId="2026B808" w14:textId="77777777" w:rsidR="00140549" w:rsidRDefault="00140549" w:rsidP="006C4FA9">
      <w:pPr>
        <w:tabs>
          <w:tab w:val="left" w:pos="1786"/>
        </w:tabs>
      </w:pPr>
    </w:p>
    <w:p w14:paraId="1B738850" w14:textId="77777777" w:rsidR="00140549" w:rsidRDefault="00140549" w:rsidP="006C4FA9">
      <w:pPr>
        <w:tabs>
          <w:tab w:val="left" w:pos="1786"/>
        </w:tabs>
      </w:pPr>
    </w:p>
    <w:p w14:paraId="6D7701E4" w14:textId="77777777" w:rsidR="00140549" w:rsidRDefault="00140549" w:rsidP="006C4FA9">
      <w:pPr>
        <w:tabs>
          <w:tab w:val="left" w:pos="1786"/>
        </w:tabs>
      </w:pPr>
    </w:p>
    <w:p w14:paraId="051C168F" w14:textId="77777777" w:rsidR="00140549" w:rsidRDefault="00140549" w:rsidP="006C4FA9">
      <w:pPr>
        <w:tabs>
          <w:tab w:val="left" w:pos="1786"/>
        </w:tabs>
      </w:pPr>
    </w:p>
    <w:p w14:paraId="308F0BF4" w14:textId="77777777" w:rsidR="00140549" w:rsidRDefault="00140549" w:rsidP="006C4FA9">
      <w:pPr>
        <w:tabs>
          <w:tab w:val="left" w:pos="1786"/>
        </w:tabs>
      </w:pPr>
    </w:p>
    <w:p w14:paraId="3EB3EE18" w14:textId="77777777" w:rsidR="00140549" w:rsidRDefault="00140549" w:rsidP="006C4FA9">
      <w:pPr>
        <w:tabs>
          <w:tab w:val="left" w:pos="1786"/>
        </w:tabs>
      </w:pPr>
    </w:p>
    <w:p w14:paraId="04069301" w14:textId="77777777" w:rsidR="00140549" w:rsidRDefault="00140549" w:rsidP="006C4FA9">
      <w:pPr>
        <w:tabs>
          <w:tab w:val="left" w:pos="1786"/>
        </w:tabs>
      </w:pPr>
    </w:p>
    <w:p w14:paraId="0A47EC8E" w14:textId="77777777" w:rsidR="00140549" w:rsidRDefault="00140549" w:rsidP="006C4FA9">
      <w:pPr>
        <w:tabs>
          <w:tab w:val="left" w:pos="1786"/>
        </w:tabs>
      </w:pPr>
    </w:p>
    <w:p w14:paraId="3FB445A0" w14:textId="77777777" w:rsidR="00140549" w:rsidRDefault="00140549" w:rsidP="006C4FA9">
      <w:pPr>
        <w:tabs>
          <w:tab w:val="left" w:pos="1786"/>
        </w:tabs>
      </w:pPr>
    </w:p>
    <w:p w14:paraId="04B8F0E8" w14:textId="77777777" w:rsidR="00140549" w:rsidRDefault="00140549" w:rsidP="006C4FA9">
      <w:pPr>
        <w:tabs>
          <w:tab w:val="left" w:pos="1786"/>
        </w:tabs>
      </w:pPr>
    </w:p>
    <w:p w14:paraId="56B897A8" w14:textId="77777777" w:rsidR="00140549" w:rsidRDefault="00140549" w:rsidP="006C4FA9">
      <w:pPr>
        <w:tabs>
          <w:tab w:val="left" w:pos="1786"/>
        </w:tabs>
      </w:pPr>
    </w:p>
    <w:sdt>
      <w:sdtPr>
        <w:id w:val="-77748717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148A635" w14:textId="455F01CB" w:rsidR="007D3613" w:rsidRDefault="007D3613">
          <w:pPr>
            <w:pStyle w:val="TOCHeading"/>
          </w:pPr>
          <w:r>
            <w:t>Contents</w:t>
          </w:r>
        </w:p>
        <w:p w14:paraId="767496CF" w14:textId="0151D005" w:rsidR="007D3613" w:rsidRDefault="007D3613">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35649775" w:history="1">
            <w:r w:rsidRPr="00364961">
              <w:rPr>
                <w:rStyle w:val="Hyperlink"/>
                <w:rFonts w:ascii="Arial" w:hAnsi="Arial" w:cs="Arial"/>
                <w:b/>
                <w:bCs/>
                <w:noProof/>
              </w:rPr>
              <w:t>1.</w:t>
            </w:r>
            <w:r>
              <w:rPr>
                <w:rFonts w:eastAsiaTheme="minorEastAsia"/>
                <w:noProof/>
                <w:lang w:eastAsia="en-GB"/>
              </w:rPr>
              <w:tab/>
            </w:r>
            <w:r w:rsidRPr="0036496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_Toc235649775 \h </w:instrText>
            </w:r>
            <w:r>
              <w:rPr>
                <w:noProof/>
                <w:webHidden/>
              </w:rPr>
            </w:r>
            <w:r>
              <w:rPr>
                <w:noProof/>
                <w:webHidden/>
              </w:rPr>
              <w:fldChar w:fldCharType="separate"/>
            </w:r>
            <w:r>
              <w:rPr>
                <w:noProof/>
                <w:webHidden/>
              </w:rPr>
              <w:t>3</w:t>
            </w:r>
            <w:r>
              <w:rPr>
                <w:noProof/>
                <w:webHidden/>
              </w:rPr>
              <w:fldChar w:fldCharType="end"/>
            </w:r>
          </w:hyperlink>
        </w:p>
        <w:p w14:paraId="71CA79E2" w14:textId="0B49C369" w:rsidR="007D3613" w:rsidRDefault="007D3613">
          <w:pPr>
            <w:pStyle w:val="TOC1"/>
            <w:tabs>
              <w:tab w:val="left" w:pos="480"/>
              <w:tab w:val="right" w:leader="dot" w:pos="9016"/>
            </w:tabs>
            <w:rPr>
              <w:rFonts w:eastAsiaTheme="minorEastAsia"/>
              <w:noProof/>
              <w:lang w:eastAsia="en-GB"/>
            </w:rPr>
          </w:pPr>
          <w:hyperlink w:anchor="_Toc235649776" w:history="1">
            <w:r w:rsidRPr="00364961">
              <w:rPr>
                <w:rStyle w:val="Hyperlink"/>
                <w:rFonts w:ascii="Arial" w:hAnsi="Arial" w:cs="Arial"/>
                <w:b/>
                <w:bCs/>
                <w:noProof/>
              </w:rPr>
              <w:t>2.</w:t>
            </w:r>
            <w:r>
              <w:rPr>
                <w:rFonts w:eastAsiaTheme="minorEastAsia"/>
                <w:noProof/>
                <w:lang w:eastAsia="en-GB"/>
              </w:rPr>
              <w:tab/>
            </w:r>
            <w:r w:rsidRPr="00364961">
              <w:rPr>
                <w:rStyle w:val="Hyperlink"/>
                <w:rFonts w:ascii="Arial" w:hAnsi="Arial" w:cs="Arial"/>
                <w:b/>
                <w:bCs/>
                <w:noProof/>
              </w:rPr>
              <w:t>Sustainable Development Goal 3: Good Health and Wellbeing</w:t>
            </w:r>
            <w:r>
              <w:rPr>
                <w:noProof/>
                <w:webHidden/>
              </w:rPr>
              <w:tab/>
            </w:r>
            <w:r>
              <w:rPr>
                <w:noProof/>
                <w:webHidden/>
              </w:rPr>
              <w:fldChar w:fldCharType="begin"/>
            </w:r>
            <w:r>
              <w:rPr>
                <w:noProof/>
                <w:webHidden/>
              </w:rPr>
              <w:instrText xml:space="preserve"> PAGEREF _Toc235649776 \h </w:instrText>
            </w:r>
            <w:r>
              <w:rPr>
                <w:noProof/>
                <w:webHidden/>
              </w:rPr>
            </w:r>
            <w:r>
              <w:rPr>
                <w:noProof/>
                <w:webHidden/>
              </w:rPr>
              <w:fldChar w:fldCharType="separate"/>
            </w:r>
            <w:r>
              <w:rPr>
                <w:noProof/>
                <w:webHidden/>
              </w:rPr>
              <w:t>3</w:t>
            </w:r>
            <w:r>
              <w:rPr>
                <w:noProof/>
                <w:webHidden/>
              </w:rPr>
              <w:fldChar w:fldCharType="end"/>
            </w:r>
          </w:hyperlink>
        </w:p>
        <w:p w14:paraId="7FB2C883" w14:textId="7A8F420B" w:rsidR="007D3613" w:rsidRDefault="007D3613">
          <w:pPr>
            <w:pStyle w:val="TOC1"/>
            <w:tabs>
              <w:tab w:val="right" w:leader="dot" w:pos="9016"/>
            </w:tabs>
            <w:rPr>
              <w:rFonts w:eastAsiaTheme="minorEastAsia"/>
              <w:noProof/>
              <w:lang w:eastAsia="en-GB"/>
            </w:rPr>
          </w:pPr>
          <w:hyperlink w:anchor="_Toc235649777" w:history="1">
            <w:r w:rsidRPr="00364961">
              <w:rPr>
                <w:rStyle w:val="Hyperlink"/>
                <w:rFonts w:ascii="Arial" w:eastAsia="Times New Roman" w:hAnsi="Arial" w:cs="Arial"/>
                <w:b/>
                <w:bCs/>
                <w:noProof/>
                <w:kern w:val="0"/>
                <w:lang w:eastAsia="en-GB"/>
                <w14:ligatures w14:val="none"/>
              </w:rPr>
              <w:t xml:space="preserve">2.1  </w:t>
            </w:r>
            <w:r w:rsidRPr="00364961">
              <w:rPr>
                <w:rStyle w:val="Hyperlink"/>
                <w:rFonts w:ascii="Arial" w:hAnsi="Arial" w:cs="Arial"/>
                <w:b/>
                <w:bCs/>
                <w:noProof/>
                <w:lang w:eastAsia="en-GB"/>
              </w:rPr>
              <w:t>Impact on Health and Well-being</w:t>
            </w:r>
            <w:r>
              <w:rPr>
                <w:noProof/>
                <w:webHidden/>
              </w:rPr>
              <w:tab/>
            </w:r>
            <w:r>
              <w:rPr>
                <w:noProof/>
                <w:webHidden/>
              </w:rPr>
              <w:fldChar w:fldCharType="begin"/>
            </w:r>
            <w:r>
              <w:rPr>
                <w:noProof/>
                <w:webHidden/>
              </w:rPr>
              <w:instrText xml:space="preserve"> PAGEREF _Toc235649777 \h </w:instrText>
            </w:r>
            <w:r>
              <w:rPr>
                <w:noProof/>
                <w:webHidden/>
              </w:rPr>
            </w:r>
            <w:r>
              <w:rPr>
                <w:noProof/>
                <w:webHidden/>
              </w:rPr>
              <w:fldChar w:fldCharType="separate"/>
            </w:r>
            <w:r>
              <w:rPr>
                <w:noProof/>
                <w:webHidden/>
              </w:rPr>
              <w:t>4</w:t>
            </w:r>
            <w:r>
              <w:rPr>
                <w:noProof/>
                <w:webHidden/>
              </w:rPr>
              <w:fldChar w:fldCharType="end"/>
            </w:r>
          </w:hyperlink>
        </w:p>
        <w:p w14:paraId="08C33BB6" w14:textId="58FA6DCB" w:rsidR="007D3613" w:rsidRDefault="007D3613">
          <w:pPr>
            <w:pStyle w:val="TOC1"/>
            <w:tabs>
              <w:tab w:val="right" w:leader="dot" w:pos="9016"/>
            </w:tabs>
            <w:rPr>
              <w:rFonts w:eastAsiaTheme="minorEastAsia"/>
              <w:noProof/>
              <w:lang w:eastAsia="en-GB"/>
            </w:rPr>
          </w:pPr>
          <w:hyperlink w:anchor="_Toc235649778" w:history="1">
            <w:r w:rsidRPr="00364961">
              <w:rPr>
                <w:rStyle w:val="Hyperlink"/>
                <w:rFonts w:ascii="Arial" w:eastAsia="Times New Roman" w:hAnsi="Arial" w:cs="Arial"/>
                <w:b/>
                <w:bCs/>
                <w:noProof/>
                <w:lang w:eastAsia="en-GB"/>
              </w:rPr>
              <w:t>3. Sustainable Development Goal 2: Zero Hunger</w:t>
            </w:r>
            <w:r>
              <w:rPr>
                <w:noProof/>
                <w:webHidden/>
              </w:rPr>
              <w:tab/>
            </w:r>
            <w:r>
              <w:rPr>
                <w:noProof/>
                <w:webHidden/>
              </w:rPr>
              <w:fldChar w:fldCharType="begin"/>
            </w:r>
            <w:r>
              <w:rPr>
                <w:noProof/>
                <w:webHidden/>
              </w:rPr>
              <w:instrText xml:space="preserve"> PAGEREF _Toc235649778 \h </w:instrText>
            </w:r>
            <w:r>
              <w:rPr>
                <w:noProof/>
                <w:webHidden/>
              </w:rPr>
            </w:r>
            <w:r>
              <w:rPr>
                <w:noProof/>
                <w:webHidden/>
              </w:rPr>
              <w:fldChar w:fldCharType="separate"/>
            </w:r>
            <w:r>
              <w:rPr>
                <w:noProof/>
                <w:webHidden/>
              </w:rPr>
              <w:t>4</w:t>
            </w:r>
            <w:r>
              <w:rPr>
                <w:noProof/>
                <w:webHidden/>
              </w:rPr>
              <w:fldChar w:fldCharType="end"/>
            </w:r>
          </w:hyperlink>
        </w:p>
        <w:p w14:paraId="44D65ACE" w14:textId="783A91C6" w:rsidR="007D3613" w:rsidRDefault="007D3613">
          <w:pPr>
            <w:pStyle w:val="TOC2"/>
            <w:tabs>
              <w:tab w:val="right" w:leader="dot" w:pos="9016"/>
            </w:tabs>
            <w:rPr>
              <w:rFonts w:eastAsiaTheme="minorEastAsia"/>
              <w:noProof/>
              <w:lang w:eastAsia="en-GB"/>
            </w:rPr>
          </w:pPr>
          <w:hyperlink w:anchor="_Toc235649779" w:history="1">
            <w:r w:rsidRPr="00364961">
              <w:rPr>
                <w:rStyle w:val="Hyperlink"/>
                <w:rFonts w:ascii="Arial" w:eastAsia="Times New Roman" w:hAnsi="Arial" w:cs="Arial"/>
                <w:b/>
                <w:bCs/>
                <w:noProof/>
                <w:lang w:eastAsia="en-GB"/>
              </w:rPr>
              <w:t>3.1 Impact on Health and Wellbeing</w:t>
            </w:r>
            <w:r>
              <w:rPr>
                <w:noProof/>
                <w:webHidden/>
              </w:rPr>
              <w:tab/>
            </w:r>
            <w:r>
              <w:rPr>
                <w:noProof/>
                <w:webHidden/>
              </w:rPr>
              <w:fldChar w:fldCharType="begin"/>
            </w:r>
            <w:r>
              <w:rPr>
                <w:noProof/>
                <w:webHidden/>
              </w:rPr>
              <w:instrText xml:space="preserve"> PAGEREF _Toc235649779 \h </w:instrText>
            </w:r>
            <w:r>
              <w:rPr>
                <w:noProof/>
                <w:webHidden/>
              </w:rPr>
            </w:r>
            <w:r>
              <w:rPr>
                <w:noProof/>
                <w:webHidden/>
              </w:rPr>
              <w:fldChar w:fldCharType="separate"/>
            </w:r>
            <w:r>
              <w:rPr>
                <w:noProof/>
                <w:webHidden/>
              </w:rPr>
              <w:t>5</w:t>
            </w:r>
            <w:r>
              <w:rPr>
                <w:noProof/>
                <w:webHidden/>
              </w:rPr>
              <w:fldChar w:fldCharType="end"/>
            </w:r>
          </w:hyperlink>
        </w:p>
        <w:p w14:paraId="6E6678AF" w14:textId="1F37B524" w:rsidR="007D3613" w:rsidRDefault="007D3613">
          <w:pPr>
            <w:pStyle w:val="TOC1"/>
            <w:tabs>
              <w:tab w:val="right" w:leader="dot" w:pos="9016"/>
            </w:tabs>
            <w:rPr>
              <w:rFonts w:eastAsiaTheme="minorEastAsia"/>
              <w:noProof/>
              <w:lang w:eastAsia="en-GB"/>
            </w:rPr>
          </w:pPr>
          <w:hyperlink w:anchor="_Toc235649780" w:history="1">
            <w:r w:rsidRPr="00364961">
              <w:rPr>
                <w:rStyle w:val="Hyperlink"/>
                <w:rFonts w:ascii="Arial" w:hAnsi="Arial" w:cs="Arial"/>
                <w:b/>
                <w:bCs/>
                <w:noProof/>
              </w:rPr>
              <w:t>4. National Wellbeing Initiatives</w:t>
            </w:r>
            <w:r>
              <w:rPr>
                <w:noProof/>
                <w:webHidden/>
              </w:rPr>
              <w:tab/>
            </w:r>
            <w:r>
              <w:rPr>
                <w:noProof/>
                <w:webHidden/>
              </w:rPr>
              <w:fldChar w:fldCharType="begin"/>
            </w:r>
            <w:r>
              <w:rPr>
                <w:noProof/>
                <w:webHidden/>
              </w:rPr>
              <w:instrText xml:space="preserve"> PAGEREF _Toc235649780 \h </w:instrText>
            </w:r>
            <w:r>
              <w:rPr>
                <w:noProof/>
                <w:webHidden/>
              </w:rPr>
            </w:r>
            <w:r>
              <w:rPr>
                <w:noProof/>
                <w:webHidden/>
              </w:rPr>
              <w:fldChar w:fldCharType="separate"/>
            </w:r>
            <w:r>
              <w:rPr>
                <w:noProof/>
                <w:webHidden/>
              </w:rPr>
              <w:t>6</w:t>
            </w:r>
            <w:r>
              <w:rPr>
                <w:noProof/>
                <w:webHidden/>
              </w:rPr>
              <w:fldChar w:fldCharType="end"/>
            </w:r>
          </w:hyperlink>
        </w:p>
        <w:p w14:paraId="6C30C855" w14:textId="50B3D676" w:rsidR="007D3613" w:rsidRDefault="007D3613">
          <w:pPr>
            <w:pStyle w:val="TOC2"/>
            <w:tabs>
              <w:tab w:val="right" w:leader="dot" w:pos="9016"/>
            </w:tabs>
            <w:rPr>
              <w:rFonts w:eastAsiaTheme="minorEastAsia"/>
              <w:noProof/>
              <w:lang w:eastAsia="en-GB"/>
            </w:rPr>
          </w:pPr>
          <w:hyperlink w:anchor="_Toc235649781" w:history="1">
            <w:r w:rsidRPr="00364961">
              <w:rPr>
                <w:rStyle w:val="Hyperlink"/>
                <w:rFonts w:ascii="Arial" w:hAnsi="Arial" w:cs="Arial"/>
                <w:b/>
                <w:bCs/>
                <w:noProof/>
              </w:rPr>
              <w:t>4.1 Initiative 1 NHS Long Term Plan (2019)</w:t>
            </w:r>
            <w:r>
              <w:rPr>
                <w:noProof/>
                <w:webHidden/>
              </w:rPr>
              <w:tab/>
            </w:r>
            <w:r>
              <w:rPr>
                <w:noProof/>
                <w:webHidden/>
              </w:rPr>
              <w:fldChar w:fldCharType="begin"/>
            </w:r>
            <w:r>
              <w:rPr>
                <w:noProof/>
                <w:webHidden/>
              </w:rPr>
              <w:instrText xml:space="preserve"> PAGEREF _Toc235649781 \h </w:instrText>
            </w:r>
            <w:r>
              <w:rPr>
                <w:noProof/>
                <w:webHidden/>
              </w:rPr>
            </w:r>
            <w:r>
              <w:rPr>
                <w:noProof/>
                <w:webHidden/>
              </w:rPr>
              <w:fldChar w:fldCharType="separate"/>
            </w:r>
            <w:r>
              <w:rPr>
                <w:noProof/>
                <w:webHidden/>
              </w:rPr>
              <w:t>6</w:t>
            </w:r>
            <w:r>
              <w:rPr>
                <w:noProof/>
                <w:webHidden/>
              </w:rPr>
              <w:fldChar w:fldCharType="end"/>
            </w:r>
          </w:hyperlink>
        </w:p>
        <w:p w14:paraId="26826156" w14:textId="4AE810AF" w:rsidR="007D3613" w:rsidRDefault="007D3613">
          <w:pPr>
            <w:pStyle w:val="TOC1"/>
            <w:tabs>
              <w:tab w:val="right" w:leader="dot" w:pos="9016"/>
            </w:tabs>
            <w:rPr>
              <w:rFonts w:eastAsiaTheme="minorEastAsia"/>
              <w:noProof/>
              <w:lang w:eastAsia="en-GB"/>
            </w:rPr>
          </w:pPr>
          <w:hyperlink w:anchor="_Toc235649782" w:history="1">
            <w:r w:rsidRPr="00364961">
              <w:rPr>
                <w:rStyle w:val="Hyperlink"/>
                <w:rFonts w:ascii="Arial" w:hAnsi="Arial" w:cs="Arial"/>
                <w:b/>
                <w:bCs/>
                <w:noProof/>
              </w:rPr>
              <w:t>4.2 Initiative 2 Healthy Start Scheme</w:t>
            </w:r>
            <w:r>
              <w:rPr>
                <w:noProof/>
                <w:webHidden/>
              </w:rPr>
              <w:tab/>
            </w:r>
            <w:r>
              <w:rPr>
                <w:noProof/>
                <w:webHidden/>
              </w:rPr>
              <w:fldChar w:fldCharType="begin"/>
            </w:r>
            <w:r>
              <w:rPr>
                <w:noProof/>
                <w:webHidden/>
              </w:rPr>
              <w:instrText xml:space="preserve"> PAGEREF _Toc235649782 \h </w:instrText>
            </w:r>
            <w:r>
              <w:rPr>
                <w:noProof/>
                <w:webHidden/>
              </w:rPr>
            </w:r>
            <w:r>
              <w:rPr>
                <w:noProof/>
                <w:webHidden/>
              </w:rPr>
              <w:fldChar w:fldCharType="separate"/>
            </w:r>
            <w:r>
              <w:rPr>
                <w:noProof/>
                <w:webHidden/>
              </w:rPr>
              <w:t>6</w:t>
            </w:r>
            <w:r>
              <w:rPr>
                <w:noProof/>
                <w:webHidden/>
              </w:rPr>
              <w:fldChar w:fldCharType="end"/>
            </w:r>
          </w:hyperlink>
        </w:p>
        <w:p w14:paraId="72DCEED7" w14:textId="57A9BC40" w:rsidR="007D3613" w:rsidRDefault="007D3613">
          <w:pPr>
            <w:pStyle w:val="TOC1"/>
            <w:tabs>
              <w:tab w:val="right" w:leader="dot" w:pos="9016"/>
            </w:tabs>
            <w:rPr>
              <w:rFonts w:eastAsiaTheme="minorEastAsia"/>
              <w:noProof/>
              <w:lang w:eastAsia="en-GB"/>
            </w:rPr>
          </w:pPr>
          <w:hyperlink w:anchor="_Toc235649783" w:history="1">
            <w:r w:rsidRPr="00364961">
              <w:rPr>
                <w:rStyle w:val="Hyperlink"/>
                <w:rFonts w:ascii="Arial" w:eastAsia="Times New Roman" w:hAnsi="Arial" w:cs="Arial"/>
                <w:b/>
                <w:bCs/>
                <w:noProof/>
                <w:lang w:eastAsia="en-GB"/>
              </w:rPr>
              <w:t>5. Local Wellbeing Initiatives</w:t>
            </w:r>
            <w:r>
              <w:rPr>
                <w:noProof/>
                <w:webHidden/>
              </w:rPr>
              <w:tab/>
            </w:r>
            <w:r>
              <w:rPr>
                <w:noProof/>
                <w:webHidden/>
              </w:rPr>
              <w:fldChar w:fldCharType="begin"/>
            </w:r>
            <w:r>
              <w:rPr>
                <w:noProof/>
                <w:webHidden/>
              </w:rPr>
              <w:instrText xml:space="preserve"> PAGEREF _Toc235649783 \h </w:instrText>
            </w:r>
            <w:r>
              <w:rPr>
                <w:noProof/>
                <w:webHidden/>
              </w:rPr>
            </w:r>
            <w:r>
              <w:rPr>
                <w:noProof/>
                <w:webHidden/>
              </w:rPr>
              <w:fldChar w:fldCharType="separate"/>
            </w:r>
            <w:r>
              <w:rPr>
                <w:noProof/>
                <w:webHidden/>
              </w:rPr>
              <w:t>7</w:t>
            </w:r>
            <w:r>
              <w:rPr>
                <w:noProof/>
                <w:webHidden/>
              </w:rPr>
              <w:fldChar w:fldCharType="end"/>
            </w:r>
          </w:hyperlink>
        </w:p>
        <w:p w14:paraId="20C39CB4" w14:textId="300521E8" w:rsidR="007D3613" w:rsidRDefault="007D3613">
          <w:pPr>
            <w:pStyle w:val="TOC2"/>
            <w:tabs>
              <w:tab w:val="right" w:leader="dot" w:pos="9016"/>
            </w:tabs>
            <w:rPr>
              <w:rFonts w:eastAsiaTheme="minorEastAsia"/>
              <w:noProof/>
              <w:lang w:eastAsia="en-GB"/>
            </w:rPr>
          </w:pPr>
          <w:hyperlink w:anchor="_Toc235649784" w:history="1">
            <w:r w:rsidRPr="00364961">
              <w:rPr>
                <w:rStyle w:val="Hyperlink"/>
                <w:rFonts w:ascii="Arial" w:eastAsia="Times New Roman" w:hAnsi="Arial" w:cs="Arial"/>
                <w:b/>
                <w:bCs/>
                <w:noProof/>
                <w:lang w:eastAsia="en-GB"/>
              </w:rPr>
              <w:t>5.1 Southwark Healthy Weight Programme</w:t>
            </w:r>
            <w:r>
              <w:rPr>
                <w:noProof/>
                <w:webHidden/>
              </w:rPr>
              <w:tab/>
            </w:r>
            <w:r>
              <w:rPr>
                <w:noProof/>
                <w:webHidden/>
              </w:rPr>
              <w:fldChar w:fldCharType="begin"/>
            </w:r>
            <w:r>
              <w:rPr>
                <w:noProof/>
                <w:webHidden/>
              </w:rPr>
              <w:instrText xml:space="preserve"> PAGEREF _Toc235649784 \h </w:instrText>
            </w:r>
            <w:r>
              <w:rPr>
                <w:noProof/>
                <w:webHidden/>
              </w:rPr>
            </w:r>
            <w:r>
              <w:rPr>
                <w:noProof/>
                <w:webHidden/>
              </w:rPr>
              <w:fldChar w:fldCharType="separate"/>
            </w:r>
            <w:r>
              <w:rPr>
                <w:noProof/>
                <w:webHidden/>
              </w:rPr>
              <w:t>7</w:t>
            </w:r>
            <w:r>
              <w:rPr>
                <w:noProof/>
                <w:webHidden/>
              </w:rPr>
              <w:fldChar w:fldCharType="end"/>
            </w:r>
          </w:hyperlink>
        </w:p>
        <w:p w14:paraId="0B5F5CC4" w14:textId="27C5D67D" w:rsidR="007D3613" w:rsidRDefault="007D3613">
          <w:pPr>
            <w:pStyle w:val="TOC2"/>
            <w:tabs>
              <w:tab w:val="right" w:leader="dot" w:pos="9016"/>
            </w:tabs>
            <w:rPr>
              <w:rFonts w:eastAsiaTheme="minorEastAsia"/>
              <w:noProof/>
              <w:lang w:eastAsia="en-GB"/>
            </w:rPr>
          </w:pPr>
          <w:hyperlink w:anchor="_Toc235649785" w:history="1">
            <w:r w:rsidRPr="00364961">
              <w:rPr>
                <w:rStyle w:val="Hyperlink"/>
                <w:rFonts w:ascii="Arial" w:eastAsia="Times New Roman" w:hAnsi="Arial" w:cs="Arial"/>
                <w:b/>
                <w:bCs/>
                <w:noProof/>
                <w:lang w:eastAsia="en-GB"/>
              </w:rPr>
              <w:t>5.2 Lambeth’s Early Years and Family Support Programme</w:t>
            </w:r>
            <w:r>
              <w:rPr>
                <w:noProof/>
                <w:webHidden/>
              </w:rPr>
              <w:tab/>
            </w:r>
            <w:r>
              <w:rPr>
                <w:noProof/>
                <w:webHidden/>
              </w:rPr>
              <w:fldChar w:fldCharType="begin"/>
            </w:r>
            <w:r>
              <w:rPr>
                <w:noProof/>
                <w:webHidden/>
              </w:rPr>
              <w:instrText xml:space="preserve"> PAGEREF _Toc235649785 \h </w:instrText>
            </w:r>
            <w:r>
              <w:rPr>
                <w:noProof/>
                <w:webHidden/>
              </w:rPr>
            </w:r>
            <w:r>
              <w:rPr>
                <w:noProof/>
                <w:webHidden/>
              </w:rPr>
              <w:fldChar w:fldCharType="separate"/>
            </w:r>
            <w:r>
              <w:rPr>
                <w:noProof/>
                <w:webHidden/>
              </w:rPr>
              <w:t>8</w:t>
            </w:r>
            <w:r>
              <w:rPr>
                <w:noProof/>
                <w:webHidden/>
              </w:rPr>
              <w:fldChar w:fldCharType="end"/>
            </w:r>
          </w:hyperlink>
        </w:p>
        <w:p w14:paraId="64768798" w14:textId="177F6141" w:rsidR="007D3613" w:rsidRDefault="007D3613">
          <w:pPr>
            <w:pStyle w:val="TOC1"/>
            <w:tabs>
              <w:tab w:val="right" w:leader="dot" w:pos="9016"/>
            </w:tabs>
            <w:rPr>
              <w:rFonts w:eastAsiaTheme="minorEastAsia"/>
              <w:noProof/>
              <w:lang w:eastAsia="en-GB"/>
            </w:rPr>
          </w:pPr>
          <w:hyperlink w:anchor="_Toc235649786" w:history="1">
            <w:r w:rsidRPr="00364961">
              <w:rPr>
                <w:rStyle w:val="Hyperlink"/>
                <w:rFonts w:ascii="Arial" w:eastAsia="DengXian" w:hAnsi="Arial" w:cs="Arial"/>
                <w:b/>
                <w:bCs/>
                <w:noProof/>
                <w:lang w:eastAsia="zh-CN"/>
              </w:rPr>
              <w:t>6. Conclusion</w:t>
            </w:r>
            <w:r>
              <w:rPr>
                <w:noProof/>
                <w:webHidden/>
              </w:rPr>
              <w:tab/>
            </w:r>
            <w:r>
              <w:rPr>
                <w:noProof/>
                <w:webHidden/>
              </w:rPr>
              <w:fldChar w:fldCharType="begin"/>
            </w:r>
            <w:r>
              <w:rPr>
                <w:noProof/>
                <w:webHidden/>
              </w:rPr>
              <w:instrText xml:space="preserve"> PAGEREF _Toc235649786 \h </w:instrText>
            </w:r>
            <w:r>
              <w:rPr>
                <w:noProof/>
                <w:webHidden/>
              </w:rPr>
            </w:r>
            <w:r>
              <w:rPr>
                <w:noProof/>
                <w:webHidden/>
              </w:rPr>
              <w:fldChar w:fldCharType="separate"/>
            </w:r>
            <w:r>
              <w:rPr>
                <w:noProof/>
                <w:webHidden/>
              </w:rPr>
              <w:t>8</w:t>
            </w:r>
            <w:r>
              <w:rPr>
                <w:noProof/>
                <w:webHidden/>
              </w:rPr>
              <w:fldChar w:fldCharType="end"/>
            </w:r>
          </w:hyperlink>
        </w:p>
        <w:p w14:paraId="323CBB7F" w14:textId="25D0E0AE" w:rsidR="007D3613" w:rsidRDefault="007D3613">
          <w:pPr>
            <w:pStyle w:val="TOC1"/>
            <w:tabs>
              <w:tab w:val="right" w:leader="dot" w:pos="9016"/>
            </w:tabs>
            <w:rPr>
              <w:rFonts w:eastAsiaTheme="minorEastAsia"/>
              <w:noProof/>
              <w:lang w:eastAsia="en-GB"/>
            </w:rPr>
          </w:pPr>
          <w:hyperlink w:anchor="_Toc235649787" w:history="1">
            <w:r w:rsidRPr="0036496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_Toc235649787 \h </w:instrText>
            </w:r>
            <w:r>
              <w:rPr>
                <w:noProof/>
                <w:webHidden/>
              </w:rPr>
            </w:r>
            <w:r>
              <w:rPr>
                <w:noProof/>
                <w:webHidden/>
              </w:rPr>
              <w:fldChar w:fldCharType="separate"/>
            </w:r>
            <w:r>
              <w:rPr>
                <w:noProof/>
                <w:webHidden/>
              </w:rPr>
              <w:t>10</w:t>
            </w:r>
            <w:r>
              <w:rPr>
                <w:noProof/>
                <w:webHidden/>
              </w:rPr>
              <w:fldChar w:fldCharType="end"/>
            </w:r>
          </w:hyperlink>
        </w:p>
        <w:p w14:paraId="2B1CFE92" w14:textId="59484A80" w:rsidR="007D3613" w:rsidRDefault="007D3613">
          <w:r>
            <w:rPr>
              <w:b/>
              <w:bCs/>
              <w:noProof/>
            </w:rPr>
            <w:fldChar w:fldCharType="end"/>
          </w:r>
        </w:p>
      </w:sdtContent>
    </w:sdt>
    <w:p w14:paraId="26264459" w14:textId="77777777" w:rsidR="00140549" w:rsidRDefault="00140549" w:rsidP="006C4FA9">
      <w:pPr>
        <w:tabs>
          <w:tab w:val="left" w:pos="1786"/>
        </w:tabs>
      </w:pPr>
    </w:p>
    <w:p w14:paraId="42BAA56A" w14:textId="08CA6CB6" w:rsidR="00140549" w:rsidRDefault="00140549" w:rsidP="006C4FA9">
      <w:pPr>
        <w:tabs>
          <w:tab w:val="left" w:pos="1786"/>
        </w:tabs>
      </w:pPr>
    </w:p>
    <w:p w14:paraId="7AA9CE1D" w14:textId="77777777" w:rsidR="00A77C96" w:rsidRDefault="00A77C96" w:rsidP="006C4FA9">
      <w:pPr>
        <w:tabs>
          <w:tab w:val="left" w:pos="1786"/>
        </w:tabs>
      </w:pPr>
    </w:p>
    <w:p w14:paraId="638CC7C8" w14:textId="77777777" w:rsidR="00A77C96" w:rsidRDefault="00A77C96" w:rsidP="006C4FA9">
      <w:pPr>
        <w:tabs>
          <w:tab w:val="left" w:pos="1786"/>
        </w:tabs>
      </w:pPr>
    </w:p>
    <w:p w14:paraId="6A555461" w14:textId="77777777" w:rsidR="00A77C96" w:rsidRDefault="00A77C96" w:rsidP="006C4FA9">
      <w:pPr>
        <w:tabs>
          <w:tab w:val="left" w:pos="1786"/>
        </w:tabs>
      </w:pPr>
    </w:p>
    <w:p w14:paraId="2F277FE0" w14:textId="77777777" w:rsidR="00A77C96" w:rsidRDefault="00A77C96" w:rsidP="006C4FA9">
      <w:pPr>
        <w:tabs>
          <w:tab w:val="left" w:pos="1786"/>
        </w:tabs>
      </w:pPr>
    </w:p>
    <w:p w14:paraId="4CBF5AFE" w14:textId="77777777" w:rsidR="00A77C96" w:rsidRDefault="00A77C96" w:rsidP="006C4FA9">
      <w:pPr>
        <w:tabs>
          <w:tab w:val="left" w:pos="1786"/>
        </w:tabs>
      </w:pPr>
    </w:p>
    <w:p w14:paraId="37554938" w14:textId="77777777" w:rsidR="00A77C96" w:rsidRDefault="00A77C96" w:rsidP="006C4FA9">
      <w:pPr>
        <w:tabs>
          <w:tab w:val="left" w:pos="1786"/>
        </w:tabs>
      </w:pPr>
    </w:p>
    <w:p w14:paraId="7795E25B" w14:textId="77777777" w:rsidR="00A77C96" w:rsidRDefault="00A77C96" w:rsidP="006C4FA9">
      <w:pPr>
        <w:tabs>
          <w:tab w:val="left" w:pos="1786"/>
        </w:tabs>
      </w:pPr>
    </w:p>
    <w:p w14:paraId="13395C9C" w14:textId="77777777" w:rsidR="00A77C96" w:rsidRDefault="00A77C96" w:rsidP="006C4FA9">
      <w:pPr>
        <w:tabs>
          <w:tab w:val="left" w:pos="1786"/>
        </w:tabs>
      </w:pPr>
    </w:p>
    <w:p w14:paraId="6723A316" w14:textId="77777777" w:rsidR="00A77C96" w:rsidRDefault="00A77C96" w:rsidP="006C4FA9">
      <w:pPr>
        <w:tabs>
          <w:tab w:val="left" w:pos="1786"/>
        </w:tabs>
      </w:pPr>
    </w:p>
    <w:p w14:paraId="40AE5CF3" w14:textId="77777777" w:rsidR="00A77C96" w:rsidRDefault="00A77C96" w:rsidP="006C4FA9">
      <w:pPr>
        <w:tabs>
          <w:tab w:val="left" w:pos="1786"/>
        </w:tabs>
      </w:pPr>
    </w:p>
    <w:p w14:paraId="74EF48E7" w14:textId="77777777" w:rsidR="00A77C96" w:rsidRDefault="00A77C96" w:rsidP="006C4FA9">
      <w:pPr>
        <w:tabs>
          <w:tab w:val="left" w:pos="1786"/>
        </w:tabs>
      </w:pPr>
    </w:p>
    <w:p w14:paraId="3902513D" w14:textId="77777777" w:rsidR="00A77C96" w:rsidRDefault="00A77C96" w:rsidP="006C4FA9">
      <w:pPr>
        <w:tabs>
          <w:tab w:val="left" w:pos="1786"/>
        </w:tabs>
      </w:pPr>
    </w:p>
    <w:p w14:paraId="6FE797F7" w14:textId="77777777" w:rsidR="00A77C96" w:rsidRPr="006317CA" w:rsidRDefault="00A77C96" w:rsidP="006C4FA9">
      <w:pPr>
        <w:tabs>
          <w:tab w:val="left" w:pos="1786"/>
        </w:tabs>
        <w:rPr>
          <w:rFonts w:ascii="Arial" w:hAnsi="Arial" w:cs="Arial"/>
        </w:rPr>
      </w:pPr>
    </w:p>
    <w:p w14:paraId="45F0C002" w14:textId="07B96B9C" w:rsidR="00A77C96" w:rsidRPr="00D515C8" w:rsidRDefault="00A77C96" w:rsidP="00D515C8">
      <w:pPr>
        <w:pStyle w:val="Heading1"/>
        <w:numPr>
          <w:ilvl w:val="0"/>
          <w:numId w:val="7"/>
        </w:numPr>
        <w:rPr>
          <w:rFonts w:ascii="Arial" w:hAnsi="Arial" w:cs="Arial"/>
          <w:b/>
          <w:bCs/>
          <w:color w:val="000000" w:themeColor="text1"/>
          <w:sz w:val="28"/>
          <w:szCs w:val="28"/>
        </w:rPr>
      </w:pPr>
      <w:bookmarkStart w:id="0" w:name="_Toc235649775"/>
      <w:r w:rsidRPr="00D515C8">
        <w:rPr>
          <w:rFonts w:ascii="Arial" w:hAnsi="Arial" w:cs="Arial"/>
          <w:b/>
          <w:bCs/>
          <w:color w:val="000000" w:themeColor="text1"/>
          <w:sz w:val="28"/>
          <w:szCs w:val="28"/>
        </w:rPr>
        <w:lastRenderedPageBreak/>
        <w:t>Introduction</w:t>
      </w:r>
      <w:bookmarkEnd w:id="0"/>
      <w:r w:rsidR="00D1194E" w:rsidRPr="00D515C8">
        <w:rPr>
          <w:rFonts w:ascii="Arial" w:hAnsi="Arial" w:cs="Arial"/>
          <w:b/>
          <w:bCs/>
          <w:color w:val="000000" w:themeColor="text1"/>
          <w:sz w:val="28"/>
          <w:szCs w:val="28"/>
        </w:rPr>
        <w:t xml:space="preserve"> </w:t>
      </w:r>
      <w:r w:rsidR="0091682C" w:rsidRPr="00D515C8">
        <w:rPr>
          <w:rFonts w:ascii="Arial" w:hAnsi="Arial" w:cs="Arial"/>
          <w:b/>
          <w:bCs/>
          <w:color w:val="000000" w:themeColor="text1"/>
          <w:sz w:val="28"/>
          <w:szCs w:val="28"/>
        </w:rPr>
        <w:t xml:space="preserve"> </w:t>
      </w:r>
    </w:p>
    <w:p w14:paraId="58724D6D" w14:textId="42EB4DA0" w:rsidR="00693BDF" w:rsidRPr="0082324E" w:rsidRDefault="0082324E" w:rsidP="0082324E">
      <w:pPr>
        <w:tabs>
          <w:tab w:val="left" w:pos="1786"/>
        </w:tabs>
        <w:spacing w:line="360" w:lineRule="auto"/>
        <w:jc w:val="both"/>
        <w:rPr>
          <w:rFonts w:ascii="Arial" w:hAnsi="Arial" w:cs="Arial"/>
          <w:sz w:val="22"/>
          <w:szCs w:val="22"/>
        </w:rPr>
      </w:pPr>
      <w:r w:rsidRPr="0082324E">
        <w:rPr>
          <w:rFonts w:ascii="Arial" w:hAnsi="Arial" w:cs="Arial"/>
          <w:sz w:val="22"/>
          <w:szCs w:val="22"/>
        </w:rPr>
        <w:t>Improving health and wellbeing requires action beyond healthcare alone, with wider determinants such as nutrition, poverty, environmental conditions, and social inequality playing a crucial role. This report examines Sustainable Development Goal 3 (Good Health and Well-being) and Sustainable Development Goal 2 (Zero Hunger) to explore how they contribute to healthier and more equitable populations. It also evaluates national and local wellbeing initiatives that support these goals, focusing on their effectiveness in addressing disparities and promoting sustainable improvements in health outcomes. The report concludes by assessing the overall impact of these initiatives on population wellbeing.</w:t>
      </w:r>
    </w:p>
    <w:p w14:paraId="6C3128CB" w14:textId="56589593" w:rsidR="00421E1B" w:rsidRPr="009979DE" w:rsidRDefault="00693BDF" w:rsidP="00882248">
      <w:pPr>
        <w:pStyle w:val="Heading1"/>
        <w:numPr>
          <w:ilvl w:val="0"/>
          <w:numId w:val="7"/>
        </w:numPr>
        <w:rPr>
          <w:rFonts w:ascii="Arial" w:hAnsi="Arial" w:cs="Arial"/>
          <w:b/>
          <w:bCs/>
          <w:color w:val="000000" w:themeColor="text1"/>
          <w:sz w:val="28"/>
          <w:szCs w:val="28"/>
        </w:rPr>
      </w:pPr>
      <w:bookmarkStart w:id="1" w:name="_Toc235649776"/>
      <w:r w:rsidRPr="009979DE">
        <w:rPr>
          <w:rFonts w:ascii="Arial" w:hAnsi="Arial" w:cs="Arial"/>
          <w:b/>
          <w:bCs/>
          <w:color w:val="000000" w:themeColor="text1"/>
          <w:sz w:val="28"/>
          <w:szCs w:val="28"/>
        </w:rPr>
        <w:t>Sustainable Development Goal 3</w:t>
      </w:r>
      <w:r w:rsidR="00AC514C" w:rsidRPr="009979DE">
        <w:rPr>
          <w:rFonts w:ascii="Arial" w:hAnsi="Arial" w:cs="Arial"/>
          <w:b/>
          <w:bCs/>
          <w:color w:val="000000" w:themeColor="text1"/>
          <w:sz w:val="28"/>
          <w:szCs w:val="28"/>
        </w:rPr>
        <w:t>:</w:t>
      </w:r>
      <w:r w:rsidR="005F2464" w:rsidRPr="009979DE">
        <w:rPr>
          <w:rFonts w:ascii="Arial" w:hAnsi="Arial" w:cs="Arial"/>
          <w:b/>
          <w:bCs/>
          <w:color w:val="000000" w:themeColor="text1"/>
          <w:sz w:val="28"/>
          <w:szCs w:val="28"/>
        </w:rPr>
        <w:t xml:space="preserve"> </w:t>
      </w:r>
      <w:r w:rsidR="00872EEE" w:rsidRPr="009979DE">
        <w:rPr>
          <w:rFonts w:ascii="Arial" w:hAnsi="Arial" w:cs="Arial"/>
          <w:b/>
          <w:bCs/>
          <w:color w:val="000000" w:themeColor="text1"/>
          <w:sz w:val="28"/>
          <w:szCs w:val="28"/>
        </w:rPr>
        <w:t>Good Health and Wellbeing</w:t>
      </w:r>
      <w:bookmarkEnd w:id="1"/>
      <w:r w:rsidR="005F2464" w:rsidRPr="009979DE">
        <w:rPr>
          <w:rFonts w:ascii="Arial" w:hAnsi="Arial" w:cs="Arial"/>
          <w:b/>
          <w:bCs/>
          <w:color w:val="000000" w:themeColor="text1"/>
          <w:sz w:val="28"/>
          <w:szCs w:val="28"/>
        </w:rPr>
        <w:t xml:space="preserve">     </w:t>
      </w:r>
    </w:p>
    <w:p w14:paraId="05D7DC64" w14:textId="77777777" w:rsidR="005D7355" w:rsidRPr="007E7F1A" w:rsidRDefault="005D7355" w:rsidP="005D735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E7F1A">
        <w:rPr>
          <w:rFonts w:ascii="Arial" w:eastAsia="Times New Roman" w:hAnsi="Arial" w:cs="Arial"/>
          <w:kern w:val="0"/>
          <w:sz w:val="22"/>
          <w:szCs w:val="22"/>
          <w:lang w:eastAsia="en-GB"/>
          <w14:ligatures w14:val="none"/>
        </w:rPr>
        <w:t>According to the United Nations (2023), Sustainable Development Goal 3 (SDG 3) aims to "ensure healthy lives and promote well-being for all at all ages." It recognises health as a fundamental human right and emphasises the importance of accessible, equitable, and high-quality healthcare services. SDG 3 addresses major global health priorities through targets that include reducing maternal mortality, ending preventable deaths of newborns and children, and strengthening the prevention and treatment of infectious diseases such as HIV/AIDS, tuberculosis, and malaria (United Nations, 2023). It also focuses on reducing the growing burden of non-communicable diseases (NCDs), including cardiovascular disease, cancer, diabetes, and chronic respiratory diseases, which account for approximately 74% of global deaths (World Health Organization, 2025).</w:t>
      </w:r>
    </w:p>
    <w:p w14:paraId="452E950F" w14:textId="755ADE4F" w:rsidR="005D7355" w:rsidRPr="007E7F1A" w:rsidRDefault="005D7355" w:rsidP="005D735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E7F1A">
        <w:rPr>
          <w:rFonts w:ascii="Arial" w:eastAsia="Times New Roman" w:hAnsi="Arial" w:cs="Arial"/>
          <w:kern w:val="0"/>
          <w:sz w:val="22"/>
          <w:szCs w:val="22"/>
          <w:lang w:eastAsia="en-GB"/>
          <w14:ligatures w14:val="none"/>
        </w:rPr>
        <w:t xml:space="preserve">Mental health is another key priority within SDG 3. The goal promotes improved access to mental health services, suicide prevention, and the integration of psychological support into primary healthcare. Universal Health Coverage (UHC) is also central to SDG 3, ensuring that all people can access essential health services, medicines, and vaccines without experiencing financial hardship (Venkatesh, 2022). According to the World Health Organization (2025), countries with effective UHC systems achieve better health outcomes and respond more effectively to public health emergencies. In addition, SDG 3 highlights the importance of addressing environmental health issues, including air pollution, unsafe water, and poor sanitation. Achieving these targets also requires investment in a skilled healthcare workforce, particularly nurses, doctors, and primary care practitioners. </w:t>
      </w:r>
      <w:r w:rsidR="00D213DB" w:rsidRPr="007E7F1A">
        <w:rPr>
          <w:rFonts w:ascii="Arial" w:hAnsi="Arial" w:cs="Arial"/>
          <w:color w:val="0D0D0D"/>
          <w:sz w:val="22"/>
          <w:szCs w:val="22"/>
          <w:shd w:val="clear" w:color="auto" w:fill="FFFFFF"/>
        </w:rPr>
        <w:t>Overall, SDG 3 provides a comprehensive framework for strengthening disease prevention, promoting early diagnosis, and ensuring fair access to essential healthcare services</w:t>
      </w:r>
      <w:r w:rsidR="00E031A2" w:rsidRPr="007E7F1A">
        <w:rPr>
          <w:rFonts w:ascii="Arial" w:eastAsia="Times New Roman" w:hAnsi="Arial" w:cs="Arial"/>
          <w:kern w:val="0"/>
          <w:sz w:val="22"/>
          <w:szCs w:val="22"/>
          <w:lang w:eastAsia="en-GB"/>
          <w14:ligatures w14:val="none"/>
        </w:rPr>
        <w:t xml:space="preserve"> (</w:t>
      </w:r>
      <w:r w:rsidR="00E031A2" w:rsidRPr="007E7F1A">
        <w:rPr>
          <w:rFonts w:ascii="Arial" w:eastAsia="Times New Roman" w:hAnsi="Arial" w:cs="Arial"/>
          <w:kern w:val="0"/>
          <w:sz w:val="22"/>
          <w:szCs w:val="22"/>
          <w:lang w:eastAsia="en-GB"/>
          <w14:ligatures w14:val="none"/>
        </w:rPr>
        <w:t>World Health Organization</w:t>
      </w:r>
      <w:r w:rsidR="00E031A2" w:rsidRPr="007E7F1A">
        <w:rPr>
          <w:rFonts w:ascii="Arial" w:eastAsia="Times New Roman" w:hAnsi="Arial" w:cs="Arial"/>
          <w:kern w:val="0"/>
          <w:sz w:val="22"/>
          <w:szCs w:val="22"/>
          <w:lang w:eastAsia="en-GB"/>
          <w14:ligatures w14:val="none"/>
        </w:rPr>
        <w:t xml:space="preserve">, </w:t>
      </w:r>
      <w:r w:rsidR="00E031A2" w:rsidRPr="007E7F1A">
        <w:rPr>
          <w:rFonts w:ascii="Arial" w:eastAsia="Times New Roman" w:hAnsi="Arial" w:cs="Arial"/>
          <w:kern w:val="0"/>
          <w:sz w:val="22"/>
          <w:szCs w:val="22"/>
          <w:lang w:eastAsia="en-GB"/>
          <w14:ligatures w14:val="none"/>
        </w:rPr>
        <w:t>2025)</w:t>
      </w:r>
      <w:r w:rsidR="00E031A2" w:rsidRPr="007E7F1A">
        <w:rPr>
          <w:rFonts w:ascii="Arial" w:eastAsia="Times New Roman" w:hAnsi="Arial" w:cs="Arial"/>
          <w:kern w:val="0"/>
          <w:sz w:val="22"/>
          <w:szCs w:val="22"/>
          <w:lang w:eastAsia="en-GB"/>
          <w14:ligatures w14:val="none"/>
        </w:rPr>
        <w:t>.</w:t>
      </w:r>
    </w:p>
    <w:p w14:paraId="72132E0C" w14:textId="77777777" w:rsidR="00110EDD" w:rsidRPr="007E7F1A" w:rsidRDefault="00110EDD" w:rsidP="005D7355">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27194B26" w14:textId="4C408050" w:rsidR="005D7355" w:rsidRPr="008D2021" w:rsidRDefault="002C6986" w:rsidP="002C6986">
      <w:pPr>
        <w:pStyle w:val="Heading1"/>
        <w:rPr>
          <w:rStyle w:val="Heading2Char"/>
          <w:rFonts w:ascii="Arial" w:hAnsi="Arial" w:cs="Arial"/>
          <w:b/>
          <w:bCs/>
          <w:color w:val="000000" w:themeColor="text1"/>
          <w:sz w:val="28"/>
          <w:szCs w:val="28"/>
          <w:lang w:eastAsia="en-GB"/>
        </w:rPr>
      </w:pPr>
      <w:bookmarkStart w:id="2" w:name="_Toc235649777"/>
      <w:r w:rsidRPr="008D2021">
        <w:rPr>
          <w:rFonts w:ascii="Arial" w:eastAsia="Times New Roman" w:hAnsi="Arial" w:cs="Arial"/>
          <w:b/>
          <w:bCs/>
          <w:color w:val="000000" w:themeColor="text1"/>
          <w:kern w:val="0"/>
          <w:sz w:val="28"/>
          <w:szCs w:val="28"/>
          <w:lang w:eastAsia="en-GB"/>
          <w14:ligatures w14:val="none"/>
        </w:rPr>
        <w:lastRenderedPageBreak/>
        <w:t>2.1</w:t>
      </w:r>
      <w:r w:rsidR="00712369" w:rsidRPr="008D2021">
        <w:rPr>
          <w:rFonts w:ascii="Arial" w:eastAsia="Times New Roman" w:hAnsi="Arial" w:cs="Arial"/>
          <w:b/>
          <w:bCs/>
          <w:color w:val="000000" w:themeColor="text1"/>
          <w:kern w:val="0"/>
          <w:sz w:val="28"/>
          <w:szCs w:val="28"/>
          <w:lang w:eastAsia="en-GB"/>
          <w14:ligatures w14:val="none"/>
        </w:rPr>
        <w:t xml:space="preserve"> </w:t>
      </w:r>
      <w:r w:rsidR="005D7355" w:rsidRPr="008D2021">
        <w:rPr>
          <w:rFonts w:ascii="Arial" w:eastAsia="Times New Roman" w:hAnsi="Arial" w:cs="Arial"/>
          <w:b/>
          <w:bCs/>
          <w:color w:val="000000" w:themeColor="text1"/>
          <w:kern w:val="0"/>
          <w:sz w:val="28"/>
          <w:szCs w:val="28"/>
          <w:lang w:eastAsia="en-GB"/>
          <w14:ligatures w14:val="none"/>
        </w:rPr>
        <w:t xml:space="preserve"> </w:t>
      </w:r>
      <w:r w:rsidR="005D7355" w:rsidRPr="008D2021">
        <w:rPr>
          <w:rStyle w:val="Heading2Char"/>
          <w:rFonts w:ascii="Arial" w:hAnsi="Arial" w:cs="Arial"/>
          <w:b/>
          <w:bCs/>
          <w:color w:val="000000" w:themeColor="text1"/>
          <w:sz w:val="28"/>
          <w:szCs w:val="28"/>
          <w:lang w:eastAsia="en-GB"/>
        </w:rPr>
        <w:t>Impact on Health and Well-being</w:t>
      </w:r>
      <w:bookmarkEnd w:id="2"/>
    </w:p>
    <w:p w14:paraId="1064BD76" w14:textId="5F1F7E58" w:rsidR="005D7355" w:rsidRPr="007E7F1A" w:rsidRDefault="005D7355" w:rsidP="005D735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E7F1A">
        <w:rPr>
          <w:rFonts w:ascii="Arial" w:eastAsia="Times New Roman" w:hAnsi="Arial" w:cs="Arial"/>
          <w:kern w:val="0"/>
          <w:sz w:val="22"/>
          <w:szCs w:val="22"/>
          <w:lang w:eastAsia="en-GB"/>
          <w14:ligatures w14:val="none"/>
        </w:rPr>
        <w:t xml:space="preserve">SDG 3 positively influences physical, mental, and social well-being by promoting disease prevention, early diagnosis, and equal access to </w:t>
      </w:r>
      <w:r w:rsidR="00D21C1E" w:rsidRPr="007E7F1A">
        <w:rPr>
          <w:rFonts w:ascii="Arial" w:eastAsia="Times New Roman" w:hAnsi="Arial" w:cs="Arial"/>
          <w:kern w:val="0"/>
          <w:sz w:val="22"/>
          <w:szCs w:val="22"/>
          <w:lang w:eastAsia="en-GB"/>
          <w14:ligatures w14:val="none"/>
        </w:rPr>
        <w:t>healthcare</w:t>
      </w:r>
      <w:r w:rsidR="00905533" w:rsidRPr="007E7F1A">
        <w:rPr>
          <w:rFonts w:ascii="Arial" w:eastAsia="Times New Roman" w:hAnsi="Arial" w:cs="Arial"/>
          <w:kern w:val="0"/>
          <w:sz w:val="22"/>
          <w:szCs w:val="22"/>
          <w:lang w:eastAsia="en-GB"/>
          <w14:ligatures w14:val="none"/>
        </w:rPr>
        <w:t xml:space="preserve"> </w:t>
      </w:r>
      <w:r w:rsidR="00905533" w:rsidRPr="007E7F1A">
        <w:rPr>
          <w:rFonts w:ascii="Arial" w:eastAsia="Times New Roman" w:hAnsi="Arial" w:cs="Arial"/>
          <w:kern w:val="0"/>
          <w:sz w:val="22"/>
          <w:szCs w:val="22"/>
          <w:lang w:eastAsia="en-GB"/>
          <w14:ligatures w14:val="none"/>
        </w:rPr>
        <w:t>(Macassa, 2021).</w:t>
      </w:r>
      <w:r w:rsidRPr="007E7F1A">
        <w:rPr>
          <w:rFonts w:ascii="Arial" w:eastAsia="Times New Roman" w:hAnsi="Arial" w:cs="Arial"/>
          <w:kern w:val="0"/>
          <w:sz w:val="22"/>
          <w:szCs w:val="22"/>
          <w:lang w:eastAsia="en-GB"/>
          <w14:ligatures w14:val="none"/>
        </w:rPr>
        <w:t xml:space="preserve">Preventive measures such as immunisation programmes, health screening, and public health education reduce the burden of communicable and non-communicable diseases while encouraging healthier lifestyles </w:t>
      </w:r>
      <w:r w:rsidR="0029608E" w:rsidRPr="007E7F1A">
        <w:rPr>
          <w:rFonts w:ascii="Arial" w:eastAsia="Times New Roman" w:hAnsi="Arial" w:cs="Arial"/>
          <w:kern w:val="0"/>
          <w:sz w:val="22"/>
          <w:szCs w:val="22"/>
          <w:lang w:eastAsia="en-GB"/>
          <w14:ligatures w14:val="none"/>
        </w:rPr>
        <w:t>(Macassa, 2021).</w:t>
      </w:r>
      <w:r w:rsidRPr="007E7F1A">
        <w:rPr>
          <w:rFonts w:ascii="Arial" w:eastAsia="Times New Roman" w:hAnsi="Arial" w:cs="Arial"/>
          <w:kern w:val="0"/>
          <w:sz w:val="22"/>
          <w:szCs w:val="22"/>
          <w:lang w:eastAsia="en-GB"/>
          <w14:ligatures w14:val="none"/>
        </w:rPr>
        <w:t>These priorities are reflected in the NHS Long Term Plan, which focuses on prevention, personalised care, and integrated community healthcare services.</w:t>
      </w:r>
    </w:p>
    <w:p w14:paraId="03C50461" w14:textId="461919EB" w:rsidR="005D7355" w:rsidRPr="007E7F1A" w:rsidRDefault="005D7355" w:rsidP="005D735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E7F1A">
        <w:rPr>
          <w:rFonts w:ascii="Arial" w:eastAsia="Times New Roman" w:hAnsi="Arial" w:cs="Arial"/>
          <w:kern w:val="0"/>
          <w:sz w:val="22"/>
          <w:szCs w:val="22"/>
          <w:lang w:eastAsia="en-GB"/>
          <w14:ligatures w14:val="none"/>
        </w:rPr>
        <w:t>The goal also recognises the importance of mental health in overall well-being. Mental health conditions such as depression and anxiety affect more than 650 million people worldwide, particularly in low- and middle-income countries (Davidson and Lawyer, 2019). Expanding access to psychological therapies, community-based support, and crisis intervention services improves emotional well-being, encourages early treatment, and helps reduce suicide rates. Efforts to reduce mental health stigma also encourage individuals to seek professional support</w:t>
      </w:r>
      <w:r w:rsidR="004F2B97" w:rsidRPr="007E7F1A">
        <w:rPr>
          <w:rFonts w:ascii="Arial" w:eastAsia="Times New Roman" w:hAnsi="Arial" w:cs="Arial"/>
          <w:kern w:val="0"/>
          <w:sz w:val="22"/>
          <w:szCs w:val="22"/>
          <w:lang w:eastAsia="en-GB"/>
          <w14:ligatures w14:val="none"/>
        </w:rPr>
        <w:t>.</w:t>
      </w:r>
    </w:p>
    <w:p w14:paraId="0F0F38AC" w14:textId="0890B891" w:rsidR="00F75FA4" w:rsidRPr="007E7F1A" w:rsidRDefault="005D7355" w:rsidP="001F7E8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E7F1A">
        <w:rPr>
          <w:rFonts w:ascii="Arial" w:eastAsia="Times New Roman" w:hAnsi="Arial" w:cs="Arial"/>
          <w:kern w:val="0"/>
          <w:sz w:val="22"/>
          <w:szCs w:val="22"/>
          <w:lang w:eastAsia="en-GB"/>
          <w14:ligatures w14:val="none"/>
        </w:rPr>
        <w:t>SDG 3 further promotes social well-being by reducing health inequalities and improving access to healthcare for disadvantaged populations. This is particularly relevant in the UK, where differences in life expectancy and disease prevalence remain between socioeconomic groups (Sithole-Tetani, 2024). Furthermore, addressing wider determinants of health, such as poverty, environmental hazards, and access to clean water and sanitation, contributes to improved quality of life and increased life expectancy. Healthier populations are more productive, reducing healthcare costs and supporting economic development. Overall, SDG 3 strengthens physical, mental, and social well-being by promoting sustainable, equitable, and prevention-focused healthcare systems</w:t>
      </w:r>
      <w:r w:rsidR="00870568" w:rsidRPr="007E7F1A">
        <w:rPr>
          <w:rFonts w:ascii="Arial" w:eastAsia="Times New Roman" w:hAnsi="Arial" w:cs="Arial"/>
          <w:kern w:val="0"/>
          <w:sz w:val="22"/>
          <w:szCs w:val="22"/>
          <w:lang w:eastAsia="en-GB"/>
          <w14:ligatures w14:val="none"/>
        </w:rPr>
        <w:t xml:space="preserve"> </w:t>
      </w:r>
      <w:r w:rsidR="00870568" w:rsidRPr="007E7F1A">
        <w:rPr>
          <w:rFonts w:ascii="Arial" w:eastAsia="Times New Roman" w:hAnsi="Arial" w:cs="Arial"/>
          <w:kern w:val="0"/>
          <w:sz w:val="22"/>
          <w:szCs w:val="22"/>
          <w:lang w:eastAsia="en-GB"/>
          <w14:ligatures w14:val="none"/>
        </w:rPr>
        <w:t>(Sithole-Tetani, 2024).</w:t>
      </w:r>
    </w:p>
    <w:p w14:paraId="6CAF88BB" w14:textId="77777777" w:rsidR="00FF24B3" w:rsidRPr="00402899" w:rsidRDefault="00FF24B3" w:rsidP="006A58DD">
      <w:pPr>
        <w:pStyle w:val="Heading1"/>
        <w:spacing w:line="240" w:lineRule="auto"/>
        <w:rPr>
          <w:rFonts w:ascii="Arial" w:eastAsia="Times New Roman" w:hAnsi="Arial" w:cs="Arial"/>
          <w:b/>
          <w:bCs/>
          <w:color w:val="000000" w:themeColor="text1"/>
          <w:sz w:val="28"/>
          <w:szCs w:val="28"/>
          <w:lang w:eastAsia="en-GB"/>
        </w:rPr>
      </w:pPr>
      <w:bookmarkStart w:id="3" w:name="_Toc235649778"/>
      <w:r w:rsidRPr="00402899">
        <w:rPr>
          <w:rFonts w:ascii="Arial" w:eastAsia="Times New Roman" w:hAnsi="Arial" w:cs="Arial"/>
          <w:b/>
          <w:bCs/>
          <w:color w:val="000000" w:themeColor="text1"/>
          <w:sz w:val="28"/>
          <w:szCs w:val="28"/>
          <w:lang w:eastAsia="en-GB"/>
        </w:rPr>
        <w:t>3. Sustainable Development Goal 2: Zero Hunger</w:t>
      </w:r>
      <w:bookmarkEnd w:id="3"/>
      <w:r w:rsidRPr="00402899">
        <w:rPr>
          <w:rFonts w:ascii="Arial" w:eastAsia="Times New Roman" w:hAnsi="Arial" w:cs="Arial"/>
          <w:b/>
          <w:bCs/>
          <w:color w:val="000000" w:themeColor="text1"/>
          <w:sz w:val="28"/>
          <w:szCs w:val="28"/>
          <w:lang w:eastAsia="en-GB"/>
        </w:rPr>
        <w:t xml:space="preserve"> </w:t>
      </w:r>
    </w:p>
    <w:p w14:paraId="251D4F1E" w14:textId="77940AB9" w:rsidR="00FF24B3" w:rsidRPr="00FC73E8" w:rsidRDefault="00FF24B3" w:rsidP="006A58DD">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 xml:space="preserve">Sustainable Development Goal (SDG) 2, </w:t>
      </w:r>
      <w:r w:rsidRPr="00FC73E8">
        <w:rPr>
          <w:rFonts w:ascii="Arial" w:eastAsia="Times New Roman" w:hAnsi="Arial" w:cs="Arial"/>
          <w:b/>
          <w:bCs/>
          <w:kern w:val="0"/>
          <w:sz w:val="22"/>
          <w:szCs w:val="22"/>
          <w:lang w:eastAsia="en-GB"/>
          <w14:ligatures w14:val="none"/>
        </w:rPr>
        <w:t>Zero Hunger</w:t>
      </w:r>
      <w:r w:rsidRPr="00FC73E8">
        <w:rPr>
          <w:rFonts w:ascii="Arial" w:eastAsia="Times New Roman" w:hAnsi="Arial" w:cs="Arial"/>
          <w:kern w:val="0"/>
          <w:sz w:val="22"/>
          <w:szCs w:val="22"/>
          <w:lang w:eastAsia="en-GB"/>
          <w14:ligatures w14:val="none"/>
        </w:rPr>
        <w:t>, aims to end hunger and all forms of malnutrition by 2030, achieve food security, improve nutrition, and promote sustainable agriculture. The goal recognises that adequate nutrition is essential for health, development, and long-term wellbeing</w:t>
      </w:r>
      <w:r w:rsidR="00701642" w:rsidRPr="00FC73E8">
        <w:rPr>
          <w:rFonts w:ascii="Arial" w:eastAsia="Times New Roman" w:hAnsi="Arial" w:cs="Arial"/>
          <w:kern w:val="0"/>
          <w:sz w:val="22"/>
          <w:szCs w:val="22"/>
          <w:lang w:eastAsia="en-GB"/>
          <w14:ligatures w14:val="none"/>
        </w:rPr>
        <w:t xml:space="preserve"> </w:t>
      </w:r>
      <w:r w:rsidR="00701642" w:rsidRPr="00FC73E8">
        <w:rPr>
          <w:rFonts w:ascii="Arial" w:eastAsia="Times New Roman" w:hAnsi="Arial" w:cs="Arial"/>
          <w:kern w:val="0"/>
          <w:sz w:val="22"/>
          <w:szCs w:val="22"/>
          <w:lang w:eastAsia="en-GB"/>
          <w14:ligatures w14:val="none"/>
        </w:rPr>
        <w:t xml:space="preserve">(Sporchia et al., 2024). </w:t>
      </w:r>
      <w:r w:rsidRPr="00FC73E8">
        <w:rPr>
          <w:rFonts w:ascii="Arial" w:eastAsia="Times New Roman" w:hAnsi="Arial" w:cs="Arial"/>
          <w:kern w:val="0"/>
          <w:sz w:val="22"/>
          <w:szCs w:val="22"/>
          <w:lang w:eastAsia="en-GB"/>
          <w14:ligatures w14:val="none"/>
        </w:rPr>
        <w:t xml:space="preserve">Its key targets include ensuring universal access to safe, nutritious, and sufficient food, ending malnutrition, increasing agricultural productivity, and promoting sustainable food systems that protect ecosystems and strengthen resilience to climate change (Sporchia et al., 2024). SDG 2 is essential because food </w:t>
      </w:r>
      <w:r w:rsidRPr="00FC73E8">
        <w:rPr>
          <w:rFonts w:ascii="Arial" w:eastAsia="Times New Roman" w:hAnsi="Arial" w:cs="Arial"/>
          <w:kern w:val="0"/>
          <w:sz w:val="22"/>
          <w:szCs w:val="22"/>
          <w:lang w:eastAsia="en-GB"/>
          <w14:ligatures w14:val="none"/>
        </w:rPr>
        <w:lastRenderedPageBreak/>
        <w:t>insecurity remains a major global challenge, contributing to poor health, poverty, and inequality.</w:t>
      </w:r>
    </w:p>
    <w:p w14:paraId="7070FC00" w14:textId="337D648C" w:rsidR="00FF24B3" w:rsidRPr="00FC73E8" w:rsidRDefault="00FF24B3" w:rsidP="00FF24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 xml:space="preserve">Globally, around 2 billion people lack regular access to safe and nutritious food. In 2024, 23.2% of children experienced stunted growth, while 6.6% of children under five were affected by wasting (United Nations, 2025). Chronic malnutrition during childhood can impair physical growth, cognitive development, educational achievement, and future productivity, while increasing the risk of chronic diseases </w:t>
      </w:r>
      <w:r w:rsidR="00701642" w:rsidRPr="00FC73E8">
        <w:rPr>
          <w:rFonts w:ascii="Arial" w:eastAsia="Times New Roman" w:hAnsi="Arial" w:cs="Arial"/>
          <w:kern w:val="0"/>
          <w:sz w:val="22"/>
          <w:szCs w:val="22"/>
          <w:lang w:eastAsia="en-GB"/>
          <w14:ligatures w14:val="none"/>
        </w:rPr>
        <w:t xml:space="preserve">(United Nations, 2025). </w:t>
      </w:r>
      <w:r w:rsidRPr="00FC73E8">
        <w:rPr>
          <w:rFonts w:ascii="Arial" w:eastAsia="Times New Roman" w:hAnsi="Arial" w:cs="Arial"/>
          <w:kern w:val="0"/>
          <w:sz w:val="22"/>
          <w:szCs w:val="22"/>
          <w:lang w:eastAsia="en-GB"/>
          <w14:ligatures w14:val="none"/>
        </w:rPr>
        <w:t>Achieving SDG 2 is therefore critical to improving health outcomes and breaking the cycle of poverty.</w:t>
      </w:r>
    </w:p>
    <w:p w14:paraId="39807E7E" w14:textId="29CFA540" w:rsidR="00FF24B3" w:rsidRPr="00FC73E8" w:rsidRDefault="00FF24B3" w:rsidP="00FF24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 xml:space="preserve">Improving nutrition, particularly for women, children, and vulnerable populations, is another key priority (Atukunda et al., 2021). Strategies such as breastfeeding promotion, micronutrient supplementation, school feeding programmes, and nutrition education improve growth, strengthen immunity, and support cognitive development. </w:t>
      </w:r>
      <w:r w:rsidR="00CB1BCF" w:rsidRPr="00FC73E8">
        <w:rPr>
          <w:rFonts w:ascii="Arial" w:eastAsia="Times New Roman" w:hAnsi="Arial" w:cs="Arial"/>
          <w:color w:val="000000" w:themeColor="text1"/>
          <w:kern w:val="0"/>
          <w:sz w:val="22"/>
          <w:szCs w:val="22"/>
          <w:lang w:eastAsia="en-GB"/>
          <w14:ligatures w14:val="none"/>
        </w:rPr>
        <w:t>Atukunda et al. (2021)</w:t>
      </w:r>
      <w:r w:rsidR="00C5058E" w:rsidRPr="00FC73E8">
        <w:rPr>
          <w:rFonts w:ascii="Arial" w:eastAsia="Times New Roman" w:hAnsi="Arial" w:cs="Arial"/>
          <w:color w:val="000000" w:themeColor="text1"/>
          <w:kern w:val="0"/>
          <w:sz w:val="22"/>
          <w:szCs w:val="22"/>
          <w:lang w:eastAsia="en-GB"/>
          <w14:ligatures w14:val="none"/>
        </w:rPr>
        <w:t xml:space="preserve"> argues that</w:t>
      </w:r>
      <w:r w:rsidR="00761EEF" w:rsidRPr="00FC73E8">
        <w:rPr>
          <w:rFonts w:ascii="Arial" w:eastAsia="Times New Roman" w:hAnsi="Arial" w:cs="Arial"/>
          <w:color w:val="000000" w:themeColor="text1"/>
          <w:kern w:val="0"/>
          <w:sz w:val="22"/>
          <w:szCs w:val="22"/>
          <w:lang w:eastAsia="en-GB"/>
          <w14:ligatures w14:val="none"/>
        </w:rPr>
        <w:t>,</w:t>
      </w:r>
      <w:r w:rsidR="00C5058E" w:rsidRPr="00FC73E8">
        <w:rPr>
          <w:rFonts w:ascii="Arial" w:eastAsia="Times New Roman" w:hAnsi="Arial" w:cs="Arial"/>
          <w:color w:val="000000" w:themeColor="text1"/>
          <w:kern w:val="0"/>
          <w:sz w:val="22"/>
          <w:szCs w:val="22"/>
          <w:lang w:eastAsia="en-GB"/>
          <w14:ligatures w14:val="none"/>
        </w:rPr>
        <w:t xml:space="preserve"> </w:t>
      </w:r>
      <w:r w:rsidRPr="00FC73E8">
        <w:rPr>
          <w:rFonts w:ascii="Arial" w:eastAsia="Times New Roman" w:hAnsi="Arial" w:cs="Arial"/>
          <w:color w:val="000000" w:themeColor="text1"/>
          <w:kern w:val="0"/>
          <w:sz w:val="22"/>
          <w:szCs w:val="22"/>
          <w:lang w:eastAsia="en-GB"/>
          <w14:ligatures w14:val="none"/>
        </w:rPr>
        <w:t xml:space="preserve"> </w:t>
      </w:r>
      <w:r w:rsidR="00761EEF" w:rsidRPr="00FC73E8">
        <w:rPr>
          <w:rFonts w:ascii="Arial" w:eastAsia="Times New Roman" w:hAnsi="Arial" w:cs="Arial"/>
          <w:color w:val="000000" w:themeColor="text1"/>
          <w:kern w:val="0"/>
          <w:sz w:val="22"/>
          <w:szCs w:val="22"/>
          <w:lang w:eastAsia="en-GB"/>
          <w14:ligatures w14:val="none"/>
        </w:rPr>
        <w:t xml:space="preserve">for </w:t>
      </w:r>
      <w:r w:rsidR="002E79E4" w:rsidRPr="00FC73E8">
        <w:rPr>
          <w:rFonts w:ascii="Arial" w:eastAsia="Times New Roman" w:hAnsi="Arial" w:cs="Arial"/>
          <w:color w:val="000000" w:themeColor="text1"/>
          <w:kern w:val="0"/>
          <w:sz w:val="22"/>
          <w:szCs w:val="22"/>
          <w:lang w:eastAsia="en-GB"/>
          <w14:ligatures w14:val="none"/>
        </w:rPr>
        <w:t>adult’s</w:t>
      </w:r>
      <w:r w:rsidRPr="00FC73E8">
        <w:rPr>
          <w:rFonts w:ascii="Arial" w:eastAsia="Times New Roman" w:hAnsi="Arial" w:cs="Arial"/>
          <w:color w:val="000000" w:themeColor="text1"/>
          <w:kern w:val="0"/>
          <w:sz w:val="22"/>
          <w:szCs w:val="22"/>
          <w:lang w:eastAsia="en-GB"/>
          <w14:ligatures w14:val="none"/>
        </w:rPr>
        <w:t xml:space="preserve"> healthy diets reduce the risk of non-communicable diseases (NCDs), including </w:t>
      </w:r>
      <w:r w:rsidRPr="00FC73E8">
        <w:rPr>
          <w:rFonts w:ascii="Arial" w:eastAsia="Times New Roman" w:hAnsi="Arial" w:cs="Arial"/>
          <w:kern w:val="0"/>
          <w:sz w:val="22"/>
          <w:szCs w:val="22"/>
          <w:lang w:eastAsia="en-GB"/>
          <w14:ligatures w14:val="none"/>
        </w:rPr>
        <w:t>obesity, hypertension, and type 2 diabetes. SDG 2 also recognises poverty as a major cause of hunger. Social protection measures, including food vouchers and cash transfers, help low-income families access nutritious food, while supporting small-scale farmers through training, technology, and market access strengthens local food systems and improves livelihoods</w:t>
      </w:r>
      <w:r w:rsidR="007B328F" w:rsidRPr="00FC73E8">
        <w:rPr>
          <w:rFonts w:ascii="Arial" w:eastAsia="Times New Roman" w:hAnsi="Arial" w:cs="Arial"/>
          <w:kern w:val="0"/>
          <w:sz w:val="22"/>
          <w:szCs w:val="22"/>
          <w:lang w:eastAsia="en-GB"/>
          <w14:ligatures w14:val="none"/>
        </w:rPr>
        <w:t>.</w:t>
      </w:r>
    </w:p>
    <w:p w14:paraId="1181703B" w14:textId="77777777" w:rsidR="00FF24B3" w:rsidRPr="00402899" w:rsidRDefault="00FF24B3" w:rsidP="00402899">
      <w:pPr>
        <w:pStyle w:val="Heading2"/>
        <w:rPr>
          <w:rFonts w:ascii="Arial" w:eastAsia="Times New Roman" w:hAnsi="Arial" w:cs="Arial"/>
          <w:b/>
          <w:bCs/>
          <w:color w:val="000000" w:themeColor="text1"/>
          <w:sz w:val="28"/>
          <w:szCs w:val="28"/>
          <w:lang w:eastAsia="en-GB"/>
        </w:rPr>
      </w:pPr>
      <w:bookmarkStart w:id="4" w:name="_Toc235649779"/>
      <w:r w:rsidRPr="00402899">
        <w:rPr>
          <w:rFonts w:ascii="Arial" w:eastAsia="Times New Roman" w:hAnsi="Arial" w:cs="Arial"/>
          <w:b/>
          <w:bCs/>
          <w:color w:val="000000" w:themeColor="text1"/>
          <w:sz w:val="28"/>
          <w:szCs w:val="28"/>
          <w:lang w:eastAsia="en-GB"/>
        </w:rPr>
        <w:t>3.1 Impact on Health and Wellbeing</w:t>
      </w:r>
      <w:bookmarkEnd w:id="4"/>
    </w:p>
    <w:p w14:paraId="0E35BCA1" w14:textId="24E647D0" w:rsidR="00FF24B3" w:rsidRPr="00FC73E8" w:rsidRDefault="00FF24B3" w:rsidP="00FF24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SDG 2 has a significant impact on physical health because adequate nutrition is fundamental to growth, immune function, and disease prevention. Malnutrition increases susceptibility to infections, delays recovery, and contributes to long-term health conditions (Grosso et al., 2020). Access to healthy food supports healthy body weight and lowers the risk of diet-related non-communicable diseases (NCDs), improving overall health and quality of life.</w:t>
      </w:r>
    </w:p>
    <w:p w14:paraId="3E921D44" w14:textId="77777777" w:rsidR="00FF24B3" w:rsidRPr="00FC73E8" w:rsidRDefault="00FF24B3" w:rsidP="00FF24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Food security also influences mental and social wellbeing. Hunger and poor nutrition are associated with stress, anxiety, depression, and reduced cognitive performance (Ejiohuo et al., 2024). Children experiencing food insecurity often have poorer educational outcomes and fewer opportunities later in life. Ensuring access to affordable and culturally appropriate food reduces inequalities, strengthens community wellbeing, and promotes social inclusion.</w:t>
      </w:r>
    </w:p>
    <w:p w14:paraId="117784B4" w14:textId="40DDC1A9" w:rsidR="003E56FA" w:rsidRPr="00FC73E8" w:rsidRDefault="00FF24B3" w:rsidP="003E56F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 xml:space="preserve">Environmental wellbeing is supported through sustainable agriculture, responsible food production, and reduced food waste, which help protect biodiversity and reduce greenhouse gas emissions (Grosso et al., 2020). Sustainable food systems are also more resilient to climate change and economic shocks. In the UK, SDG 2 remains relevant because of </w:t>
      </w:r>
      <w:r w:rsidRPr="00FC73E8">
        <w:rPr>
          <w:rFonts w:ascii="Arial" w:eastAsia="Times New Roman" w:hAnsi="Arial" w:cs="Arial"/>
          <w:kern w:val="0"/>
          <w:sz w:val="22"/>
          <w:szCs w:val="22"/>
          <w:lang w:eastAsia="en-GB"/>
          <w14:ligatures w14:val="none"/>
        </w:rPr>
        <w:lastRenderedPageBreak/>
        <w:t>increasing food insecurity, rising demand for food banks, and the importance of school meal programmes and other support services (Ejiohuo et al., 2024). By improving access to nutritious food and promoting sustainable food systems, SDG 2 contributes to better health, reduced inequalities, and more resilient communities.</w:t>
      </w:r>
    </w:p>
    <w:p w14:paraId="312AA4EA" w14:textId="77777777" w:rsidR="003E56FA" w:rsidRPr="00402899" w:rsidRDefault="003E56FA" w:rsidP="00402899">
      <w:pPr>
        <w:pStyle w:val="Heading1"/>
        <w:rPr>
          <w:rFonts w:ascii="Arial" w:hAnsi="Arial" w:cs="Arial"/>
          <w:b/>
          <w:bCs/>
          <w:color w:val="000000" w:themeColor="text1"/>
          <w:sz w:val="28"/>
          <w:szCs w:val="28"/>
        </w:rPr>
      </w:pPr>
      <w:bookmarkStart w:id="5" w:name="_Toc235649780"/>
      <w:r w:rsidRPr="00402899">
        <w:rPr>
          <w:rFonts w:ascii="Arial" w:hAnsi="Arial" w:cs="Arial"/>
          <w:b/>
          <w:bCs/>
          <w:color w:val="000000" w:themeColor="text1"/>
          <w:sz w:val="28"/>
          <w:szCs w:val="28"/>
        </w:rPr>
        <w:t>4. National Wellbeing Initiatives</w:t>
      </w:r>
      <w:bookmarkEnd w:id="5"/>
      <w:r w:rsidRPr="00402899">
        <w:rPr>
          <w:rFonts w:ascii="Arial" w:hAnsi="Arial" w:cs="Arial"/>
          <w:b/>
          <w:bCs/>
          <w:color w:val="000000" w:themeColor="text1"/>
          <w:sz w:val="28"/>
          <w:szCs w:val="28"/>
        </w:rPr>
        <w:t xml:space="preserve"> </w:t>
      </w:r>
    </w:p>
    <w:p w14:paraId="4C056F56" w14:textId="1279866A" w:rsidR="003E56FA" w:rsidRPr="00402899" w:rsidRDefault="003E56FA" w:rsidP="00402899">
      <w:pPr>
        <w:pStyle w:val="Heading2"/>
        <w:rPr>
          <w:rFonts w:ascii="Arial" w:hAnsi="Arial" w:cs="Arial"/>
          <w:b/>
          <w:bCs/>
          <w:color w:val="000000" w:themeColor="text1"/>
          <w:sz w:val="28"/>
          <w:szCs w:val="28"/>
        </w:rPr>
      </w:pPr>
      <w:bookmarkStart w:id="6" w:name="_Toc235649781"/>
      <w:r w:rsidRPr="00402899">
        <w:rPr>
          <w:rFonts w:ascii="Arial" w:hAnsi="Arial" w:cs="Arial"/>
          <w:b/>
          <w:bCs/>
          <w:color w:val="000000" w:themeColor="text1"/>
          <w:sz w:val="28"/>
          <w:szCs w:val="28"/>
        </w:rPr>
        <w:t>4.1</w:t>
      </w:r>
      <w:r w:rsidR="004B7737" w:rsidRPr="00402899">
        <w:rPr>
          <w:rFonts w:ascii="Arial" w:hAnsi="Arial" w:cs="Arial"/>
          <w:b/>
          <w:bCs/>
          <w:color w:val="000000" w:themeColor="text1"/>
          <w:sz w:val="28"/>
          <w:szCs w:val="28"/>
        </w:rPr>
        <w:t xml:space="preserve"> Initiative 1</w:t>
      </w:r>
      <w:r w:rsidRPr="00402899">
        <w:rPr>
          <w:rFonts w:ascii="Arial" w:hAnsi="Arial" w:cs="Arial"/>
          <w:b/>
          <w:bCs/>
          <w:color w:val="000000" w:themeColor="text1"/>
          <w:sz w:val="28"/>
          <w:szCs w:val="28"/>
        </w:rPr>
        <w:t xml:space="preserve"> NHS Long Term Plan (2019)</w:t>
      </w:r>
      <w:bookmarkEnd w:id="6"/>
    </w:p>
    <w:p w14:paraId="29DAF9DF" w14:textId="77777777" w:rsidR="0040227A" w:rsidRPr="00FC73E8" w:rsidRDefault="0040227A" w:rsidP="0040227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The NHS Long Term Plan (2019) is a national strategy designed to improve population health through prevention, personalised care, and integrated services. Its priorities include reducing health inequalities, expanding mental health support, improving early diagnosis for conditions such as cancer, and increasing the use of digital healthcare. Strengthening primary and community care is central to the plan, aiming to reduce pressure on hospitals and deliver more coordinated services (</w:t>
      </w:r>
      <w:r w:rsidRPr="00FC73E8">
        <w:rPr>
          <w:rFonts w:ascii="Arial" w:hAnsi="Arial" w:cs="Arial"/>
          <w:sz w:val="22"/>
          <w:szCs w:val="22"/>
        </w:rPr>
        <w:t xml:space="preserve">Nursing Standard, 2019).  </w:t>
      </w:r>
    </w:p>
    <w:p w14:paraId="50B0A28C" w14:textId="6857EBBB" w:rsidR="0040227A" w:rsidRPr="00FC73E8" w:rsidRDefault="0040227A" w:rsidP="0040227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 xml:space="preserve">The plan has supported improvements in prevention and access to care, particularly through investment in mental health and digital innovations such as online consultations and electronic patient records. These developments have enhanced accessibility and encouraged more integrated service delivery </w:t>
      </w:r>
      <w:r w:rsidRPr="00FC73E8">
        <w:rPr>
          <w:rFonts w:ascii="Arial" w:hAnsi="Arial" w:cs="Arial"/>
          <w:sz w:val="22"/>
          <w:szCs w:val="22"/>
        </w:rPr>
        <w:t xml:space="preserve">(Robbins, 2021). </w:t>
      </w:r>
      <w:r w:rsidRPr="00FC73E8">
        <w:rPr>
          <w:rFonts w:ascii="Arial" w:eastAsia="Times New Roman" w:hAnsi="Arial" w:cs="Arial"/>
          <w:kern w:val="0"/>
          <w:sz w:val="22"/>
          <w:szCs w:val="22"/>
          <w:lang w:eastAsia="en-GB"/>
          <w14:ligatures w14:val="none"/>
        </w:rPr>
        <w:t>However, progress has been uneven due to workforce shortages, financial pressures, and rising demand across the NHS. Regional inequalities also limit equal access, especially in disadvantaged communities</w:t>
      </w:r>
      <w:r w:rsidR="00130B26" w:rsidRPr="00FC73E8">
        <w:rPr>
          <w:rFonts w:ascii="Arial" w:eastAsia="Times New Roman" w:hAnsi="Arial" w:cs="Arial"/>
          <w:kern w:val="0"/>
          <w:sz w:val="22"/>
          <w:szCs w:val="22"/>
          <w:lang w:eastAsia="en-GB"/>
          <w14:ligatures w14:val="none"/>
        </w:rPr>
        <w:t xml:space="preserve"> </w:t>
      </w:r>
      <w:r w:rsidR="00130B26" w:rsidRPr="00FC73E8">
        <w:rPr>
          <w:rFonts w:ascii="Arial" w:hAnsi="Arial" w:cs="Arial"/>
          <w:sz w:val="22"/>
          <w:szCs w:val="22"/>
        </w:rPr>
        <w:t>(Cowper, 2019).</w:t>
      </w:r>
    </w:p>
    <w:p w14:paraId="54E6A2DC" w14:textId="77777777" w:rsidR="00177381" w:rsidRPr="00FC73E8" w:rsidRDefault="0040227A" w:rsidP="0017738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73E8">
        <w:rPr>
          <w:rFonts w:ascii="Arial" w:eastAsia="Times New Roman" w:hAnsi="Arial" w:cs="Arial"/>
          <w:kern w:val="0"/>
          <w:sz w:val="22"/>
          <w:szCs w:val="22"/>
          <w:lang w:eastAsia="en-GB"/>
          <w14:ligatures w14:val="none"/>
        </w:rPr>
        <w:t xml:space="preserve">Overall, the plan demonstrates strong policy commitment, but its effectiveness depends on adequate resources and targeted interventions. Improving digital inclusion, expanding the healthcare workforce, and strengthening primary care are essential for reducing inequalities </w:t>
      </w:r>
      <w:r w:rsidRPr="00FC73E8">
        <w:rPr>
          <w:rFonts w:ascii="Arial" w:hAnsi="Arial" w:cs="Arial"/>
          <w:sz w:val="22"/>
          <w:szCs w:val="22"/>
        </w:rPr>
        <w:t xml:space="preserve">(Cowper, 2019). </w:t>
      </w:r>
      <w:r w:rsidRPr="00FC73E8">
        <w:rPr>
          <w:rFonts w:ascii="Arial" w:eastAsia="Times New Roman" w:hAnsi="Arial" w:cs="Arial"/>
          <w:kern w:val="0"/>
          <w:sz w:val="22"/>
          <w:szCs w:val="22"/>
          <w:lang w:eastAsia="en-GB"/>
          <w14:ligatures w14:val="none"/>
        </w:rPr>
        <w:t>Enhanced leadership, patient safety measures, and focused support for deprived areas would further improve long</w:t>
      </w:r>
      <w:r w:rsidRPr="00FC73E8">
        <w:rPr>
          <w:rFonts w:ascii="Arial" w:eastAsia="Times New Roman" w:hAnsi="Arial" w:cs="Arial"/>
          <w:kern w:val="0"/>
          <w:sz w:val="22"/>
          <w:szCs w:val="22"/>
          <w:lang w:eastAsia="en-GB"/>
          <w14:ligatures w14:val="none"/>
        </w:rPr>
        <w:noBreakHyphen/>
        <w:t>term outcomes and ensure more consistent implementation nationwide.</w:t>
      </w:r>
      <w:bookmarkStart w:id="7" w:name="_Toc235478988"/>
      <w:bookmarkStart w:id="8" w:name="_Toc235649782"/>
    </w:p>
    <w:p w14:paraId="50C7DA8B" w14:textId="77777777" w:rsidR="00035192" w:rsidRDefault="003E56FA" w:rsidP="00035192">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AE7700">
        <w:rPr>
          <w:rFonts w:ascii="Arial" w:hAnsi="Arial" w:cs="Arial"/>
          <w:b/>
          <w:bCs/>
          <w:color w:val="000000" w:themeColor="text1"/>
          <w:sz w:val="28"/>
          <w:szCs w:val="28"/>
        </w:rPr>
        <w:t>4.2</w:t>
      </w:r>
      <w:r w:rsidR="004B7737" w:rsidRPr="00AE7700">
        <w:rPr>
          <w:rFonts w:ascii="Arial" w:hAnsi="Arial" w:cs="Arial"/>
          <w:b/>
          <w:bCs/>
          <w:color w:val="000000" w:themeColor="text1"/>
          <w:sz w:val="28"/>
          <w:szCs w:val="28"/>
        </w:rPr>
        <w:t xml:space="preserve"> Initiative</w:t>
      </w:r>
      <w:r w:rsidR="00431ACD" w:rsidRPr="00AE7700">
        <w:rPr>
          <w:rFonts w:ascii="Arial" w:hAnsi="Arial" w:cs="Arial"/>
          <w:b/>
          <w:bCs/>
          <w:color w:val="000000" w:themeColor="text1"/>
          <w:sz w:val="28"/>
          <w:szCs w:val="28"/>
        </w:rPr>
        <w:t xml:space="preserve"> 2</w:t>
      </w:r>
      <w:r w:rsidRPr="00AE7700">
        <w:rPr>
          <w:rFonts w:ascii="Arial" w:hAnsi="Arial" w:cs="Arial"/>
          <w:b/>
          <w:bCs/>
          <w:color w:val="000000" w:themeColor="text1"/>
          <w:sz w:val="28"/>
          <w:szCs w:val="28"/>
        </w:rPr>
        <w:t xml:space="preserve"> </w:t>
      </w:r>
      <w:bookmarkEnd w:id="7"/>
      <w:r w:rsidR="00CD09FB" w:rsidRPr="00AE7700">
        <w:rPr>
          <w:rFonts w:ascii="Arial" w:hAnsi="Arial" w:cs="Arial"/>
          <w:b/>
          <w:bCs/>
          <w:color w:val="000000" w:themeColor="text1"/>
          <w:sz w:val="28"/>
          <w:szCs w:val="28"/>
        </w:rPr>
        <w:t>Healthy Start Scheme</w:t>
      </w:r>
      <w:bookmarkEnd w:id="8"/>
    </w:p>
    <w:p w14:paraId="23FFFA76" w14:textId="0B04C35F" w:rsidR="00C31B82" w:rsidRPr="00A8748C" w:rsidRDefault="00CD09FB" w:rsidP="00B3486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748C">
        <w:rPr>
          <w:rFonts w:ascii="Arial" w:hAnsi="Arial" w:cs="Arial"/>
          <w:color w:val="000000" w:themeColor="text1"/>
          <w:sz w:val="22"/>
          <w:szCs w:val="22"/>
        </w:rPr>
        <w:t>The Healthy Start Scheme is a UK government initiative that aims to improve nutrition and reduce food insecurity among pregnant women, new mothers, and children under four in low-income families</w:t>
      </w:r>
      <w:r w:rsidR="005F77AA" w:rsidRPr="00A8748C">
        <w:rPr>
          <w:rFonts w:ascii="Arial" w:hAnsi="Arial" w:cs="Arial"/>
          <w:color w:val="000000" w:themeColor="text1"/>
          <w:sz w:val="22"/>
          <w:szCs w:val="22"/>
        </w:rPr>
        <w:t xml:space="preserve"> </w:t>
      </w:r>
      <w:r w:rsidR="005F77AA" w:rsidRPr="00A8748C">
        <w:rPr>
          <w:rFonts w:ascii="Arial" w:hAnsi="Arial" w:cs="Arial"/>
          <w:color w:val="000000" w:themeColor="text1"/>
          <w:sz w:val="22"/>
          <w:szCs w:val="22"/>
        </w:rPr>
        <w:t>(Montoya-Williams et al., 2020).</w:t>
      </w:r>
      <w:r w:rsidRPr="00A8748C">
        <w:rPr>
          <w:rFonts w:ascii="Arial" w:hAnsi="Arial" w:cs="Arial"/>
          <w:color w:val="000000" w:themeColor="text1"/>
          <w:sz w:val="22"/>
          <w:szCs w:val="22"/>
        </w:rPr>
        <w:t xml:space="preserve"> The scheme provides prepaid cards that can be used to buy healthy foods such as fruit, vegetables, milk, and infant formula, as well as free vitamin supplements. Its main purpose is to improve maternal and child health, prevent nutritional deficiencies, and support Sustainable Development Goal (SDG) 2: Zero Hunger by increasing access to nutritious food</w:t>
      </w:r>
      <w:r w:rsidR="005F77AA" w:rsidRPr="00A8748C">
        <w:rPr>
          <w:rFonts w:ascii="Arial" w:hAnsi="Arial" w:cs="Arial"/>
          <w:color w:val="000000" w:themeColor="text1"/>
          <w:sz w:val="22"/>
          <w:szCs w:val="22"/>
        </w:rPr>
        <w:t xml:space="preserve"> </w:t>
      </w:r>
      <w:r w:rsidR="00C31B82" w:rsidRPr="00A8748C">
        <w:rPr>
          <w:rFonts w:ascii="Arial" w:eastAsia="Times New Roman" w:hAnsi="Arial" w:cs="Arial"/>
          <w:kern w:val="0"/>
          <w:sz w:val="22"/>
          <w:szCs w:val="22"/>
          <w:lang w:eastAsia="en-GB"/>
          <w14:ligatures w14:val="none"/>
        </w:rPr>
        <w:t xml:space="preserve">(Parasuraman  and de la Cruz, 2019) </w:t>
      </w:r>
      <w:r w:rsidR="00C31B82" w:rsidRPr="00A8748C">
        <w:rPr>
          <w:rFonts w:ascii="Arial" w:eastAsia="Times New Roman" w:hAnsi="Arial" w:cs="Arial"/>
          <w:kern w:val="0"/>
          <w:sz w:val="22"/>
          <w:szCs w:val="22"/>
          <w:lang w:eastAsia="en-GB"/>
          <w14:ligatures w14:val="none"/>
        </w:rPr>
        <w:t>.</w:t>
      </w:r>
    </w:p>
    <w:p w14:paraId="22E8FF47" w14:textId="5784DA53" w:rsidR="00CD09FB" w:rsidRPr="00A8748C" w:rsidRDefault="00CD09FB" w:rsidP="00CD09FB">
      <w:pPr>
        <w:spacing w:line="360" w:lineRule="auto"/>
        <w:jc w:val="both"/>
        <w:rPr>
          <w:rFonts w:ascii="Arial" w:hAnsi="Arial" w:cs="Arial"/>
          <w:color w:val="000000" w:themeColor="text1"/>
          <w:sz w:val="22"/>
          <w:szCs w:val="22"/>
        </w:rPr>
      </w:pPr>
      <w:r w:rsidRPr="00A8748C">
        <w:rPr>
          <w:rFonts w:ascii="Arial" w:hAnsi="Arial" w:cs="Arial"/>
          <w:color w:val="000000" w:themeColor="text1"/>
          <w:sz w:val="22"/>
          <w:szCs w:val="22"/>
        </w:rPr>
        <w:lastRenderedPageBreak/>
        <w:t xml:space="preserve">The scheme has been effective in improving dietary quality and encouraging healthier eating habits among eligible families </w:t>
      </w:r>
      <w:r w:rsidR="00F6660D" w:rsidRPr="00A8748C">
        <w:rPr>
          <w:rFonts w:ascii="Arial" w:hAnsi="Arial" w:cs="Arial"/>
          <w:color w:val="000000" w:themeColor="text1"/>
          <w:sz w:val="22"/>
          <w:szCs w:val="22"/>
        </w:rPr>
        <w:t>(Montoya-Williams et al., 2020).</w:t>
      </w:r>
      <w:r w:rsidR="00F6660D" w:rsidRPr="00A8748C">
        <w:rPr>
          <w:rFonts w:ascii="Arial" w:hAnsi="Arial" w:cs="Arial"/>
          <w:color w:val="000000" w:themeColor="text1"/>
          <w:sz w:val="22"/>
          <w:szCs w:val="22"/>
        </w:rPr>
        <w:t xml:space="preserve"> </w:t>
      </w:r>
      <w:r w:rsidRPr="00A8748C">
        <w:rPr>
          <w:rFonts w:ascii="Arial" w:hAnsi="Arial" w:cs="Arial"/>
          <w:color w:val="000000" w:themeColor="text1"/>
          <w:sz w:val="22"/>
          <w:szCs w:val="22"/>
        </w:rPr>
        <w:t>Research suggests that it increases the consumption of fruit and vegetables, supports healthy infant feeding practices, and helps prevent vitamin deficiencies, particularly vitamin D deficiency. The introduction of digital prepaid cards has also made the scheme easier to access and use (Montoya-Williams et al., 2020).</w:t>
      </w:r>
    </w:p>
    <w:p w14:paraId="17757D54" w14:textId="216D47B3" w:rsidR="00CD09FB" w:rsidRPr="00A8748C" w:rsidRDefault="00CD09FB" w:rsidP="00CD09FB">
      <w:pPr>
        <w:spacing w:line="360" w:lineRule="auto"/>
        <w:jc w:val="both"/>
        <w:rPr>
          <w:rFonts w:ascii="Arial" w:hAnsi="Arial" w:cs="Arial"/>
          <w:color w:val="000000" w:themeColor="text1"/>
          <w:sz w:val="22"/>
          <w:szCs w:val="22"/>
        </w:rPr>
      </w:pPr>
      <w:r w:rsidRPr="00A8748C">
        <w:rPr>
          <w:rFonts w:ascii="Arial" w:hAnsi="Arial" w:cs="Arial"/>
          <w:color w:val="000000" w:themeColor="text1"/>
          <w:sz w:val="22"/>
          <w:szCs w:val="22"/>
        </w:rPr>
        <w:t>Despite these benefits, the scheme has several limitations. Strict eligibility criteria exclude some families experiencing financial hardship, while limited awareness has resulted in low uptake in some areas (Fisher et al., 2025). In addition, the value of the prepaid card has not kept pace with rising food prices, reducing its overall impact.</w:t>
      </w:r>
    </w:p>
    <w:p w14:paraId="2089C2E5" w14:textId="7881BCA5" w:rsidR="00CD09FB" w:rsidRPr="00A8748C" w:rsidRDefault="00CD09FB" w:rsidP="00CD09FB">
      <w:pPr>
        <w:spacing w:line="360" w:lineRule="auto"/>
        <w:jc w:val="both"/>
        <w:rPr>
          <w:rFonts w:ascii="Arial" w:hAnsi="Arial" w:cs="Arial"/>
          <w:color w:val="000000" w:themeColor="text1"/>
          <w:sz w:val="22"/>
          <w:szCs w:val="22"/>
        </w:rPr>
      </w:pPr>
      <w:r w:rsidRPr="00A8748C">
        <w:rPr>
          <w:rFonts w:ascii="Arial" w:hAnsi="Arial" w:cs="Arial"/>
          <w:color w:val="000000" w:themeColor="text1"/>
          <w:sz w:val="22"/>
          <w:szCs w:val="22"/>
        </w:rPr>
        <w:t>To improve the scheme, eligibility should be expanded, payment amounts should reflect current food costs, and national awareness campaigns should be strengthened. Greater collaboration with retailers would also improve access and encourage wider participation, enhancing the scheme's effectiveness in reducing food insecurity (Koletzko et al., 2018).</w:t>
      </w:r>
    </w:p>
    <w:p w14:paraId="3775CB25" w14:textId="4982CDF6" w:rsidR="00BB5FA6" w:rsidRPr="00402899" w:rsidRDefault="00BD15B4" w:rsidP="00402899">
      <w:pPr>
        <w:pStyle w:val="Heading1"/>
        <w:rPr>
          <w:rFonts w:ascii="Arial" w:eastAsia="Times New Roman" w:hAnsi="Arial" w:cs="Arial"/>
          <w:b/>
          <w:bCs/>
          <w:color w:val="000000" w:themeColor="text1"/>
          <w:sz w:val="28"/>
          <w:szCs w:val="28"/>
          <w:lang w:eastAsia="en-GB"/>
        </w:rPr>
      </w:pPr>
      <w:bookmarkStart w:id="9" w:name="_Toc235649783"/>
      <w:r w:rsidRPr="00402899">
        <w:rPr>
          <w:rFonts w:ascii="Arial" w:eastAsia="Times New Roman" w:hAnsi="Arial" w:cs="Arial"/>
          <w:b/>
          <w:bCs/>
          <w:color w:val="000000" w:themeColor="text1"/>
          <w:sz w:val="28"/>
          <w:szCs w:val="28"/>
          <w:lang w:eastAsia="en-GB"/>
        </w:rPr>
        <w:t>5</w:t>
      </w:r>
      <w:r w:rsidR="00BB5FA6" w:rsidRPr="00402899">
        <w:rPr>
          <w:rFonts w:ascii="Arial" w:eastAsia="Times New Roman" w:hAnsi="Arial" w:cs="Arial"/>
          <w:b/>
          <w:bCs/>
          <w:color w:val="000000" w:themeColor="text1"/>
          <w:sz w:val="28"/>
          <w:szCs w:val="28"/>
          <w:lang w:eastAsia="en-GB"/>
        </w:rPr>
        <w:t>. Local Wellbeing Initiatives</w:t>
      </w:r>
      <w:bookmarkEnd w:id="9"/>
    </w:p>
    <w:p w14:paraId="3CFF23FB" w14:textId="1A5447AD" w:rsidR="00BB5FA6" w:rsidRPr="00402899" w:rsidRDefault="00BD15B4" w:rsidP="00402899">
      <w:pPr>
        <w:pStyle w:val="Heading2"/>
        <w:rPr>
          <w:rFonts w:ascii="Arial" w:eastAsia="Times New Roman" w:hAnsi="Arial" w:cs="Arial"/>
          <w:b/>
          <w:bCs/>
          <w:color w:val="000000" w:themeColor="text1"/>
          <w:sz w:val="28"/>
          <w:szCs w:val="28"/>
          <w:lang w:eastAsia="en-GB"/>
        </w:rPr>
      </w:pPr>
      <w:bookmarkStart w:id="10" w:name="_Toc235649784"/>
      <w:r w:rsidRPr="00402899">
        <w:rPr>
          <w:rFonts w:ascii="Arial" w:eastAsia="Times New Roman" w:hAnsi="Arial" w:cs="Arial"/>
          <w:b/>
          <w:bCs/>
          <w:color w:val="000000" w:themeColor="text1"/>
          <w:sz w:val="28"/>
          <w:szCs w:val="28"/>
          <w:lang w:eastAsia="en-GB"/>
        </w:rPr>
        <w:t>5</w:t>
      </w:r>
      <w:r w:rsidR="00BB5FA6" w:rsidRPr="00402899">
        <w:rPr>
          <w:rFonts w:ascii="Arial" w:eastAsia="Times New Roman" w:hAnsi="Arial" w:cs="Arial"/>
          <w:b/>
          <w:bCs/>
          <w:color w:val="000000" w:themeColor="text1"/>
          <w:sz w:val="28"/>
          <w:szCs w:val="28"/>
          <w:lang w:eastAsia="en-GB"/>
        </w:rPr>
        <w:t>.1 Southwark Healthy Weight Programme</w:t>
      </w:r>
      <w:bookmarkEnd w:id="10"/>
    </w:p>
    <w:p w14:paraId="23143059" w14:textId="77777777" w:rsidR="00BB5FA6" w:rsidRPr="00A8748C" w:rsidRDefault="00BB5FA6" w:rsidP="00BB5FA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748C">
        <w:rPr>
          <w:rFonts w:ascii="Arial" w:eastAsia="Times New Roman" w:hAnsi="Arial" w:cs="Arial"/>
          <w:kern w:val="0"/>
          <w:sz w:val="22"/>
          <w:szCs w:val="22"/>
          <w:lang w:eastAsia="en-GB"/>
          <w14:ligatures w14:val="none"/>
        </w:rPr>
        <w:t>The Southwark Healthy Weight Programme, delivered by Guy’s and St Thomas’ NHS Foundation Trust, is a free 12-week intervention designed to support adults in achieving sustainable weight loss through healthy eating, physical activity, and behaviour change (NHS Guy’s and St Thomas’ NHS Foundation Trust, 2023). Its primary aim is to reduce obesity and the risk of associated long-term conditions, including type 2 diabetes and cardiovascular disease, while addressing health inequalities in Southwark’s diverse and socioeconomically disadvantaged communities.</w:t>
      </w:r>
    </w:p>
    <w:p w14:paraId="02DAE283" w14:textId="77777777" w:rsidR="00191E74" w:rsidRPr="00A8748C" w:rsidRDefault="00BB5FA6" w:rsidP="00BB5FA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748C">
        <w:rPr>
          <w:rFonts w:ascii="Arial" w:eastAsia="Times New Roman" w:hAnsi="Arial" w:cs="Arial"/>
          <w:kern w:val="0"/>
          <w:sz w:val="22"/>
          <w:szCs w:val="22"/>
          <w:lang w:eastAsia="en-GB"/>
          <w14:ligatures w14:val="none"/>
        </w:rPr>
        <w:t>The programme has positively impacted local citizens by providing accessible weight management services that include personalised health coaching, nutritional guidance, and supervised physical activity. These interventions encourage participants to adopt healthier lifestyles and improve both physical and mental wellbeing (Jung et al., 2018). Community-based delivery also strengthens social support, which is recognised as an important factor in maintaining long-term behavioural change .</w:t>
      </w:r>
    </w:p>
    <w:p w14:paraId="66B68800" w14:textId="22306361" w:rsidR="00BB5FA6" w:rsidRPr="00A8748C" w:rsidRDefault="00BB5FA6" w:rsidP="00BB5FA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748C">
        <w:rPr>
          <w:rFonts w:ascii="Arial" w:eastAsia="Times New Roman" w:hAnsi="Arial" w:cs="Arial"/>
          <w:kern w:val="0"/>
          <w:sz w:val="22"/>
          <w:szCs w:val="22"/>
          <w:lang w:eastAsia="en-GB"/>
          <w14:ligatures w14:val="none"/>
        </w:rPr>
        <w:t>A key strength of the programme is its collaborative approach, involving NHS services and local community organisations to improve accessibility and engagement. However, its long-term effectiveness is constrained by limited funding, inconsistent follow-up after programme</w:t>
      </w:r>
      <w:r w:rsidRPr="00BB5FA6">
        <w:rPr>
          <w:rFonts w:ascii="Arial" w:eastAsia="Times New Roman" w:hAnsi="Arial" w:cs="Arial"/>
          <w:kern w:val="0"/>
          <w:sz w:val="22"/>
          <w:szCs w:val="22"/>
          <w:lang w:eastAsia="en-GB"/>
          <w14:ligatures w14:val="none"/>
        </w:rPr>
        <w:t xml:space="preserve"> </w:t>
      </w:r>
      <w:r w:rsidRPr="00A8748C">
        <w:rPr>
          <w:rFonts w:ascii="Arial" w:eastAsia="Times New Roman" w:hAnsi="Arial" w:cs="Arial"/>
          <w:kern w:val="0"/>
          <w:sz w:val="22"/>
          <w:szCs w:val="22"/>
          <w:lang w:eastAsia="en-GB"/>
          <w14:ligatures w14:val="none"/>
        </w:rPr>
        <w:lastRenderedPageBreak/>
        <w:t>completion, and lower participation among some minority ethnic and hard-to-reach groups because of cultural, linguistic, and socioeconomic barriers (Jung et al., 2018). Expanding culturally tailored interventions, strengthening partnerships with schools and voluntary organisations, and introducing longer-term follow-up would improve participant retention and support sustainable health outcomes.</w:t>
      </w:r>
    </w:p>
    <w:p w14:paraId="038C600A" w14:textId="1529D647" w:rsidR="00BB5FA6" w:rsidRPr="00402899" w:rsidRDefault="00BD15B4" w:rsidP="00402899">
      <w:pPr>
        <w:pStyle w:val="Heading2"/>
        <w:rPr>
          <w:rFonts w:ascii="Arial" w:eastAsia="Times New Roman" w:hAnsi="Arial" w:cs="Arial"/>
          <w:b/>
          <w:bCs/>
          <w:color w:val="000000" w:themeColor="text1"/>
          <w:sz w:val="28"/>
          <w:szCs w:val="28"/>
          <w:lang w:eastAsia="en-GB"/>
        </w:rPr>
      </w:pPr>
      <w:bookmarkStart w:id="11" w:name="_Toc235649785"/>
      <w:r w:rsidRPr="00402899">
        <w:rPr>
          <w:rFonts w:ascii="Arial" w:eastAsia="Times New Roman" w:hAnsi="Arial" w:cs="Arial"/>
          <w:b/>
          <w:bCs/>
          <w:color w:val="000000" w:themeColor="text1"/>
          <w:sz w:val="28"/>
          <w:szCs w:val="28"/>
          <w:lang w:eastAsia="en-GB"/>
        </w:rPr>
        <w:t>5</w:t>
      </w:r>
      <w:r w:rsidR="00BB5FA6" w:rsidRPr="00402899">
        <w:rPr>
          <w:rFonts w:ascii="Arial" w:eastAsia="Times New Roman" w:hAnsi="Arial" w:cs="Arial"/>
          <w:b/>
          <w:bCs/>
          <w:color w:val="000000" w:themeColor="text1"/>
          <w:sz w:val="28"/>
          <w:szCs w:val="28"/>
          <w:lang w:eastAsia="en-GB"/>
        </w:rPr>
        <w:t>.2 Lambeth’s Early Years and Family Support Programme</w:t>
      </w:r>
      <w:bookmarkEnd w:id="11"/>
    </w:p>
    <w:p w14:paraId="3B4D12A9" w14:textId="77777777" w:rsidR="00BB5FA6" w:rsidRPr="00BB5FA6" w:rsidRDefault="00BB5FA6" w:rsidP="00BB5FA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B5FA6">
        <w:rPr>
          <w:rFonts w:ascii="Arial" w:eastAsia="Times New Roman" w:hAnsi="Arial" w:cs="Arial"/>
          <w:kern w:val="0"/>
          <w:sz w:val="22"/>
          <w:szCs w:val="22"/>
          <w:lang w:eastAsia="en-GB"/>
          <w14:ligatures w14:val="none"/>
        </w:rPr>
        <w:t>Lambeth’s Early Years and Family Support Programme provides integrated support for families through parenting education, nutrition advice, mental health services, and early childhood development programmes (Stanke et al., 2024). The initiative aims to improve child development, promote family wellbeing, and reduce health inequalities by addressing the wider social determinants of health during the critical early years of life. It also supports the United Nations Sustainable Development Goals, particularly SDG 2 (Zero Hunger) and SDG 3 (Good Health and Well-being).</w:t>
      </w:r>
    </w:p>
    <w:p w14:paraId="16D1AB9F" w14:textId="77777777" w:rsidR="00BB5FA6" w:rsidRPr="00BB5FA6" w:rsidRDefault="00BB5FA6" w:rsidP="00BB5FA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B5FA6">
        <w:rPr>
          <w:rFonts w:ascii="Arial" w:eastAsia="Times New Roman" w:hAnsi="Arial" w:cs="Arial"/>
          <w:kern w:val="0"/>
          <w:sz w:val="22"/>
          <w:szCs w:val="22"/>
          <w:lang w:eastAsia="en-GB"/>
          <w14:ligatures w14:val="none"/>
        </w:rPr>
        <w:t xml:space="preserve">The programme has demonstrated positive outcomes for both children and parents. Evidence indicates that children aged 2.5 years who participate are approximately 40% more likely to achieve expected communication and language milestones than those who do not engage with the programme (Stanke et al., 2024). Parents also benefit from increased confidence, improved health literacy, and better access to health and community services. </w:t>
      </w:r>
    </w:p>
    <w:p w14:paraId="7E70114F" w14:textId="54446426" w:rsidR="00A77C96" w:rsidRPr="00E84A3B" w:rsidRDefault="00BB5FA6" w:rsidP="00E84A3B">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B5FA6">
        <w:rPr>
          <w:rFonts w:ascii="Arial" w:eastAsia="Times New Roman" w:hAnsi="Arial" w:cs="Arial"/>
          <w:kern w:val="0"/>
          <w:sz w:val="22"/>
          <w:szCs w:val="22"/>
          <w:lang w:eastAsia="en-GB"/>
          <w14:ligatures w14:val="none"/>
        </w:rPr>
        <w:t>These outcomes highlight the importance of early intervention in reducing future health inequalities. Nevertheless, increasing demand continues to exceed service capacity, while language barriers, digital exclusion, and stigma limit access for some vulnerable families (Holding</w:t>
      </w:r>
      <w:r w:rsidRPr="00BB5FA6">
        <w:rPr>
          <w:rFonts w:ascii="Arial" w:eastAsia="Times New Roman" w:hAnsi="Arial" w:cs="Arial"/>
          <w:i/>
          <w:iCs/>
          <w:kern w:val="0"/>
          <w:sz w:val="22"/>
          <w:szCs w:val="22"/>
          <w:lang w:eastAsia="en-GB"/>
          <w14:ligatures w14:val="none"/>
        </w:rPr>
        <w:t xml:space="preserve"> </w:t>
      </w:r>
      <w:r w:rsidRPr="00BB5FA6">
        <w:rPr>
          <w:rFonts w:ascii="Arial" w:eastAsia="Times New Roman" w:hAnsi="Arial" w:cs="Arial"/>
          <w:kern w:val="0"/>
          <w:sz w:val="22"/>
          <w:szCs w:val="22"/>
          <w:lang w:eastAsia="en-GB"/>
          <w14:ligatures w14:val="none"/>
        </w:rPr>
        <w:t>et al., 2021) . To strengthen the programme, greater investment is needed to expand capacity, improve multilingual communication, enhance outreach to underserved communities, and implement robust long-term evaluation to assess sustained health and developmental outcomes (Holding</w:t>
      </w:r>
      <w:r w:rsidRPr="00BB5FA6">
        <w:rPr>
          <w:rFonts w:ascii="Arial" w:eastAsia="Times New Roman" w:hAnsi="Arial" w:cs="Arial"/>
          <w:i/>
          <w:iCs/>
          <w:kern w:val="0"/>
          <w:sz w:val="22"/>
          <w:szCs w:val="22"/>
          <w:lang w:eastAsia="en-GB"/>
          <w14:ligatures w14:val="none"/>
        </w:rPr>
        <w:t xml:space="preserve"> </w:t>
      </w:r>
      <w:r w:rsidRPr="00BB5FA6">
        <w:rPr>
          <w:rFonts w:ascii="Arial" w:eastAsia="Times New Roman" w:hAnsi="Arial" w:cs="Arial"/>
          <w:kern w:val="0"/>
          <w:sz w:val="22"/>
          <w:szCs w:val="22"/>
          <w:lang w:eastAsia="en-GB"/>
          <w14:ligatures w14:val="none"/>
        </w:rPr>
        <w:t>et al., 2021). Such measures would improve equity, accessibility, and the overall effectiveness of the programme.</w:t>
      </w:r>
    </w:p>
    <w:p w14:paraId="5677B029" w14:textId="1744B21C" w:rsidR="00A77C96" w:rsidRPr="00E80EE9" w:rsidRDefault="00C02CE2" w:rsidP="00E80EE9">
      <w:pPr>
        <w:pStyle w:val="Heading1"/>
        <w:rPr>
          <w:rFonts w:ascii="Arial" w:eastAsia="DengXian" w:hAnsi="Arial" w:cs="Arial"/>
          <w:b/>
          <w:bCs/>
          <w:color w:val="000000" w:themeColor="text1"/>
          <w:sz w:val="28"/>
          <w:szCs w:val="28"/>
          <w:lang w:eastAsia="zh-CN"/>
        </w:rPr>
      </w:pPr>
      <w:bookmarkStart w:id="12" w:name="_Toc235649786"/>
      <w:r>
        <w:rPr>
          <w:rFonts w:ascii="Arial" w:eastAsia="DengXian" w:hAnsi="Arial" w:cs="Arial"/>
          <w:b/>
          <w:bCs/>
          <w:color w:val="000000" w:themeColor="text1"/>
          <w:sz w:val="28"/>
          <w:szCs w:val="28"/>
          <w:lang w:eastAsia="zh-CN"/>
        </w:rPr>
        <w:t xml:space="preserve">6. </w:t>
      </w:r>
      <w:r w:rsidR="008E19BC" w:rsidRPr="00E80EE9">
        <w:rPr>
          <w:rFonts w:ascii="Arial" w:eastAsia="DengXian" w:hAnsi="Arial" w:cs="Arial"/>
          <w:b/>
          <w:bCs/>
          <w:color w:val="000000" w:themeColor="text1"/>
          <w:sz w:val="28"/>
          <w:szCs w:val="28"/>
          <w:lang w:eastAsia="zh-CN"/>
        </w:rPr>
        <w:t>Conclusion</w:t>
      </w:r>
      <w:bookmarkEnd w:id="12"/>
    </w:p>
    <w:p w14:paraId="611286F3" w14:textId="69244131" w:rsidR="00A77C96" w:rsidRPr="00E24840" w:rsidRDefault="00186A41" w:rsidP="00E24840">
      <w:pPr>
        <w:tabs>
          <w:tab w:val="left" w:pos="1786"/>
        </w:tabs>
        <w:spacing w:line="360" w:lineRule="auto"/>
        <w:jc w:val="both"/>
        <w:rPr>
          <w:rFonts w:ascii="Arial" w:hAnsi="Arial" w:cs="Arial"/>
          <w:sz w:val="22"/>
          <w:szCs w:val="22"/>
        </w:rPr>
      </w:pPr>
      <w:r w:rsidRPr="003D5B71">
        <w:rPr>
          <w:rFonts w:ascii="Arial" w:hAnsi="Arial" w:cs="Arial"/>
          <w:sz w:val="22"/>
          <w:szCs w:val="22"/>
        </w:rPr>
        <w:t>This report demonstrates that Sustainable Development Goals 2 and 3 are central to improving population wellbeing by strengthening healthcare access, promoting disease prevention, and ensuring adequate nutrition. National initiatives such as the NHS Long Term Plan and the Healthy Start Scheme show meaningful progress, while local programmes in Southwark and Lambeth highlight the value of community</w:t>
      </w:r>
      <w:r w:rsidRPr="003D5B71">
        <w:rPr>
          <w:rFonts w:ascii="Arial" w:hAnsi="Arial" w:cs="Arial"/>
          <w:sz w:val="22"/>
          <w:szCs w:val="22"/>
        </w:rPr>
        <w:noBreakHyphen/>
        <w:t xml:space="preserve">based, early intervention approaches. Despite these positive impacts, challenges including funding pressures, unequal </w:t>
      </w:r>
      <w:r w:rsidRPr="003D5B71">
        <w:rPr>
          <w:rFonts w:ascii="Arial" w:hAnsi="Arial" w:cs="Arial"/>
          <w:sz w:val="22"/>
          <w:szCs w:val="22"/>
        </w:rPr>
        <w:lastRenderedPageBreak/>
        <w:t>access, and social barriers persist. Achieving sustainable improvements requires continued investment, culturally inclusive strategies, and long</w:t>
      </w:r>
      <w:r w:rsidRPr="003D5B71">
        <w:rPr>
          <w:rFonts w:ascii="Arial" w:hAnsi="Arial" w:cs="Arial"/>
          <w:sz w:val="22"/>
          <w:szCs w:val="22"/>
        </w:rPr>
        <w:noBreakHyphen/>
        <w:t>term evaluation to ensure equitable health outcomes for all citizens</w:t>
      </w:r>
    </w:p>
    <w:p w14:paraId="2B5A1122" w14:textId="77777777" w:rsidR="00A77C96" w:rsidRPr="00E24840" w:rsidRDefault="00A77C96" w:rsidP="00E24840">
      <w:pPr>
        <w:tabs>
          <w:tab w:val="left" w:pos="1786"/>
        </w:tabs>
        <w:spacing w:line="360" w:lineRule="auto"/>
        <w:jc w:val="both"/>
        <w:rPr>
          <w:rFonts w:ascii="Arial" w:hAnsi="Arial" w:cs="Arial"/>
          <w:sz w:val="22"/>
          <w:szCs w:val="22"/>
        </w:rPr>
      </w:pPr>
    </w:p>
    <w:p w14:paraId="4CE144FD" w14:textId="77777777" w:rsidR="00A77C96" w:rsidRPr="00E24840" w:rsidRDefault="00A77C96" w:rsidP="00E24840">
      <w:pPr>
        <w:tabs>
          <w:tab w:val="left" w:pos="1786"/>
        </w:tabs>
        <w:spacing w:line="360" w:lineRule="auto"/>
        <w:jc w:val="both"/>
        <w:rPr>
          <w:rFonts w:ascii="Arial" w:hAnsi="Arial" w:cs="Arial"/>
          <w:sz w:val="22"/>
          <w:szCs w:val="22"/>
        </w:rPr>
      </w:pPr>
    </w:p>
    <w:p w14:paraId="6D3A36F2" w14:textId="77777777" w:rsidR="00A77C96" w:rsidRPr="00E24840" w:rsidRDefault="00A77C96" w:rsidP="00E24840">
      <w:pPr>
        <w:tabs>
          <w:tab w:val="left" w:pos="1786"/>
        </w:tabs>
        <w:spacing w:line="360" w:lineRule="auto"/>
        <w:jc w:val="both"/>
        <w:rPr>
          <w:rFonts w:ascii="Arial" w:hAnsi="Arial" w:cs="Arial"/>
          <w:sz w:val="22"/>
          <w:szCs w:val="22"/>
        </w:rPr>
      </w:pPr>
    </w:p>
    <w:p w14:paraId="51317B33" w14:textId="77777777" w:rsidR="00A77C96" w:rsidRPr="00E24840" w:rsidRDefault="00A77C96" w:rsidP="00E24840">
      <w:pPr>
        <w:tabs>
          <w:tab w:val="left" w:pos="1786"/>
        </w:tabs>
        <w:spacing w:line="360" w:lineRule="auto"/>
        <w:jc w:val="both"/>
        <w:rPr>
          <w:rFonts w:ascii="Arial" w:hAnsi="Arial" w:cs="Arial"/>
          <w:sz w:val="22"/>
          <w:szCs w:val="22"/>
        </w:rPr>
      </w:pPr>
    </w:p>
    <w:p w14:paraId="087645FF" w14:textId="77777777" w:rsidR="00A77C96" w:rsidRPr="00E24840" w:rsidRDefault="00A77C96" w:rsidP="00E24840">
      <w:pPr>
        <w:tabs>
          <w:tab w:val="left" w:pos="1786"/>
        </w:tabs>
        <w:spacing w:line="360" w:lineRule="auto"/>
        <w:jc w:val="both"/>
        <w:rPr>
          <w:rFonts w:ascii="Arial" w:hAnsi="Arial" w:cs="Arial"/>
          <w:sz w:val="22"/>
          <w:szCs w:val="22"/>
        </w:rPr>
      </w:pPr>
    </w:p>
    <w:p w14:paraId="7DC2C610" w14:textId="77777777" w:rsidR="00A77C96" w:rsidRPr="00E24840" w:rsidRDefault="00A77C96" w:rsidP="00E24840">
      <w:pPr>
        <w:tabs>
          <w:tab w:val="left" w:pos="1786"/>
        </w:tabs>
        <w:spacing w:line="360" w:lineRule="auto"/>
        <w:jc w:val="both"/>
        <w:rPr>
          <w:rFonts w:ascii="Arial" w:hAnsi="Arial" w:cs="Arial"/>
          <w:sz w:val="22"/>
          <w:szCs w:val="22"/>
        </w:rPr>
      </w:pPr>
    </w:p>
    <w:p w14:paraId="7D69293F" w14:textId="77777777" w:rsidR="00A77C96" w:rsidRPr="00E24840" w:rsidRDefault="00A77C96" w:rsidP="00E24840">
      <w:pPr>
        <w:tabs>
          <w:tab w:val="left" w:pos="1786"/>
        </w:tabs>
        <w:spacing w:line="360" w:lineRule="auto"/>
        <w:jc w:val="both"/>
        <w:rPr>
          <w:rFonts w:ascii="Arial" w:hAnsi="Arial" w:cs="Arial"/>
          <w:sz w:val="22"/>
          <w:szCs w:val="22"/>
        </w:rPr>
      </w:pPr>
    </w:p>
    <w:p w14:paraId="7A23D2E5" w14:textId="77777777" w:rsidR="00A77C96" w:rsidRPr="00E24840" w:rsidRDefault="00A77C96" w:rsidP="00E24840">
      <w:pPr>
        <w:tabs>
          <w:tab w:val="left" w:pos="1786"/>
        </w:tabs>
        <w:spacing w:line="360" w:lineRule="auto"/>
        <w:jc w:val="both"/>
        <w:rPr>
          <w:rFonts w:ascii="Arial" w:hAnsi="Arial" w:cs="Arial"/>
          <w:sz w:val="22"/>
          <w:szCs w:val="22"/>
        </w:rPr>
      </w:pPr>
    </w:p>
    <w:p w14:paraId="042689ED" w14:textId="77777777" w:rsidR="00A77C96" w:rsidRPr="00E24840" w:rsidRDefault="00A77C96" w:rsidP="00E24840">
      <w:pPr>
        <w:tabs>
          <w:tab w:val="left" w:pos="1786"/>
        </w:tabs>
        <w:spacing w:line="360" w:lineRule="auto"/>
        <w:jc w:val="both"/>
        <w:rPr>
          <w:rFonts w:ascii="Arial" w:hAnsi="Arial" w:cs="Arial"/>
          <w:sz w:val="22"/>
          <w:szCs w:val="22"/>
        </w:rPr>
      </w:pPr>
    </w:p>
    <w:p w14:paraId="11AFF423" w14:textId="77777777" w:rsidR="00A77C96" w:rsidRPr="00E24840" w:rsidRDefault="00A77C96" w:rsidP="00E24840">
      <w:pPr>
        <w:tabs>
          <w:tab w:val="left" w:pos="1786"/>
        </w:tabs>
        <w:spacing w:line="360" w:lineRule="auto"/>
        <w:jc w:val="both"/>
        <w:rPr>
          <w:rFonts w:ascii="Arial" w:hAnsi="Arial" w:cs="Arial"/>
          <w:sz w:val="22"/>
          <w:szCs w:val="22"/>
        </w:rPr>
      </w:pPr>
    </w:p>
    <w:p w14:paraId="70540D08" w14:textId="77777777" w:rsidR="00A77C96" w:rsidRPr="00E24840" w:rsidRDefault="00A77C96" w:rsidP="00E24840">
      <w:pPr>
        <w:tabs>
          <w:tab w:val="left" w:pos="1786"/>
        </w:tabs>
        <w:spacing w:line="360" w:lineRule="auto"/>
        <w:jc w:val="both"/>
        <w:rPr>
          <w:rFonts w:ascii="Arial" w:hAnsi="Arial" w:cs="Arial"/>
          <w:sz w:val="22"/>
          <w:szCs w:val="22"/>
        </w:rPr>
      </w:pPr>
    </w:p>
    <w:p w14:paraId="7B20F9FC" w14:textId="77777777" w:rsidR="00A77C96" w:rsidRPr="00E24840" w:rsidRDefault="00A77C96" w:rsidP="00E24840">
      <w:pPr>
        <w:tabs>
          <w:tab w:val="left" w:pos="1786"/>
        </w:tabs>
        <w:spacing w:line="360" w:lineRule="auto"/>
        <w:jc w:val="both"/>
        <w:rPr>
          <w:rFonts w:ascii="Arial" w:hAnsi="Arial" w:cs="Arial"/>
          <w:sz w:val="22"/>
          <w:szCs w:val="22"/>
        </w:rPr>
      </w:pPr>
    </w:p>
    <w:p w14:paraId="50F19352" w14:textId="77777777" w:rsidR="00A77C96" w:rsidRPr="00E24840" w:rsidRDefault="00A77C96" w:rsidP="00E24840">
      <w:pPr>
        <w:tabs>
          <w:tab w:val="left" w:pos="1786"/>
        </w:tabs>
        <w:spacing w:line="360" w:lineRule="auto"/>
        <w:jc w:val="both"/>
        <w:rPr>
          <w:rFonts w:ascii="Arial" w:hAnsi="Arial" w:cs="Arial"/>
          <w:sz w:val="22"/>
          <w:szCs w:val="22"/>
        </w:rPr>
      </w:pPr>
    </w:p>
    <w:p w14:paraId="455B1540" w14:textId="77777777" w:rsidR="00A77C96" w:rsidRPr="00E24840" w:rsidRDefault="00A77C96" w:rsidP="00E24840">
      <w:pPr>
        <w:tabs>
          <w:tab w:val="left" w:pos="1786"/>
        </w:tabs>
        <w:spacing w:line="360" w:lineRule="auto"/>
        <w:jc w:val="both"/>
        <w:rPr>
          <w:rFonts w:ascii="Arial" w:hAnsi="Arial" w:cs="Arial"/>
          <w:sz w:val="22"/>
          <w:szCs w:val="22"/>
        </w:rPr>
      </w:pPr>
    </w:p>
    <w:p w14:paraId="26D09935" w14:textId="77777777" w:rsidR="00A77C96" w:rsidRPr="00E24840" w:rsidRDefault="00A77C96" w:rsidP="00E24840">
      <w:pPr>
        <w:tabs>
          <w:tab w:val="left" w:pos="1786"/>
        </w:tabs>
        <w:spacing w:line="360" w:lineRule="auto"/>
        <w:jc w:val="both"/>
        <w:rPr>
          <w:rFonts w:ascii="Arial" w:hAnsi="Arial" w:cs="Arial"/>
          <w:sz w:val="22"/>
          <w:szCs w:val="22"/>
        </w:rPr>
      </w:pPr>
    </w:p>
    <w:p w14:paraId="27B9FEB2" w14:textId="77777777" w:rsidR="00A77C96" w:rsidRPr="00E24840" w:rsidRDefault="00A77C96" w:rsidP="00E24840">
      <w:pPr>
        <w:tabs>
          <w:tab w:val="left" w:pos="1786"/>
        </w:tabs>
        <w:spacing w:line="360" w:lineRule="auto"/>
        <w:jc w:val="both"/>
        <w:rPr>
          <w:rFonts w:ascii="Arial" w:hAnsi="Arial" w:cs="Arial"/>
          <w:sz w:val="22"/>
          <w:szCs w:val="22"/>
        </w:rPr>
      </w:pPr>
    </w:p>
    <w:p w14:paraId="5916AC3C" w14:textId="77777777" w:rsidR="00A77C96" w:rsidRDefault="00A77C96" w:rsidP="006C4FA9">
      <w:pPr>
        <w:tabs>
          <w:tab w:val="left" w:pos="1786"/>
        </w:tabs>
      </w:pPr>
    </w:p>
    <w:p w14:paraId="340982EA" w14:textId="77777777" w:rsidR="00A77C96" w:rsidRDefault="00A77C96" w:rsidP="006C4FA9">
      <w:pPr>
        <w:tabs>
          <w:tab w:val="left" w:pos="1786"/>
        </w:tabs>
      </w:pPr>
    </w:p>
    <w:p w14:paraId="73FC6A72" w14:textId="77777777" w:rsidR="00A77C96" w:rsidRDefault="00A77C96" w:rsidP="006C4FA9">
      <w:pPr>
        <w:tabs>
          <w:tab w:val="left" w:pos="1786"/>
        </w:tabs>
      </w:pPr>
    </w:p>
    <w:p w14:paraId="0B72EE80" w14:textId="77777777" w:rsidR="00CB45F1" w:rsidRDefault="00CB45F1" w:rsidP="000E5534">
      <w:pPr>
        <w:pStyle w:val="Heading1"/>
        <w:rPr>
          <w:rFonts w:ascii="Arial" w:hAnsi="Arial" w:cs="Arial"/>
          <w:b/>
          <w:bCs/>
          <w:color w:val="000000" w:themeColor="text1"/>
          <w:sz w:val="28"/>
          <w:szCs w:val="28"/>
        </w:rPr>
      </w:pPr>
      <w:bookmarkStart w:id="13" w:name="_Toc235649787"/>
    </w:p>
    <w:p w14:paraId="5B7A3ED2" w14:textId="77777777" w:rsidR="00F87E7D" w:rsidRDefault="00F87E7D" w:rsidP="000E5534">
      <w:pPr>
        <w:pStyle w:val="Heading1"/>
        <w:rPr>
          <w:rFonts w:ascii="Arial" w:hAnsi="Arial" w:cs="Arial"/>
          <w:b/>
          <w:bCs/>
          <w:color w:val="000000" w:themeColor="text1"/>
          <w:sz w:val="28"/>
          <w:szCs w:val="28"/>
        </w:rPr>
      </w:pPr>
    </w:p>
    <w:p w14:paraId="06B5470D" w14:textId="77777777" w:rsidR="00F87E7D" w:rsidRPr="00F87E7D" w:rsidRDefault="00F87E7D" w:rsidP="00F87E7D"/>
    <w:p w14:paraId="21BA449E" w14:textId="443C61A1" w:rsidR="000E5534" w:rsidRPr="000E5534" w:rsidRDefault="00A77C96" w:rsidP="000E5534">
      <w:pPr>
        <w:pStyle w:val="Heading1"/>
        <w:rPr>
          <w:rFonts w:ascii="Arial" w:hAnsi="Arial" w:cs="Arial"/>
          <w:b/>
          <w:bCs/>
          <w:color w:val="000000" w:themeColor="text1"/>
          <w:sz w:val="28"/>
          <w:szCs w:val="28"/>
        </w:rPr>
      </w:pPr>
      <w:r w:rsidRPr="00C02CE2">
        <w:rPr>
          <w:rFonts w:ascii="Arial" w:hAnsi="Arial" w:cs="Arial"/>
          <w:b/>
          <w:bCs/>
          <w:color w:val="000000" w:themeColor="text1"/>
          <w:sz w:val="28"/>
          <w:szCs w:val="28"/>
        </w:rPr>
        <w:lastRenderedPageBreak/>
        <w:t>Refer</w:t>
      </w:r>
      <w:r w:rsidR="00AC2A2E" w:rsidRPr="00C02CE2">
        <w:rPr>
          <w:rFonts w:ascii="Arial" w:hAnsi="Arial" w:cs="Arial"/>
          <w:b/>
          <w:bCs/>
          <w:color w:val="000000" w:themeColor="text1"/>
          <w:sz w:val="28"/>
          <w:szCs w:val="28"/>
        </w:rPr>
        <w:t>ences</w:t>
      </w:r>
      <w:bookmarkEnd w:id="13"/>
      <w:r w:rsidR="00AC2A2E" w:rsidRPr="00C02CE2">
        <w:rPr>
          <w:rFonts w:ascii="Arial" w:hAnsi="Arial" w:cs="Arial"/>
          <w:b/>
          <w:bCs/>
          <w:color w:val="000000" w:themeColor="text1"/>
          <w:sz w:val="28"/>
          <w:szCs w:val="28"/>
        </w:rPr>
        <w:t xml:space="preserve">    </w:t>
      </w:r>
    </w:p>
    <w:p w14:paraId="01E71FAB" w14:textId="77777777" w:rsidR="000E5534" w:rsidRPr="00C06386" w:rsidRDefault="000E5534" w:rsidP="0030215B">
      <w:pPr>
        <w:spacing w:after="0" w:line="240" w:lineRule="auto"/>
        <w:ind w:hanging="720"/>
        <w:rPr>
          <w:rFonts w:ascii="Arial" w:eastAsia="Times New Roman" w:hAnsi="Arial" w:cs="Arial"/>
          <w:kern w:val="0"/>
          <w:sz w:val="22"/>
          <w:szCs w:val="22"/>
          <w:lang w:eastAsia="en-GB"/>
          <w14:ligatures w14:val="none"/>
        </w:rPr>
      </w:pPr>
    </w:p>
    <w:p w14:paraId="6968E101" w14:textId="77777777" w:rsidR="000E5534" w:rsidRPr="00CB45F1" w:rsidRDefault="000E5534" w:rsidP="00975AD5">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Atukunda, P. et al. (2021) ‘Unlocking the potential for achievement of the UN Sustainable Development Goal 2 – ‘Zero Hunger’ – in Africa: targets, strategies, synergies and challenges,’ </w:t>
      </w:r>
      <w:r w:rsidRPr="00CB45F1">
        <w:rPr>
          <w:rFonts w:ascii="Arial" w:eastAsia="Times New Roman" w:hAnsi="Arial" w:cs="Arial"/>
          <w:i/>
          <w:iCs/>
          <w:kern w:val="0"/>
          <w:sz w:val="22"/>
          <w:szCs w:val="22"/>
          <w:lang w:eastAsia="en-GB"/>
          <w14:ligatures w14:val="none"/>
        </w:rPr>
        <w:t>Food &amp; nutrition research</w:t>
      </w:r>
      <w:r w:rsidRPr="00CB45F1">
        <w:rPr>
          <w:rFonts w:ascii="Arial" w:eastAsia="Times New Roman" w:hAnsi="Arial" w:cs="Arial"/>
          <w:kern w:val="0"/>
          <w:sz w:val="22"/>
          <w:szCs w:val="22"/>
          <w:lang w:eastAsia="en-GB"/>
          <w14:ligatures w14:val="none"/>
        </w:rPr>
        <w:t xml:space="preserve">, 65, pp. 1–11. Available at: </w:t>
      </w:r>
      <w:hyperlink r:id="rId13" w:history="1">
        <w:r w:rsidRPr="00CB45F1">
          <w:rPr>
            <w:rStyle w:val="Hyperlink"/>
            <w:rFonts w:ascii="Arial" w:eastAsia="Times New Roman" w:hAnsi="Arial" w:cs="Arial"/>
            <w:kern w:val="0"/>
            <w:sz w:val="22"/>
            <w:szCs w:val="22"/>
            <w:lang w:eastAsia="en-GB"/>
            <w14:ligatures w14:val="none"/>
          </w:rPr>
          <w:t>https://doi.org/10.29219/fnr.v65.7686</w:t>
        </w:r>
      </w:hyperlink>
      <w:r w:rsidRPr="00CB45F1">
        <w:rPr>
          <w:rFonts w:ascii="Arial" w:eastAsia="Times New Roman" w:hAnsi="Arial" w:cs="Arial"/>
          <w:kern w:val="0"/>
          <w:sz w:val="22"/>
          <w:szCs w:val="22"/>
          <w:lang w:eastAsia="en-GB"/>
          <w14:ligatures w14:val="none"/>
        </w:rPr>
        <w:t xml:space="preserve"> ( Accessed:16 July).</w:t>
      </w:r>
    </w:p>
    <w:p w14:paraId="39BBE858" w14:textId="77777777" w:rsidR="00B862BF" w:rsidRPr="00CB45F1" w:rsidRDefault="00B862BF" w:rsidP="00975AD5">
      <w:pPr>
        <w:spacing w:after="0" w:line="240" w:lineRule="auto"/>
        <w:rPr>
          <w:rFonts w:ascii="Arial" w:eastAsia="Times New Roman" w:hAnsi="Arial" w:cs="Arial"/>
          <w:kern w:val="0"/>
          <w:sz w:val="22"/>
          <w:szCs w:val="22"/>
          <w:lang w:eastAsia="en-GB"/>
          <w14:ligatures w14:val="none"/>
        </w:rPr>
      </w:pPr>
    </w:p>
    <w:p w14:paraId="778CD82C" w14:textId="77777777" w:rsidR="000E5534" w:rsidRPr="00CB45F1" w:rsidRDefault="000E5534" w:rsidP="00EF6609">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Cowper, A. (2019) ‘What the NHS long term plan leaves out,’ </w:t>
      </w:r>
      <w:r w:rsidRPr="00CB45F1">
        <w:rPr>
          <w:rFonts w:ascii="Arial" w:eastAsia="Times New Roman" w:hAnsi="Arial" w:cs="Arial"/>
          <w:i/>
          <w:iCs/>
          <w:kern w:val="0"/>
          <w:sz w:val="22"/>
          <w:szCs w:val="22"/>
          <w:lang w:eastAsia="en-GB"/>
          <w14:ligatures w14:val="none"/>
        </w:rPr>
        <w:t>BMJ (Online)</w:t>
      </w:r>
      <w:r w:rsidRPr="00CB45F1">
        <w:rPr>
          <w:rFonts w:ascii="Arial" w:eastAsia="Times New Roman" w:hAnsi="Arial" w:cs="Arial"/>
          <w:kern w:val="0"/>
          <w:sz w:val="22"/>
          <w:szCs w:val="22"/>
          <w:lang w:eastAsia="en-GB"/>
          <w14:ligatures w14:val="none"/>
        </w:rPr>
        <w:t xml:space="preserve">, 364, p. l107. Available at: </w:t>
      </w:r>
      <w:hyperlink r:id="rId14" w:history="1">
        <w:r w:rsidRPr="00CB45F1">
          <w:rPr>
            <w:rStyle w:val="Hyperlink"/>
            <w:rFonts w:ascii="Arial" w:eastAsia="Times New Roman" w:hAnsi="Arial" w:cs="Arial"/>
            <w:kern w:val="0"/>
            <w:sz w:val="22"/>
            <w:szCs w:val="22"/>
            <w:lang w:eastAsia="en-GB"/>
            <w14:ligatures w14:val="none"/>
          </w:rPr>
          <w:t>https://doi.org/10.1136/bmj.l107</w:t>
        </w:r>
      </w:hyperlink>
      <w:r w:rsidRPr="00CB45F1">
        <w:rPr>
          <w:rFonts w:ascii="Arial" w:eastAsia="Times New Roman" w:hAnsi="Arial" w:cs="Arial"/>
          <w:kern w:val="0"/>
          <w:sz w:val="22"/>
          <w:szCs w:val="22"/>
          <w:lang w:eastAsia="en-GB"/>
          <w14:ligatures w14:val="none"/>
        </w:rPr>
        <w:t xml:space="preserve"> ( Accessed:18 July).</w:t>
      </w:r>
    </w:p>
    <w:p w14:paraId="330EB6EE" w14:textId="77777777" w:rsidR="00B862BF" w:rsidRPr="00CB45F1" w:rsidRDefault="00B862BF" w:rsidP="00EF6609">
      <w:pPr>
        <w:spacing w:after="0" w:line="240" w:lineRule="auto"/>
        <w:rPr>
          <w:rFonts w:ascii="Arial" w:eastAsia="Times New Roman" w:hAnsi="Arial" w:cs="Arial"/>
          <w:kern w:val="0"/>
          <w:sz w:val="22"/>
          <w:szCs w:val="22"/>
          <w:lang w:eastAsia="en-GB"/>
          <w14:ligatures w14:val="none"/>
        </w:rPr>
      </w:pPr>
    </w:p>
    <w:p w14:paraId="714E1701" w14:textId="77777777" w:rsidR="000E5534" w:rsidRPr="00CB45F1" w:rsidRDefault="000E5534" w:rsidP="00A0318F">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Davidson, L. (Lawyer) (2019) </w:t>
      </w:r>
      <w:r w:rsidRPr="00CB45F1">
        <w:rPr>
          <w:rFonts w:ascii="Arial" w:eastAsia="Times New Roman" w:hAnsi="Arial" w:cs="Arial"/>
          <w:i/>
          <w:iCs/>
          <w:kern w:val="0"/>
          <w:sz w:val="22"/>
          <w:szCs w:val="22"/>
          <w:lang w:eastAsia="en-GB"/>
          <w14:ligatures w14:val="none"/>
        </w:rPr>
        <w:t>The Routledge Handbook of International Development, Mental Health and Wellbeing</w:t>
      </w:r>
      <w:r w:rsidRPr="00CB45F1">
        <w:rPr>
          <w:rFonts w:ascii="Arial" w:eastAsia="Times New Roman" w:hAnsi="Arial" w:cs="Arial"/>
          <w:kern w:val="0"/>
          <w:sz w:val="22"/>
          <w:szCs w:val="22"/>
          <w:lang w:eastAsia="en-GB"/>
          <w14:ligatures w14:val="none"/>
        </w:rPr>
        <w:t xml:space="preserve">. 1st edition. Edited by L. Davidson. London: Routledge. Available at: </w:t>
      </w:r>
      <w:hyperlink r:id="rId15" w:history="1">
        <w:r w:rsidRPr="00CB45F1">
          <w:rPr>
            <w:rStyle w:val="Hyperlink"/>
            <w:rFonts w:ascii="Arial" w:eastAsia="Times New Roman" w:hAnsi="Arial" w:cs="Arial"/>
            <w:kern w:val="0"/>
            <w:sz w:val="22"/>
            <w:szCs w:val="22"/>
            <w:lang w:eastAsia="en-GB"/>
            <w14:ligatures w14:val="none"/>
          </w:rPr>
          <w:t>https://doi.org/10.4324/9780429397844</w:t>
        </w:r>
      </w:hyperlink>
      <w:r w:rsidRPr="00CB45F1">
        <w:rPr>
          <w:rFonts w:ascii="Arial" w:eastAsia="Times New Roman" w:hAnsi="Arial" w:cs="Arial"/>
          <w:kern w:val="0"/>
          <w:sz w:val="22"/>
          <w:szCs w:val="22"/>
          <w:lang w:eastAsia="en-GB"/>
          <w14:ligatures w14:val="none"/>
        </w:rPr>
        <w:t xml:space="preserve"> ( Accessed: 17 July 2026).</w:t>
      </w:r>
    </w:p>
    <w:p w14:paraId="6B0D6339" w14:textId="77777777" w:rsidR="00B862BF" w:rsidRPr="00CB45F1" w:rsidRDefault="00B862BF" w:rsidP="00A0318F">
      <w:pPr>
        <w:spacing w:after="0" w:line="240" w:lineRule="auto"/>
        <w:rPr>
          <w:rFonts w:ascii="Arial" w:eastAsia="Times New Roman" w:hAnsi="Arial" w:cs="Arial"/>
          <w:kern w:val="0"/>
          <w:sz w:val="22"/>
          <w:szCs w:val="22"/>
          <w:lang w:eastAsia="en-GB"/>
          <w14:ligatures w14:val="none"/>
        </w:rPr>
      </w:pPr>
    </w:p>
    <w:p w14:paraId="5BD5677D" w14:textId="77777777" w:rsidR="000E5534" w:rsidRPr="00CB45F1" w:rsidRDefault="000E5534" w:rsidP="0072498B">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Ejiohuo, O. et al. (2024) ‘Nourishing the Mind: How Food Security Influences Mental Wellbeing,’</w:t>
      </w:r>
      <w:r w:rsidRPr="00CB45F1">
        <w:rPr>
          <w:rFonts w:ascii="Arial" w:eastAsia="Times New Roman" w:hAnsi="Arial" w:cs="Arial"/>
          <w:i/>
          <w:iCs/>
          <w:kern w:val="0"/>
          <w:sz w:val="22"/>
          <w:szCs w:val="22"/>
          <w:lang w:eastAsia="en-GB"/>
          <w14:ligatures w14:val="none"/>
        </w:rPr>
        <w:t>Nutrients</w:t>
      </w:r>
      <w:r w:rsidRPr="00CB45F1">
        <w:rPr>
          <w:rFonts w:ascii="Arial" w:eastAsia="Times New Roman" w:hAnsi="Arial" w:cs="Arial"/>
          <w:kern w:val="0"/>
          <w:sz w:val="22"/>
          <w:szCs w:val="22"/>
          <w:lang w:eastAsia="en-GB"/>
          <w14:ligatures w14:val="none"/>
        </w:rPr>
        <w:t xml:space="preserve">, 16(4), p. 501. Available at: </w:t>
      </w:r>
      <w:hyperlink r:id="rId16" w:history="1">
        <w:r w:rsidRPr="00CB45F1">
          <w:rPr>
            <w:rStyle w:val="Hyperlink"/>
            <w:rFonts w:ascii="Arial" w:eastAsia="Times New Roman" w:hAnsi="Arial" w:cs="Arial"/>
            <w:kern w:val="0"/>
            <w:sz w:val="22"/>
            <w:szCs w:val="22"/>
            <w:lang w:eastAsia="en-GB"/>
            <w14:ligatures w14:val="none"/>
          </w:rPr>
          <w:t>https://doi.org/10.3390/nu16040501</w:t>
        </w:r>
      </w:hyperlink>
      <w:r w:rsidRPr="00CB45F1">
        <w:rPr>
          <w:rFonts w:ascii="Arial" w:eastAsia="Times New Roman" w:hAnsi="Arial" w:cs="Arial"/>
          <w:kern w:val="0"/>
          <w:sz w:val="22"/>
          <w:szCs w:val="22"/>
          <w:lang w:eastAsia="en-GB"/>
          <w14:ligatures w14:val="none"/>
        </w:rPr>
        <w:t xml:space="preserve">  (Accessed: 17 July).</w:t>
      </w:r>
    </w:p>
    <w:p w14:paraId="6CE2A9D0" w14:textId="77777777" w:rsidR="00B862BF" w:rsidRPr="00CB45F1" w:rsidRDefault="00B862BF" w:rsidP="0072498B">
      <w:pPr>
        <w:spacing w:after="0" w:line="240" w:lineRule="auto"/>
        <w:rPr>
          <w:rFonts w:ascii="Arial" w:eastAsia="Times New Roman" w:hAnsi="Arial" w:cs="Arial"/>
          <w:kern w:val="0"/>
          <w:sz w:val="22"/>
          <w:szCs w:val="22"/>
          <w:lang w:eastAsia="en-GB"/>
          <w14:ligatures w14:val="none"/>
        </w:rPr>
      </w:pPr>
    </w:p>
    <w:p w14:paraId="24F0166E" w14:textId="77777777" w:rsidR="000E5534" w:rsidRPr="00CB45F1" w:rsidRDefault="000E5534" w:rsidP="00667643">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Fisher, E.M. </w:t>
      </w:r>
      <w:r w:rsidRPr="00CB45F1">
        <w:rPr>
          <w:rFonts w:ascii="Arial" w:eastAsia="Times New Roman" w:hAnsi="Arial" w:cs="Arial"/>
          <w:i/>
          <w:iCs/>
          <w:kern w:val="0"/>
          <w:sz w:val="22"/>
          <w:szCs w:val="22"/>
          <w:lang w:eastAsia="en-GB"/>
          <w14:ligatures w14:val="none"/>
        </w:rPr>
        <w:t>et al.</w:t>
      </w:r>
      <w:r w:rsidRPr="00CB45F1">
        <w:rPr>
          <w:rFonts w:ascii="Arial" w:eastAsia="Times New Roman" w:hAnsi="Arial" w:cs="Arial"/>
          <w:kern w:val="0"/>
          <w:sz w:val="22"/>
          <w:szCs w:val="22"/>
          <w:lang w:eastAsia="en-GB"/>
          <w14:ligatures w14:val="none"/>
        </w:rPr>
        <w:t xml:space="preserve"> (2025) ‘Participant Perspectives on a Community Health Worker Intervention to Reduce Infant Mortality: A Mixed Methods Assessment of the Bronx Healthy Start Partnership,’ </w:t>
      </w:r>
      <w:r w:rsidRPr="00CB45F1">
        <w:rPr>
          <w:rFonts w:ascii="Arial" w:eastAsia="Times New Roman" w:hAnsi="Arial" w:cs="Arial"/>
          <w:i/>
          <w:iCs/>
          <w:kern w:val="0"/>
          <w:sz w:val="22"/>
          <w:szCs w:val="22"/>
          <w:lang w:eastAsia="en-GB"/>
          <w14:ligatures w14:val="none"/>
        </w:rPr>
        <w:t>Maternal and child health journal</w:t>
      </w:r>
      <w:r w:rsidRPr="00CB45F1">
        <w:rPr>
          <w:rFonts w:ascii="Arial" w:eastAsia="Times New Roman" w:hAnsi="Arial" w:cs="Arial"/>
          <w:kern w:val="0"/>
          <w:sz w:val="22"/>
          <w:szCs w:val="22"/>
          <w:lang w:eastAsia="en-GB"/>
          <w14:ligatures w14:val="none"/>
        </w:rPr>
        <w:t xml:space="preserve">, 29(1), pp. 4–11. Available at: </w:t>
      </w:r>
      <w:hyperlink r:id="rId17" w:history="1">
        <w:r w:rsidRPr="00CB45F1">
          <w:rPr>
            <w:rStyle w:val="Hyperlink"/>
            <w:rFonts w:ascii="Arial" w:eastAsia="Times New Roman" w:hAnsi="Arial" w:cs="Arial"/>
            <w:kern w:val="0"/>
            <w:sz w:val="22"/>
            <w:szCs w:val="22"/>
            <w:lang w:eastAsia="en-GB"/>
            <w14:ligatures w14:val="none"/>
          </w:rPr>
          <w:t>https://doi.org/10.1007/s10995-024-04014-1</w:t>
        </w:r>
      </w:hyperlink>
      <w:r w:rsidRPr="00CB45F1">
        <w:rPr>
          <w:rFonts w:ascii="Arial" w:eastAsia="Times New Roman" w:hAnsi="Arial" w:cs="Arial"/>
          <w:kern w:val="0"/>
          <w:sz w:val="22"/>
          <w:szCs w:val="22"/>
          <w:lang w:eastAsia="en-GB"/>
          <w14:ligatures w14:val="none"/>
        </w:rPr>
        <w:t xml:space="preserve"> (Accessed: 21 July 2026).</w:t>
      </w:r>
    </w:p>
    <w:p w14:paraId="7026310E" w14:textId="77777777" w:rsidR="00B862BF" w:rsidRPr="00CB45F1" w:rsidRDefault="00B862BF" w:rsidP="00667643">
      <w:pPr>
        <w:spacing w:after="0" w:line="240" w:lineRule="auto"/>
        <w:rPr>
          <w:rFonts w:ascii="Arial" w:eastAsia="Times New Roman" w:hAnsi="Arial" w:cs="Arial"/>
          <w:kern w:val="0"/>
          <w:sz w:val="22"/>
          <w:szCs w:val="22"/>
          <w:lang w:eastAsia="en-GB"/>
          <w14:ligatures w14:val="none"/>
        </w:rPr>
      </w:pPr>
    </w:p>
    <w:p w14:paraId="299942A5" w14:textId="77777777" w:rsidR="000E5534" w:rsidRPr="00CB45F1" w:rsidRDefault="000E5534" w:rsidP="00125309">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Grosso, G. et al</w:t>
      </w:r>
      <w:r w:rsidRPr="00CB45F1">
        <w:rPr>
          <w:rFonts w:ascii="Arial" w:eastAsia="Times New Roman" w:hAnsi="Arial" w:cs="Arial"/>
          <w:i/>
          <w:iCs/>
          <w:kern w:val="0"/>
          <w:sz w:val="22"/>
          <w:szCs w:val="22"/>
          <w:lang w:eastAsia="en-GB"/>
          <w14:ligatures w14:val="none"/>
        </w:rPr>
        <w:t>.</w:t>
      </w:r>
      <w:r w:rsidRPr="00CB45F1">
        <w:rPr>
          <w:rFonts w:ascii="Arial" w:eastAsia="Times New Roman" w:hAnsi="Arial" w:cs="Arial"/>
          <w:kern w:val="0"/>
          <w:sz w:val="22"/>
          <w:szCs w:val="22"/>
          <w:lang w:eastAsia="en-GB"/>
          <w14:ligatures w14:val="none"/>
        </w:rPr>
        <w:t xml:space="preserve"> (2020) ‘Nutrition in the context of the Sustainable Development Goals,’ </w:t>
      </w:r>
      <w:r w:rsidRPr="00CB45F1">
        <w:rPr>
          <w:rFonts w:ascii="Arial" w:eastAsia="Times New Roman" w:hAnsi="Arial" w:cs="Arial"/>
          <w:i/>
          <w:iCs/>
          <w:kern w:val="0"/>
          <w:sz w:val="22"/>
          <w:szCs w:val="22"/>
          <w:lang w:eastAsia="en-GB"/>
          <w14:ligatures w14:val="none"/>
        </w:rPr>
        <w:t>European journal of public health</w:t>
      </w:r>
      <w:r w:rsidRPr="00CB45F1">
        <w:rPr>
          <w:rFonts w:ascii="Arial" w:eastAsia="Times New Roman" w:hAnsi="Arial" w:cs="Arial"/>
          <w:kern w:val="0"/>
          <w:sz w:val="22"/>
          <w:szCs w:val="22"/>
          <w:lang w:eastAsia="en-GB"/>
          <w14:ligatures w14:val="none"/>
        </w:rPr>
        <w:t xml:space="preserve">, 30(Supplement_1), pp. i19–i23. Available at: </w:t>
      </w:r>
      <w:hyperlink r:id="rId18" w:history="1">
        <w:r w:rsidRPr="00CB45F1">
          <w:rPr>
            <w:rStyle w:val="Hyperlink"/>
            <w:rFonts w:ascii="Arial" w:eastAsia="Times New Roman" w:hAnsi="Arial" w:cs="Arial"/>
            <w:kern w:val="0"/>
            <w:sz w:val="22"/>
            <w:szCs w:val="22"/>
            <w:lang w:eastAsia="en-GB"/>
            <w14:ligatures w14:val="none"/>
          </w:rPr>
          <w:t>https://doi.org/10.1093/eurpub/ckaa034</w:t>
        </w:r>
      </w:hyperlink>
      <w:r w:rsidRPr="00CB45F1">
        <w:rPr>
          <w:rFonts w:ascii="Arial" w:eastAsia="Times New Roman" w:hAnsi="Arial" w:cs="Arial"/>
          <w:kern w:val="0"/>
          <w:sz w:val="22"/>
          <w:szCs w:val="22"/>
          <w:lang w:eastAsia="en-GB"/>
          <w14:ligatures w14:val="none"/>
        </w:rPr>
        <w:t xml:space="preserve"> ( Accessed: 17 July 2026).</w:t>
      </w:r>
    </w:p>
    <w:p w14:paraId="0D5DF147" w14:textId="77777777" w:rsidR="00B5422E" w:rsidRPr="00CB45F1" w:rsidRDefault="00B5422E" w:rsidP="00125309">
      <w:pPr>
        <w:spacing w:after="0" w:line="240" w:lineRule="auto"/>
        <w:rPr>
          <w:rFonts w:ascii="Arial" w:eastAsia="Times New Roman" w:hAnsi="Arial" w:cs="Arial"/>
          <w:kern w:val="0"/>
          <w:sz w:val="22"/>
          <w:szCs w:val="22"/>
          <w:lang w:eastAsia="en-GB"/>
          <w14:ligatures w14:val="none"/>
        </w:rPr>
      </w:pPr>
    </w:p>
    <w:p w14:paraId="779E6EC2" w14:textId="77777777" w:rsidR="000E5534" w:rsidRPr="00CB45F1" w:rsidRDefault="000E5534" w:rsidP="00D97A99">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Holding, E. </w:t>
      </w:r>
      <w:r w:rsidRPr="00CB45F1">
        <w:rPr>
          <w:rFonts w:ascii="Arial" w:eastAsia="Times New Roman" w:hAnsi="Arial" w:cs="Arial"/>
          <w:i/>
          <w:iCs/>
          <w:kern w:val="0"/>
          <w:sz w:val="22"/>
          <w:szCs w:val="22"/>
          <w:lang w:eastAsia="en-GB"/>
          <w14:ligatures w14:val="none"/>
        </w:rPr>
        <w:t>et al.</w:t>
      </w:r>
      <w:r w:rsidRPr="00CB45F1">
        <w:rPr>
          <w:rFonts w:ascii="Arial" w:eastAsia="Times New Roman" w:hAnsi="Arial" w:cs="Arial"/>
          <w:kern w:val="0"/>
          <w:sz w:val="22"/>
          <w:szCs w:val="22"/>
          <w:lang w:eastAsia="en-GB"/>
          <w14:ligatures w14:val="none"/>
        </w:rPr>
        <w:t xml:space="preserve"> (2021) ‘Exploring the local policy context for reducing health inequalities in children and young people: an </w:t>
      </w:r>
      <w:proofErr w:type="gramStart"/>
      <w:r w:rsidRPr="00CB45F1">
        <w:rPr>
          <w:rFonts w:ascii="Arial" w:eastAsia="Times New Roman" w:hAnsi="Arial" w:cs="Arial"/>
          <w:kern w:val="0"/>
          <w:sz w:val="22"/>
          <w:szCs w:val="22"/>
          <w:lang w:eastAsia="en-GB"/>
          <w14:ligatures w14:val="none"/>
        </w:rPr>
        <w:t>in depth</w:t>
      </w:r>
      <w:proofErr w:type="gramEnd"/>
      <w:r w:rsidRPr="00CB45F1">
        <w:rPr>
          <w:rFonts w:ascii="Arial" w:eastAsia="Times New Roman" w:hAnsi="Arial" w:cs="Arial"/>
          <w:kern w:val="0"/>
          <w:sz w:val="22"/>
          <w:szCs w:val="22"/>
          <w:lang w:eastAsia="en-GB"/>
          <w14:ligatures w14:val="none"/>
        </w:rPr>
        <w:t xml:space="preserve"> qualitative case study of one local authority in the North of England, UK,’ </w:t>
      </w:r>
      <w:r w:rsidRPr="00CB45F1">
        <w:rPr>
          <w:rFonts w:ascii="Arial" w:eastAsia="Times New Roman" w:hAnsi="Arial" w:cs="Arial"/>
          <w:i/>
          <w:iCs/>
          <w:kern w:val="0"/>
          <w:sz w:val="22"/>
          <w:szCs w:val="22"/>
          <w:lang w:eastAsia="en-GB"/>
          <w14:ligatures w14:val="none"/>
        </w:rPr>
        <w:t>BMC public health</w:t>
      </w:r>
      <w:r w:rsidRPr="00CB45F1">
        <w:rPr>
          <w:rFonts w:ascii="Arial" w:eastAsia="Times New Roman" w:hAnsi="Arial" w:cs="Arial"/>
          <w:kern w:val="0"/>
          <w:sz w:val="22"/>
          <w:szCs w:val="22"/>
          <w:lang w:eastAsia="en-GB"/>
          <w14:ligatures w14:val="none"/>
        </w:rPr>
        <w:t xml:space="preserve">, 21(1). Available at: </w:t>
      </w:r>
      <w:hyperlink r:id="rId19" w:history="1">
        <w:r w:rsidRPr="00CB45F1">
          <w:rPr>
            <w:rStyle w:val="Hyperlink"/>
            <w:rFonts w:ascii="Arial" w:eastAsia="Times New Roman" w:hAnsi="Arial" w:cs="Arial"/>
            <w:kern w:val="0"/>
            <w:sz w:val="22"/>
            <w:szCs w:val="22"/>
            <w:lang w:eastAsia="en-GB"/>
            <w14:ligatures w14:val="none"/>
          </w:rPr>
          <w:t>https://doi.org/10.1186/s12889-021-10782-0</w:t>
        </w:r>
      </w:hyperlink>
      <w:r w:rsidRPr="00CB45F1">
        <w:rPr>
          <w:rFonts w:ascii="Arial" w:eastAsia="Times New Roman" w:hAnsi="Arial" w:cs="Arial"/>
          <w:kern w:val="0"/>
          <w:sz w:val="22"/>
          <w:szCs w:val="22"/>
          <w:lang w:eastAsia="en-GB"/>
          <w14:ligatures w14:val="none"/>
        </w:rPr>
        <w:t xml:space="preserve"> ( Accessed: 19 July 2026).</w:t>
      </w:r>
    </w:p>
    <w:p w14:paraId="131F51C0" w14:textId="77777777" w:rsidR="00B5422E" w:rsidRPr="00CB45F1" w:rsidRDefault="00B5422E" w:rsidP="00D97A99">
      <w:pPr>
        <w:spacing w:after="0" w:line="240" w:lineRule="auto"/>
        <w:rPr>
          <w:rFonts w:ascii="Arial" w:eastAsia="Times New Roman" w:hAnsi="Arial" w:cs="Arial"/>
          <w:kern w:val="0"/>
          <w:sz w:val="22"/>
          <w:szCs w:val="22"/>
          <w:lang w:eastAsia="en-GB"/>
          <w14:ligatures w14:val="none"/>
        </w:rPr>
      </w:pPr>
    </w:p>
    <w:p w14:paraId="140BF8DF" w14:textId="77777777" w:rsidR="000E5534" w:rsidRPr="00CB45F1" w:rsidRDefault="000E5534" w:rsidP="00EB6C59">
      <w:pPr>
        <w:rPr>
          <w:rFonts w:ascii="Arial" w:hAnsi="Arial" w:cs="Arial"/>
          <w:color w:val="0000FF"/>
          <w:sz w:val="22"/>
          <w:szCs w:val="22"/>
          <w:u w:val="single"/>
        </w:rPr>
      </w:pPr>
      <w:r w:rsidRPr="00CB45F1">
        <w:rPr>
          <w:rFonts w:ascii="Arial" w:hAnsi="Arial" w:cs="Arial"/>
          <w:color w:val="0000FF"/>
          <w:sz w:val="22"/>
          <w:szCs w:val="22"/>
          <w:u w:val="single"/>
        </w:rPr>
        <w:t xml:space="preserve"> </w:t>
      </w:r>
      <w:r w:rsidRPr="00CB45F1">
        <w:rPr>
          <w:rFonts w:ascii="Arial" w:eastAsia="Times New Roman" w:hAnsi="Arial" w:cs="Arial"/>
          <w:kern w:val="0"/>
          <w:sz w:val="22"/>
          <w:szCs w:val="22"/>
          <w:lang w:eastAsia="en-GB"/>
          <w14:ligatures w14:val="none"/>
        </w:rPr>
        <w:t xml:space="preserve">Jung, M.E., Bourne, J.E. and Gainforth, H.L. (2018) ‘Evaluation of a community-based, family focused healthy weights initiative using the RE-AIM framework,’ </w:t>
      </w:r>
      <w:r w:rsidRPr="00CB45F1">
        <w:rPr>
          <w:rFonts w:ascii="Arial" w:eastAsia="Times New Roman" w:hAnsi="Arial" w:cs="Arial"/>
          <w:i/>
          <w:iCs/>
          <w:kern w:val="0"/>
          <w:sz w:val="22"/>
          <w:szCs w:val="22"/>
          <w:lang w:eastAsia="en-GB"/>
          <w14:ligatures w14:val="none"/>
        </w:rPr>
        <w:t>The international journal of behavioral nutrition and physical activity</w:t>
      </w:r>
      <w:r w:rsidRPr="00CB45F1">
        <w:rPr>
          <w:rFonts w:ascii="Arial" w:eastAsia="Times New Roman" w:hAnsi="Arial" w:cs="Arial"/>
          <w:kern w:val="0"/>
          <w:sz w:val="22"/>
          <w:szCs w:val="22"/>
          <w:lang w:eastAsia="en-GB"/>
          <w14:ligatures w14:val="none"/>
        </w:rPr>
        <w:t xml:space="preserve">, 15(1). Available at: </w:t>
      </w:r>
      <w:hyperlink r:id="rId20" w:history="1">
        <w:r w:rsidRPr="00CB45F1">
          <w:rPr>
            <w:rStyle w:val="Hyperlink"/>
            <w:rFonts w:ascii="Arial" w:eastAsia="Times New Roman" w:hAnsi="Arial" w:cs="Arial"/>
            <w:kern w:val="0"/>
            <w:sz w:val="22"/>
            <w:szCs w:val="22"/>
            <w:lang w:eastAsia="en-GB"/>
            <w14:ligatures w14:val="none"/>
          </w:rPr>
          <w:t>https://doi.org/10.1186/s12966-017-0638-0</w:t>
        </w:r>
      </w:hyperlink>
      <w:r w:rsidRPr="00CB45F1">
        <w:rPr>
          <w:rFonts w:ascii="Arial" w:eastAsia="Times New Roman" w:hAnsi="Arial" w:cs="Arial"/>
          <w:kern w:val="0"/>
          <w:sz w:val="22"/>
          <w:szCs w:val="22"/>
          <w:lang w:eastAsia="en-GB"/>
          <w14:ligatures w14:val="none"/>
        </w:rPr>
        <w:t xml:space="preserve"> ( Accessed: 19 July 2026).</w:t>
      </w:r>
    </w:p>
    <w:p w14:paraId="2A57482C" w14:textId="77777777" w:rsidR="000E5534" w:rsidRPr="00CB45F1" w:rsidRDefault="000E5534" w:rsidP="00DB7E5D">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Koletzko, B. et al</w:t>
      </w:r>
      <w:r w:rsidRPr="00CB45F1">
        <w:rPr>
          <w:rFonts w:ascii="Arial" w:eastAsia="Times New Roman" w:hAnsi="Arial" w:cs="Arial"/>
          <w:i/>
          <w:iCs/>
          <w:kern w:val="0"/>
          <w:sz w:val="22"/>
          <w:szCs w:val="22"/>
          <w:lang w:eastAsia="en-GB"/>
          <w14:ligatures w14:val="none"/>
        </w:rPr>
        <w:t>.</w:t>
      </w:r>
      <w:r w:rsidRPr="00CB45F1">
        <w:rPr>
          <w:rFonts w:ascii="Arial" w:eastAsia="Times New Roman" w:hAnsi="Arial" w:cs="Arial"/>
          <w:kern w:val="0"/>
          <w:sz w:val="22"/>
          <w:szCs w:val="22"/>
          <w:lang w:eastAsia="en-GB"/>
          <w14:ligatures w14:val="none"/>
        </w:rPr>
        <w:t xml:space="preserve"> (2018) ‘Diet and Lifestyle Before and During Pregnancy – Practical Recommendations of the Germany-wide Healthy Start – Young Family Network,’ </w:t>
      </w:r>
      <w:r w:rsidRPr="00CB45F1">
        <w:rPr>
          <w:rFonts w:ascii="Arial" w:eastAsia="Times New Roman" w:hAnsi="Arial" w:cs="Arial"/>
          <w:i/>
          <w:iCs/>
          <w:kern w:val="0"/>
          <w:sz w:val="22"/>
          <w:szCs w:val="22"/>
          <w:lang w:eastAsia="en-GB"/>
          <w14:ligatures w14:val="none"/>
        </w:rPr>
        <w:t>Geburtshilfe und Frauenheilkunde</w:t>
      </w:r>
      <w:r w:rsidRPr="00CB45F1">
        <w:rPr>
          <w:rFonts w:ascii="Arial" w:eastAsia="Times New Roman" w:hAnsi="Arial" w:cs="Arial"/>
          <w:kern w:val="0"/>
          <w:sz w:val="22"/>
          <w:szCs w:val="22"/>
          <w:lang w:eastAsia="en-GB"/>
          <w14:ligatures w14:val="none"/>
        </w:rPr>
        <w:t xml:space="preserve">, 78(12), pp. 1262–1282. Available at: </w:t>
      </w:r>
      <w:hyperlink r:id="rId21" w:history="1">
        <w:r w:rsidRPr="00CB45F1">
          <w:rPr>
            <w:rStyle w:val="Hyperlink"/>
            <w:rFonts w:ascii="Arial" w:eastAsia="Times New Roman" w:hAnsi="Arial" w:cs="Arial"/>
            <w:kern w:val="0"/>
            <w:sz w:val="22"/>
            <w:szCs w:val="22"/>
            <w:lang w:eastAsia="en-GB"/>
            <w14:ligatures w14:val="none"/>
          </w:rPr>
          <w:t>https://doi.org/10.1055/a-0713-1058</w:t>
        </w:r>
      </w:hyperlink>
      <w:r w:rsidRPr="00CB45F1">
        <w:rPr>
          <w:rFonts w:ascii="Arial" w:eastAsia="Times New Roman" w:hAnsi="Arial" w:cs="Arial"/>
          <w:kern w:val="0"/>
          <w:sz w:val="22"/>
          <w:szCs w:val="22"/>
          <w:lang w:eastAsia="en-GB"/>
          <w14:ligatures w14:val="none"/>
        </w:rPr>
        <w:t xml:space="preserve"> ( Accessed: 21 July 2026).</w:t>
      </w:r>
    </w:p>
    <w:p w14:paraId="6840298B" w14:textId="77777777" w:rsidR="008A22F8" w:rsidRPr="00CB45F1" w:rsidRDefault="008A22F8" w:rsidP="00DB7E5D">
      <w:pPr>
        <w:spacing w:after="0" w:line="240" w:lineRule="auto"/>
        <w:rPr>
          <w:rFonts w:ascii="Arial" w:eastAsia="Times New Roman" w:hAnsi="Arial" w:cs="Arial"/>
          <w:kern w:val="0"/>
          <w:sz w:val="22"/>
          <w:szCs w:val="22"/>
          <w:lang w:eastAsia="en-GB"/>
          <w14:ligatures w14:val="none"/>
        </w:rPr>
      </w:pPr>
    </w:p>
    <w:p w14:paraId="71788C8F" w14:textId="77777777" w:rsidR="000E5534" w:rsidRPr="00CB45F1" w:rsidRDefault="000E5534" w:rsidP="00437265">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Macassa, G. (2021) ‘Social Enterprise, Population Health and Sustainable Development Goal 3: A Public Health Viewpoint,’ </w:t>
      </w:r>
      <w:r w:rsidRPr="00CB45F1">
        <w:rPr>
          <w:rFonts w:ascii="Arial" w:eastAsia="Times New Roman" w:hAnsi="Arial" w:cs="Arial"/>
          <w:i/>
          <w:iCs/>
          <w:kern w:val="0"/>
          <w:sz w:val="22"/>
          <w:szCs w:val="22"/>
          <w:lang w:eastAsia="en-GB"/>
          <w14:ligatures w14:val="none"/>
        </w:rPr>
        <w:t>Annals of global health</w:t>
      </w:r>
      <w:r w:rsidRPr="00CB45F1">
        <w:rPr>
          <w:rFonts w:ascii="Arial" w:eastAsia="Times New Roman" w:hAnsi="Arial" w:cs="Arial"/>
          <w:kern w:val="0"/>
          <w:sz w:val="22"/>
          <w:szCs w:val="22"/>
          <w:lang w:eastAsia="en-GB"/>
          <w14:ligatures w14:val="none"/>
        </w:rPr>
        <w:t xml:space="preserve">, 87(1), p. 52. Available at: </w:t>
      </w:r>
      <w:hyperlink r:id="rId22" w:history="1">
        <w:r w:rsidRPr="00CB45F1">
          <w:rPr>
            <w:rStyle w:val="Hyperlink"/>
            <w:rFonts w:ascii="Arial" w:eastAsia="Times New Roman" w:hAnsi="Arial" w:cs="Arial"/>
            <w:kern w:val="0"/>
            <w:sz w:val="22"/>
            <w:szCs w:val="22"/>
            <w:lang w:eastAsia="en-GB"/>
            <w14:ligatures w14:val="none"/>
          </w:rPr>
          <w:t>https://doi.org/10.5334/aogh.3231</w:t>
        </w:r>
      </w:hyperlink>
      <w:r w:rsidRPr="00CB45F1">
        <w:rPr>
          <w:rFonts w:ascii="Arial" w:eastAsia="Times New Roman" w:hAnsi="Arial" w:cs="Arial"/>
          <w:kern w:val="0"/>
          <w:sz w:val="22"/>
          <w:szCs w:val="22"/>
          <w:lang w:eastAsia="en-GB"/>
          <w14:ligatures w14:val="none"/>
        </w:rPr>
        <w:t>( Accessed:22 July 2026).</w:t>
      </w:r>
    </w:p>
    <w:p w14:paraId="477E4884" w14:textId="77777777" w:rsidR="008A22F8" w:rsidRPr="00CB45F1" w:rsidRDefault="008A22F8" w:rsidP="00437265">
      <w:pPr>
        <w:spacing w:after="0" w:line="240" w:lineRule="auto"/>
        <w:rPr>
          <w:rFonts w:ascii="Arial" w:eastAsia="Times New Roman" w:hAnsi="Arial" w:cs="Arial"/>
          <w:kern w:val="0"/>
          <w:sz w:val="22"/>
          <w:szCs w:val="22"/>
          <w:lang w:eastAsia="en-GB"/>
          <w14:ligatures w14:val="none"/>
        </w:rPr>
      </w:pPr>
    </w:p>
    <w:p w14:paraId="73A2A74A" w14:textId="77777777" w:rsidR="00A22DB1" w:rsidRPr="00CB45F1" w:rsidRDefault="00A22DB1" w:rsidP="0050439B">
      <w:pPr>
        <w:spacing w:after="0" w:line="240" w:lineRule="auto"/>
        <w:rPr>
          <w:rFonts w:ascii="Arial" w:eastAsia="Times New Roman" w:hAnsi="Arial" w:cs="Arial"/>
          <w:kern w:val="0"/>
          <w:sz w:val="22"/>
          <w:szCs w:val="22"/>
          <w:lang w:eastAsia="en-GB"/>
          <w14:ligatures w14:val="none"/>
        </w:rPr>
      </w:pPr>
    </w:p>
    <w:p w14:paraId="38B53C37" w14:textId="41F8A490" w:rsidR="000E5534" w:rsidRPr="00CB45F1" w:rsidRDefault="000E5534" w:rsidP="0050439B">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Montoya-Williams, D. et al</w:t>
      </w:r>
      <w:r w:rsidRPr="00CB45F1">
        <w:rPr>
          <w:rFonts w:ascii="Arial" w:eastAsia="Times New Roman" w:hAnsi="Arial" w:cs="Arial"/>
          <w:i/>
          <w:iCs/>
          <w:kern w:val="0"/>
          <w:sz w:val="22"/>
          <w:szCs w:val="22"/>
          <w:lang w:eastAsia="en-GB"/>
          <w14:ligatures w14:val="none"/>
        </w:rPr>
        <w:t>.</w:t>
      </w:r>
      <w:r w:rsidRPr="00CB45F1">
        <w:rPr>
          <w:rFonts w:ascii="Arial" w:eastAsia="Times New Roman" w:hAnsi="Arial" w:cs="Arial"/>
          <w:kern w:val="0"/>
          <w:sz w:val="22"/>
          <w:szCs w:val="22"/>
          <w:lang w:eastAsia="en-GB"/>
          <w14:ligatures w14:val="none"/>
        </w:rPr>
        <w:t xml:space="preserve"> (2020) ‘Associations Between a Healthy Start Program Prenatal Risk Screening Tool and Adverse Birth Outcomes: A Study Using the Mother/Infant Dyad Screening Cohort,’</w:t>
      </w:r>
      <w:r w:rsidRPr="00CB45F1">
        <w:rPr>
          <w:rFonts w:ascii="Arial" w:eastAsia="Times New Roman" w:hAnsi="Arial" w:cs="Arial"/>
          <w:i/>
          <w:iCs/>
          <w:kern w:val="0"/>
          <w:sz w:val="22"/>
          <w:szCs w:val="22"/>
          <w:lang w:eastAsia="en-GB"/>
          <w14:ligatures w14:val="none"/>
        </w:rPr>
        <w:t>Journal of Women s Health</w:t>
      </w:r>
      <w:r w:rsidRPr="00CB45F1">
        <w:rPr>
          <w:rFonts w:ascii="Arial" w:eastAsia="Times New Roman" w:hAnsi="Arial" w:cs="Arial"/>
          <w:kern w:val="0"/>
          <w:sz w:val="22"/>
          <w:szCs w:val="22"/>
          <w:lang w:eastAsia="en-GB"/>
          <w14:ligatures w14:val="none"/>
        </w:rPr>
        <w:t xml:space="preserve">, 29(5), pp. 647–655. Available at: </w:t>
      </w:r>
      <w:hyperlink r:id="rId23" w:history="1">
        <w:r w:rsidR="001958BE" w:rsidRPr="00CB45F1">
          <w:rPr>
            <w:rStyle w:val="Hyperlink"/>
            <w:rFonts w:ascii="Arial" w:eastAsia="Times New Roman" w:hAnsi="Arial" w:cs="Arial"/>
            <w:kern w:val="0"/>
            <w:sz w:val="22"/>
            <w:szCs w:val="22"/>
            <w:lang w:eastAsia="en-GB"/>
            <w14:ligatures w14:val="none"/>
          </w:rPr>
          <w:t>https://doi.org/10.1089/jwh.2019.7712</w:t>
        </w:r>
      </w:hyperlink>
      <w:r w:rsidRPr="00CB45F1">
        <w:rPr>
          <w:rFonts w:ascii="Arial" w:eastAsia="Times New Roman" w:hAnsi="Arial" w:cs="Arial"/>
          <w:kern w:val="0"/>
          <w:sz w:val="22"/>
          <w:szCs w:val="22"/>
          <w:lang w:eastAsia="en-GB"/>
          <w14:ligatures w14:val="none"/>
        </w:rPr>
        <w:t>.</w:t>
      </w:r>
      <w:r w:rsidR="001958BE" w:rsidRPr="00CB45F1">
        <w:rPr>
          <w:rFonts w:ascii="Arial" w:eastAsia="Times New Roman" w:hAnsi="Arial" w:cs="Arial"/>
          <w:kern w:val="0"/>
          <w:sz w:val="22"/>
          <w:szCs w:val="22"/>
          <w:lang w:eastAsia="en-GB"/>
          <w14:ligatures w14:val="none"/>
        </w:rPr>
        <w:t xml:space="preserve"> ( Accessed: 22 July 2026).</w:t>
      </w:r>
    </w:p>
    <w:p w14:paraId="7EA0E186" w14:textId="77777777" w:rsidR="001958BE" w:rsidRPr="00CB45F1" w:rsidRDefault="001958BE" w:rsidP="0050439B">
      <w:pPr>
        <w:spacing w:after="0" w:line="240" w:lineRule="auto"/>
        <w:rPr>
          <w:rFonts w:ascii="Arial" w:eastAsia="Times New Roman" w:hAnsi="Arial" w:cs="Arial"/>
          <w:kern w:val="0"/>
          <w:sz w:val="22"/>
          <w:szCs w:val="22"/>
          <w:lang w:eastAsia="en-GB"/>
          <w14:ligatures w14:val="none"/>
        </w:rPr>
      </w:pPr>
    </w:p>
    <w:p w14:paraId="1BD3E3F9" w14:textId="77777777" w:rsidR="000E5534" w:rsidRPr="00CB45F1" w:rsidRDefault="000E5534" w:rsidP="00EB6C59">
      <w:pPr>
        <w:rPr>
          <w:rFonts w:ascii="Arial" w:hAnsi="Arial" w:cs="Arial"/>
          <w:sz w:val="22"/>
          <w:szCs w:val="22"/>
        </w:rPr>
      </w:pPr>
      <w:r w:rsidRPr="00CB45F1">
        <w:rPr>
          <w:rFonts w:ascii="Arial" w:hAnsi="Arial" w:cs="Arial"/>
          <w:sz w:val="22"/>
          <w:szCs w:val="22"/>
        </w:rPr>
        <w:lastRenderedPageBreak/>
        <w:t xml:space="preserve">NHS Guy’s and St Thomas’ NHS Foundation Trust (2023) </w:t>
      </w:r>
      <w:r w:rsidRPr="00CB45F1">
        <w:rPr>
          <w:rFonts w:ascii="Arial" w:hAnsi="Arial" w:cs="Arial"/>
          <w:i/>
          <w:iCs/>
          <w:sz w:val="22"/>
          <w:szCs w:val="22"/>
        </w:rPr>
        <w:t>Southwark Healthy Weight Programme</w:t>
      </w:r>
      <w:r w:rsidRPr="00CB45F1">
        <w:rPr>
          <w:rFonts w:ascii="Arial" w:hAnsi="Arial" w:cs="Arial"/>
          <w:sz w:val="22"/>
          <w:szCs w:val="22"/>
        </w:rPr>
        <w:t xml:space="preserve">. Available at: </w:t>
      </w:r>
      <w:hyperlink r:id="rId24" w:tgtFrame="_blank" w:tooltip="www.guysandstthomas.nhs.uk" w:history="1">
        <w:r w:rsidRPr="00CB45F1">
          <w:rPr>
            <w:rFonts w:ascii="Arial" w:hAnsi="Arial" w:cs="Arial"/>
            <w:color w:val="0000FF"/>
            <w:sz w:val="22"/>
            <w:szCs w:val="22"/>
            <w:u w:val="single"/>
          </w:rPr>
          <w:t>https://www.guysandstthomas.nhs.uk/our-services/healthy-weight-programmes/southwark-healthy-weight-programme</w:t>
        </w:r>
      </w:hyperlink>
      <w:r w:rsidRPr="00CB45F1">
        <w:rPr>
          <w:rFonts w:ascii="Arial" w:hAnsi="Arial" w:cs="Arial"/>
          <w:sz w:val="22"/>
          <w:szCs w:val="22"/>
        </w:rPr>
        <w:t xml:space="preserve"> (Accessed: 19 July 2026).</w:t>
      </w:r>
    </w:p>
    <w:p w14:paraId="2ADD80B4" w14:textId="77777777" w:rsidR="000E5534" w:rsidRPr="00CB45F1" w:rsidRDefault="000E5534" w:rsidP="008069CE">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Nursing Standard (2019) ‘Government’s plan is big on ambition, so why is it short of nurses’ </w:t>
      </w:r>
      <w:proofErr w:type="gramStart"/>
      <w:r w:rsidRPr="00CB45F1">
        <w:rPr>
          <w:rFonts w:ascii="Arial" w:eastAsia="Times New Roman" w:hAnsi="Arial" w:cs="Arial"/>
          <w:kern w:val="0"/>
          <w:sz w:val="22"/>
          <w:szCs w:val="22"/>
          <w:lang w:eastAsia="en-GB"/>
          <w14:ligatures w14:val="none"/>
        </w:rPr>
        <w:t>support?:</w:t>
      </w:r>
      <w:proofErr w:type="gramEnd"/>
      <w:r w:rsidRPr="00CB45F1">
        <w:rPr>
          <w:rFonts w:ascii="Arial" w:eastAsia="Times New Roman" w:hAnsi="Arial" w:cs="Arial"/>
          <w:kern w:val="0"/>
          <w:sz w:val="22"/>
          <w:szCs w:val="22"/>
          <w:lang w:eastAsia="en-GB"/>
          <w14:ligatures w14:val="none"/>
        </w:rPr>
        <w:t xml:space="preserve"> Critics say the ten-year strategy cannot succeed unless the NHS staffing crisis is resolved,’ 34(2), pp. 8–10. Available at: </w:t>
      </w:r>
      <w:hyperlink r:id="rId25" w:history="1">
        <w:r w:rsidRPr="00CB45F1">
          <w:rPr>
            <w:rStyle w:val="Hyperlink"/>
            <w:rFonts w:ascii="Arial" w:eastAsia="Times New Roman" w:hAnsi="Arial" w:cs="Arial"/>
            <w:kern w:val="0"/>
            <w:sz w:val="22"/>
            <w:szCs w:val="22"/>
            <w:lang w:eastAsia="en-GB"/>
            <w14:ligatures w14:val="none"/>
          </w:rPr>
          <w:t>https://doi.org/10.7748/ns.34.2.8.s6</w:t>
        </w:r>
      </w:hyperlink>
      <w:r w:rsidRPr="00CB45F1">
        <w:rPr>
          <w:rFonts w:ascii="Arial" w:eastAsia="Times New Roman" w:hAnsi="Arial" w:cs="Arial"/>
          <w:kern w:val="0"/>
          <w:sz w:val="22"/>
          <w:szCs w:val="22"/>
          <w:lang w:eastAsia="en-GB"/>
          <w14:ligatures w14:val="none"/>
        </w:rPr>
        <w:t xml:space="preserve"> ( Accessed:17 July 2026).</w:t>
      </w:r>
    </w:p>
    <w:p w14:paraId="529F3008" w14:textId="77777777" w:rsidR="00A22DB1" w:rsidRPr="00CB45F1" w:rsidRDefault="00A22DB1" w:rsidP="008069CE">
      <w:pPr>
        <w:spacing w:after="0" w:line="240" w:lineRule="auto"/>
        <w:rPr>
          <w:rFonts w:ascii="Arial" w:eastAsia="Times New Roman" w:hAnsi="Arial" w:cs="Arial"/>
          <w:kern w:val="0"/>
          <w:sz w:val="22"/>
          <w:szCs w:val="22"/>
          <w:lang w:eastAsia="en-GB"/>
          <w14:ligatures w14:val="none"/>
        </w:rPr>
      </w:pPr>
    </w:p>
    <w:p w14:paraId="0E9F4A8B" w14:textId="77777777" w:rsidR="000E5534" w:rsidRPr="00CB45F1" w:rsidRDefault="000E5534" w:rsidP="0050439B">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Parasuraman, S.R. and de la Cruz, D. (2019) ‘Evaluation of the Implementation of the Healthy Start Program: Findings from the 2016 National Healthy Start Program Survey,’ </w:t>
      </w:r>
      <w:r w:rsidRPr="00CB45F1">
        <w:rPr>
          <w:rFonts w:ascii="Arial" w:eastAsia="Times New Roman" w:hAnsi="Arial" w:cs="Arial"/>
          <w:i/>
          <w:iCs/>
          <w:kern w:val="0"/>
          <w:sz w:val="22"/>
          <w:szCs w:val="22"/>
          <w:lang w:eastAsia="en-GB"/>
          <w14:ligatures w14:val="none"/>
        </w:rPr>
        <w:t>Maternal and child health journal</w:t>
      </w:r>
      <w:r w:rsidRPr="00CB45F1">
        <w:rPr>
          <w:rFonts w:ascii="Arial" w:eastAsia="Times New Roman" w:hAnsi="Arial" w:cs="Arial"/>
          <w:kern w:val="0"/>
          <w:sz w:val="22"/>
          <w:szCs w:val="22"/>
          <w:lang w:eastAsia="en-GB"/>
          <w14:ligatures w14:val="none"/>
        </w:rPr>
        <w:t xml:space="preserve">, 23(2), pp. 220–227. Available at: </w:t>
      </w:r>
      <w:hyperlink r:id="rId26" w:history="1">
        <w:r w:rsidRPr="00CB45F1">
          <w:rPr>
            <w:rStyle w:val="Hyperlink"/>
            <w:rFonts w:ascii="Arial" w:eastAsia="Times New Roman" w:hAnsi="Arial" w:cs="Arial"/>
            <w:kern w:val="0"/>
            <w:sz w:val="22"/>
            <w:szCs w:val="22"/>
            <w:lang w:eastAsia="en-GB"/>
            <w14:ligatures w14:val="none"/>
          </w:rPr>
          <w:t>https://doi.org/10.1007/s10995-018-2640-9</w:t>
        </w:r>
      </w:hyperlink>
      <w:r w:rsidRPr="00CB45F1">
        <w:rPr>
          <w:rFonts w:ascii="Arial" w:eastAsia="Times New Roman" w:hAnsi="Arial" w:cs="Arial"/>
          <w:kern w:val="0"/>
          <w:sz w:val="22"/>
          <w:szCs w:val="22"/>
          <w:lang w:eastAsia="en-GB"/>
          <w14:ligatures w14:val="none"/>
        </w:rPr>
        <w:t xml:space="preserve"> ( Accessed: 21 July 2026).</w:t>
      </w:r>
    </w:p>
    <w:p w14:paraId="3961A99B" w14:textId="77777777" w:rsidR="00A22DB1" w:rsidRPr="00CB45F1" w:rsidRDefault="00A22DB1" w:rsidP="0050439B">
      <w:pPr>
        <w:spacing w:after="0" w:line="240" w:lineRule="auto"/>
        <w:rPr>
          <w:rFonts w:ascii="Arial" w:eastAsia="Times New Roman" w:hAnsi="Arial" w:cs="Arial"/>
          <w:kern w:val="0"/>
          <w:sz w:val="22"/>
          <w:szCs w:val="22"/>
          <w:lang w:eastAsia="en-GB"/>
          <w14:ligatures w14:val="none"/>
        </w:rPr>
      </w:pPr>
    </w:p>
    <w:p w14:paraId="0FFB5F1C" w14:textId="77777777" w:rsidR="000E5534" w:rsidRPr="00CB45F1" w:rsidRDefault="000E5534" w:rsidP="0068045E">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Robbins, T. (2021) ‘Lessons from the Basque Country; Contrasting Basque Integrated Care Health Policy with the New NHS Long Term Plan,’ </w:t>
      </w:r>
      <w:r w:rsidRPr="00CB45F1">
        <w:rPr>
          <w:rFonts w:ascii="Arial" w:eastAsia="Times New Roman" w:hAnsi="Arial" w:cs="Arial"/>
          <w:i/>
          <w:iCs/>
          <w:kern w:val="0"/>
          <w:sz w:val="22"/>
          <w:szCs w:val="22"/>
          <w:lang w:eastAsia="en-GB"/>
          <w14:ligatures w14:val="none"/>
        </w:rPr>
        <w:t>International journal of integrated care</w:t>
      </w:r>
      <w:r w:rsidRPr="00CB45F1">
        <w:rPr>
          <w:rFonts w:ascii="Arial" w:eastAsia="Times New Roman" w:hAnsi="Arial" w:cs="Arial"/>
          <w:kern w:val="0"/>
          <w:sz w:val="22"/>
          <w:szCs w:val="22"/>
          <w:lang w:eastAsia="en-GB"/>
          <w14:ligatures w14:val="none"/>
        </w:rPr>
        <w:t xml:space="preserve">, 21(S1), p. 118. Available at: </w:t>
      </w:r>
      <w:hyperlink r:id="rId27" w:history="1">
        <w:r w:rsidRPr="00CB45F1">
          <w:rPr>
            <w:rStyle w:val="Hyperlink"/>
            <w:rFonts w:ascii="Arial" w:eastAsia="Times New Roman" w:hAnsi="Arial" w:cs="Arial"/>
            <w:kern w:val="0"/>
            <w:sz w:val="22"/>
            <w:szCs w:val="22"/>
            <w:lang w:eastAsia="en-GB"/>
            <w14:ligatures w14:val="none"/>
          </w:rPr>
          <w:t>https://doi.org/10.5334/ijic.ICIC20229</w:t>
        </w:r>
      </w:hyperlink>
      <w:r w:rsidRPr="00CB45F1">
        <w:rPr>
          <w:rFonts w:ascii="Arial" w:eastAsia="Times New Roman" w:hAnsi="Arial" w:cs="Arial"/>
          <w:kern w:val="0"/>
          <w:sz w:val="22"/>
          <w:szCs w:val="22"/>
          <w:lang w:eastAsia="en-GB"/>
          <w14:ligatures w14:val="none"/>
        </w:rPr>
        <w:t xml:space="preserve"> ( Accessed: 15 July 2026).</w:t>
      </w:r>
    </w:p>
    <w:p w14:paraId="0D317FAA" w14:textId="77777777" w:rsidR="00A22DB1" w:rsidRPr="00CB45F1" w:rsidRDefault="00A22DB1" w:rsidP="0068045E">
      <w:pPr>
        <w:spacing w:after="0" w:line="240" w:lineRule="auto"/>
        <w:rPr>
          <w:rFonts w:ascii="Arial" w:eastAsia="Times New Roman" w:hAnsi="Arial" w:cs="Arial"/>
          <w:kern w:val="0"/>
          <w:sz w:val="22"/>
          <w:szCs w:val="22"/>
          <w:lang w:eastAsia="en-GB"/>
          <w14:ligatures w14:val="none"/>
        </w:rPr>
      </w:pPr>
    </w:p>
    <w:p w14:paraId="397C79E2" w14:textId="77777777" w:rsidR="000E5534" w:rsidRPr="00CB45F1" w:rsidRDefault="000E5534" w:rsidP="000419AB">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Sithole-Tetani, N. (2024) ‘The Role of Psychology Towards Sustainable Development Goal 3: Good Health and Wellbeing in South Africa,’ </w:t>
      </w:r>
      <w:r w:rsidRPr="00CB45F1">
        <w:rPr>
          <w:rFonts w:ascii="Arial" w:eastAsia="Times New Roman" w:hAnsi="Arial" w:cs="Arial"/>
          <w:i/>
          <w:iCs/>
          <w:kern w:val="0"/>
          <w:sz w:val="22"/>
          <w:szCs w:val="22"/>
          <w:lang w:eastAsia="en-GB"/>
          <w14:ligatures w14:val="none"/>
        </w:rPr>
        <w:t>E-Journal of Humanities, Art and Social Sciences (Online)</w:t>
      </w:r>
      <w:r w:rsidRPr="00CB45F1">
        <w:rPr>
          <w:rFonts w:ascii="Arial" w:eastAsia="Times New Roman" w:hAnsi="Arial" w:cs="Arial"/>
          <w:kern w:val="0"/>
          <w:sz w:val="22"/>
          <w:szCs w:val="22"/>
          <w:lang w:eastAsia="en-GB"/>
          <w14:ligatures w14:val="none"/>
        </w:rPr>
        <w:t xml:space="preserve">, 5(16), pp. 3421–3435. Available at: </w:t>
      </w:r>
      <w:hyperlink r:id="rId28" w:history="1">
        <w:r w:rsidRPr="00CB45F1">
          <w:rPr>
            <w:rStyle w:val="Hyperlink"/>
            <w:rFonts w:ascii="Arial" w:eastAsia="Times New Roman" w:hAnsi="Arial" w:cs="Arial"/>
            <w:kern w:val="0"/>
            <w:sz w:val="22"/>
            <w:szCs w:val="22"/>
            <w:lang w:eastAsia="en-GB"/>
            <w14:ligatures w14:val="none"/>
          </w:rPr>
          <w:t>https://doi.org/10.38159/ehass.202451659</w:t>
        </w:r>
      </w:hyperlink>
      <w:r w:rsidRPr="00CB45F1">
        <w:rPr>
          <w:rFonts w:ascii="Arial" w:eastAsia="Times New Roman" w:hAnsi="Arial" w:cs="Arial"/>
          <w:kern w:val="0"/>
          <w:sz w:val="22"/>
          <w:szCs w:val="22"/>
          <w:lang w:eastAsia="en-GB"/>
          <w14:ligatures w14:val="none"/>
        </w:rPr>
        <w:t xml:space="preserve"> ( Accessed: 16 July 2026).</w:t>
      </w:r>
    </w:p>
    <w:p w14:paraId="4D5B3BC6" w14:textId="77777777" w:rsidR="00A22DB1" w:rsidRPr="00CB45F1" w:rsidRDefault="00A22DB1" w:rsidP="000419AB">
      <w:pPr>
        <w:spacing w:after="0" w:line="240" w:lineRule="auto"/>
        <w:rPr>
          <w:rFonts w:ascii="Arial" w:eastAsia="Times New Roman" w:hAnsi="Arial" w:cs="Arial"/>
          <w:kern w:val="0"/>
          <w:sz w:val="22"/>
          <w:szCs w:val="22"/>
          <w:lang w:eastAsia="en-GB"/>
          <w14:ligatures w14:val="none"/>
        </w:rPr>
      </w:pPr>
    </w:p>
    <w:p w14:paraId="775C9C3B" w14:textId="77777777" w:rsidR="000E5534" w:rsidRPr="00CB45F1" w:rsidRDefault="000E5534" w:rsidP="00515E49">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Sporchia, F. et al. (2024) ‘Zero hunger: future challenges and the way forward towards the achievement of sustainable development goal 2,’ </w:t>
      </w:r>
      <w:r w:rsidRPr="00CB45F1">
        <w:rPr>
          <w:rFonts w:ascii="Arial" w:eastAsia="Times New Roman" w:hAnsi="Arial" w:cs="Arial"/>
          <w:i/>
          <w:iCs/>
          <w:kern w:val="0"/>
          <w:sz w:val="22"/>
          <w:szCs w:val="22"/>
          <w:lang w:eastAsia="en-GB"/>
          <w14:ligatures w14:val="none"/>
        </w:rPr>
        <w:t>Sustainable earth</w:t>
      </w:r>
      <w:r w:rsidRPr="00CB45F1">
        <w:rPr>
          <w:rFonts w:ascii="Arial" w:eastAsia="Times New Roman" w:hAnsi="Arial" w:cs="Arial"/>
          <w:kern w:val="0"/>
          <w:sz w:val="22"/>
          <w:szCs w:val="22"/>
          <w:lang w:eastAsia="en-GB"/>
          <w14:ligatures w14:val="none"/>
        </w:rPr>
        <w:t xml:space="preserve">, 7(1). Available at: </w:t>
      </w:r>
      <w:hyperlink r:id="rId29" w:history="1">
        <w:r w:rsidRPr="00CB45F1">
          <w:rPr>
            <w:rStyle w:val="Hyperlink"/>
            <w:rFonts w:ascii="Arial" w:eastAsia="Times New Roman" w:hAnsi="Arial" w:cs="Arial"/>
            <w:kern w:val="0"/>
            <w:sz w:val="22"/>
            <w:szCs w:val="22"/>
            <w:lang w:eastAsia="en-GB"/>
            <w14:ligatures w14:val="none"/>
          </w:rPr>
          <w:t>https://doi.org/10.1186/s42055-024-00078-7</w:t>
        </w:r>
      </w:hyperlink>
      <w:r w:rsidRPr="00CB45F1">
        <w:rPr>
          <w:rFonts w:ascii="Arial" w:eastAsia="Times New Roman" w:hAnsi="Arial" w:cs="Arial"/>
          <w:kern w:val="0"/>
          <w:sz w:val="22"/>
          <w:szCs w:val="22"/>
          <w:lang w:eastAsia="en-GB"/>
          <w14:ligatures w14:val="none"/>
        </w:rPr>
        <w:t xml:space="preserve"> ( Accessed: 16 July).</w:t>
      </w:r>
    </w:p>
    <w:p w14:paraId="677F24BC" w14:textId="77777777" w:rsidR="00A22DB1" w:rsidRPr="00CB45F1" w:rsidRDefault="00A22DB1" w:rsidP="00515E49">
      <w:pPr>
        <w:spacing w:after="0" w:line="240" w:lineRule="auto"/>
        <w:rPr>
          <w:rFonts w:ascii="Arial" w:eastAsia="Times New Roman" w:hAnsi="Arial" w:cs="Arial"/>
          <w:kern w:val="0"/>
          <w:sz w:val="22"/>
          <w:szCs w:val="22"/>
          <w:lang w:eastAsia="en-GB"/>
          <w14:ligatures w14:val="none"/>
        </w:rPr>
      </w:pPr>
    </w:p>
    <w:p w14:paraId="36E26810" w14:textId="77777777" w:rsidR="000E5534" w:rsidRPr="00CB45F1" w:rsidRDefault="000E5534" w:rsidP="00D97A99">
      <w:pPr>
        <w:spacing w:after="0" w:line="240" w:lineRule="auto"/>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Stanke, C. </w:t>
      </w:r>
      <w:r w:rsidRPr="00CB45F1">
        <w:rPr>
          <w:rFonts w:ascii="Arial" w:eastAsia="Times New Roman" w:hAnsi="Arial" w:cs="Arial"/>
          <w:i/>
          <w:iCs/>
          <w:kern w:val="0"/>
          <w:sz w:val="22"/>
          <w:szCs w:val="22"/>
          <w:lang w:eastAsia="en-GB"/>
          <w14:ligatures w14:val="none"/>
        </w:rPr>
        <w:t>et al.</w:t>
      </w:r>
      <w:r w:rsidRPr="00CB45F1">
        <w:rPr>
          <w:rFonts w:ascii="Arial" w:eastAsia="Times New Roman" w:hAnsi="Arial" w:cs="Arial"/>
          <w:kern w:val="0"/>
          <w:sz w:val="22"/>
          <w:szCs w:val="22"/>
          <w:lang w:eastAsia="en-GB"/>
          <w14:ligatures w14:val="none"/>
        </w:rPr>
        <w:t xml:space="preserve"> (2024) ‘Lambeth early action partnership (LEAP): oral health promotion in the earliest years,’ </w:t>
      </w:r>
      <w:r w:rsidRPr="00CB45F1">
        <w:rPr>
          <w:rFonts w:ascii="Arial" w:eastAsia="Times New Roman" w:hAnsi="Arial" w:cs="Arial"/>
          <w:i/>
          <w:iCs/>
          <w:kern w:val="0"/>
          <w:sz w:val="22"/>
          <w:szCs w:val="22"/>
          <w:lang w:eastAsia="en-GB"/>
          <w14:ligatures w14:val="none"/>
        </w:rPr>
        <w:t>Community dental health</w:t>
      </w:r>
      <w:r w:rsidRPr="00CB45F1">
        <w:rPr>
          <w:rFonts w:ascii="Arial" w:eastAsia="Times New Roman" w:hAnsi="Arial" w:cs="Arial"/>
          <w:kern w:val="0"/>
          <w:sz w:val="22"/>
          <w:szCs w:val="22"/>
          <w:lang w:eastAsia="en-GB"/>
          <w14:ligatures w14:val="none"/>
        </w:rPr>
        <w:t xml:space="preserve">, 41(2_suppl), pp. S26–S26. Available at: </w:t>
      </w:r>
      <w:hyperlink r:id="rId30" w:history="1">
        <w:r w:rsidRPr="00CB45F1">
          <w:rPr>
            <w:rStyle w:val="Hyperlink"/>
            <w:rFonts w:ascii="Arial" w:eastAsia="Times New Roman" w:hAnsi="Arial" w:cs="Arial"/>
            <w:kern w:val="0"/>
            <w:sz w:val="22"/>
            <w:szCs w:val="22"/>
            <w:lang w:eastAsia="en-GB"/>
            <w14:ligatures w14:val="none"/>
          </w:rPr>
          <w:t>https://doi.org/10.1177/0265539X202404102S0026</w:t>
        </w:r>
      </w:hyperlink>
      <w:r w:rsidRPr="00CB45F1">
        <w:rPr>
          <w:rFonts w:ascii="Arial" w:eastAsia="Times New Roman" w:hAnsi="Arial" w:cs="Arial"/>
          <w:kern w:val="0"/>
          <w:sz w:val="22"/>
          <w:szCs w:val="22"/>
          <w:lang w:eastAsia="en-GB"/>
          <w14:ligatures w14:val="none"/>
        </w:rPr>
        <w:t xml:space="preserve"> ( Accessed: 19 July 2026).</w:t>
      </w:r>
    </w:p>
    <w:p w14:paraId="09087823" w14:textId="77777777" w:rsidR="009F4C56" w:rsidRPr="00CB45F1" w:rsidRDefault="009F4C56" w:rsidP="00D97A99">
      <w:pPr>
        <w:spacing w:after="0" w:line="240" w:lineRule="auto"/>
        <w:rPr>
          <w:rFonts w:ascii="Arial" w:eastAsia="Times New Roman" w:hAnsi="Arial" w:cs="Arial"/>
          <w:kern w:val="0"/>
          <w:sz w:val="22"/>
          <w:szCs w:val="22"/>
          <w:lang w:eastAsia="en-GB"/>
          <w14:ligatures w14:val="none"/>
        </w:rPr>
      </w:pPr>
    </w:p>
    <w:p w14:paraId="26BF058E" w14:textId="77777777" w:rsidR="000E5534" w:rsidRPr="00CB45F1" w:rsidRDefault="000E5534" w:rsidP="00A44D00">
      <w:pPr>
        <w:spacing w:after="0" w:line="360" w:lineRule="atLeast"/>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The NHS Long Term Plan (2019) Available at: </w:t>
      </w:r>
      <w:hyperlink r:id="rId31" w:history="1">
        <w:r w:rsidRPr="00CB45F1">
          <w:rPr>
            <w:rStyle w:val="Hyperlink"/>
            <w:rFonts w:ascii="Arial" w:eastAsia="Times New Roman" w:hAnsi="Arial" w:cs="Arial"/>
            <w:kern w:val="0"/>
            <w:sz w:val="22"/>
            <w:szCs w:val="22"/>
            <w:lang w:eastAsia="en-GB"/>
            <w14:ligatures w14:val="none"/>
          </w:rPr>
          <w:t>https://extranet.who.int/countryplanningcycles/sites/default/files/public_file_rep/GBR_United-Kingdom_NHS-Long-term-plan_2019.pdf</w:t>
        </w:r>
      </w:hyperlink>
      <w:r w:rsidRPr="00CB45F1">
        <w:rPr>
          <w:rFonts w:ascii="Arial" w:eastAsia="Times New Roman" w:hAnsi="Arial" w:cs="Arial"/>
          <w:kern w:val="0"/>
          <w:sz w:val="22"/>
          <w:szCs w:val="22"/>
          <w:lang w:eastAsia="en-GB"/>
          <w14:ligatures w14:val="none"/>
        </w:rPr>
        <w:t xml:space="preserve"> (Accessed 18 July 2026).</w:t>
      </w:r>
    </w:p>
    <w:p w14:paraId="06830A44" w14:textId="77777777" w:rsidR="009F4C56" w:rsidRPr="00CB45F1" w:rsidRDefault="009F4C56" w:rsidP="00A44D00">
      <w:pPr>
        <w:spacing w:after="0" w:line="360" w:lineRule="atLeast"/>
        <w:rPr>
          <w:rFonts w:ascii="Arial" w:eastAsia="Times New Roman" w:hAnsi="Arial" w:cs="Arial"/>
          <w:kern w:val="0"/>
          <w:sz w:val="22"/>
          <w:szCs w:val="22"/>
          <w:lang w:eastAsia="en-GB"/>
          <w14:ligatures w14:val="none"/>
        </w:rPr>
      </w:pPr>
    </w:p>
    <w:p w14:paraId="0944E6F7" w14:textId="77777777" w:rsidR="000E5534" w:rsidRPr="00CB45F1" w:rsidRDefault="000E5534" w:rsidP="00B56DC8">
      <w:pPr>
        <w:spacing w:after="0" w:line="360" w:lineRule="atLeast"/>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United Nations (2025). </w:t>
      </w:r>
      <w:r w:rsidRPr="00CB45F1">
        <w:rPr>
          <w:rFonts w:ascii="Arial" w:eastAsia="Times New Roman" w:hAnsi="Arial" w:cs="Arial"/>
          <w:i/>
          <w:iCs/>
          <w:kern w:val="0"/>
          <w:sz w:val="22"/>
          <w:szCs w:val="22"/>
          <w:lang w:eastAsia="en-GB"/>
          <w14:ligatures w14:val="none"/>
        </w:rPr>
        <w:t>Goal 2: Zero Hunger</w:t>
      </w:r>
      <w:r w:rsidRPr="00CB45F1">
        <w:rPr>
          <w:rFonts w:ascii="Arial" w:eastAsia="Times New Roman" w:hAnsi="Arial" w:cs="Arial"/>
          <w:kern w:val="0"/>
          <w:sz w:val="22"/>
          <w:szCs w:val="22"/>
          <w:lang w:eastAsia="en-GB"/>
          <w14:ligatures w14:val="none"/>
        </w:rPr>
        <w:t xml:space="preserve">.  United Nations Sustainable Development. Available at: </w:t>
      </w:r>
      <w:hyperlink r:id="rId32" w:history="1">
        <w:r w:rsidRPr="00CB45F1">
          <w:rPr>
            <w:rStyle w:val="Hyperlink"/>
            <w:rFonts w:ascii="Arial" w:eastAsia="Times New Roman" w:hAnsi="Arial" w:cs="Arial"/>
            <w:kern w:val="0"/>
            <w:sz w:val="22"/>
            <w:szCs w:val="22"/>
            <w:lang w:eastAsia="en-GB"/>
            <w14:ligatures w14:val="none"/>
          </w:rPr>
          <w:t>https://www.un.org/sustainabledevelopment/hunger/</w:t>
        </w:r>
      </w:hyperlink>
      <w:r w:rsidRPr="00CB45F1">
        <w:rPr>
          <w:rFonts w:ascii="Arial" w:eastAsia="Times New Roman" w:hAnsi="Arial" w:cs="Arial"/>
          <w:kern w:val="0"/>
          <w:sz w:val="22"/>
          <w:szCs w:val="22"/>
          <w:lang w:eastAsia="en-GB"/>
          <w14:ligatures w14:val="none"/>
        </w:rPr>
        <w:t xml:space="preserve">  (Accessed 17 July 2026).</w:t>
      </w:r>
    </w:p>
    <w:p w14:paraId="26C12412" w14:textId="77777777" w:rsidR="009F4C56" w:rsidRPr="00CB45F1" w:rsidRDefault="009F4C56" w:rsidP="00B56DC8">
      <w:pPr>
        <w:spacing w:after="0" w:line="360" w:lineRule="atLeast"/>
        <w:rPr>
          <w:rFonts w:ascii="Arial" w:eastAsia="Times New Roman" w:hAnsi="Arial" w:cs="Arial"/>
          <w:kern w:val="0"/>
          <w:sz w:val="22"/>
          <w:szCs w:val="22"/>
          <w:lang w:eastAsia="en-GB"/>
          <w14:ligatures w14:val="none"/>
        </w:rPr>
      </w:pPr>
    </w:p>
    <w:p w14:paraId="335D450F" w14:textId="77777777" w:rsidR="000E5534" w:rsidRPr="00CB45F1" w:rsidRDefault="000E5534" w:rsidP="0030215B">
      <w:pPr>
        <w:spacing w:after="0" w:line="240" w:lineRule="auto"/>
        <w:ind w:hanging="720"/>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             United Nations. (2023) </w:t>
      </w:r>
      <w:r w:rsidRPr="00CB45F1">
        <w:rPr>
          <w:rFonts w:ascii="Arial" w:eastAsia="Times New Roman" w:hAnsi="Arial" w:cs="Arial"/>
          <w:i/>
          <w:iCs/>
          <w:kern w:val="0"/>
          <w:sz w:val="22"/>
          <w:szCs w:val="22"/>
          <w:lang w:eastAsia="en-GB"/>
          <w14:ligatures w14:val="none"/>
        </w:rPr>
        <w:t>Goal 3: Ensure healthy lives and promote well-being for all at all ages</w:t>
      </w:r>
      <w:r w:rsidRPr="00CB45F1">
        <w:rPr>
          <w:rFonts w:ascii="Arial" w:eastAsia="Times New Roman" w:hAnsi="Arial" w:cs="Arial"/>
          <w:kern w:val="0"/>
          <w:sz w:val="22"/>
          <w:szCs w:val="22"/>
          <w:lang w:eastAsia="en-GB"/>
          <w14:ligatures w14:val="none"/>
        </w:rPr>
        <w:t xml:space="preserve">    United Nations Sustainable Development Goals. Available at : </w:t>
      </w:r>
      <w:hyperlink r:id="rId33" w:history="1">
        <w:r w:rsidRPr="00CB45F1">
          <w:rPr>
            <w:rStyle w:val="Hyperlink"/>
            <w:rFonts w:ascii="Arial" w:eastAsia="Times New Roman" w:hAnsi="Arial" w:cs="Arial"/>
            <w:kern w:val="0"/>
            <w:sz w:val="22"/>
            <w:szCs w:val="22"/>
            <w:lang w:eastAsia="en-GB"/>
            <w14:ligatures w14:val="none"/>
          </w:rPr>
          <w:t>https://www.un.org/sustainabledevelopment/health/</w:t>
        </w:r>
      </w:hyperlink>
      <w:r w:rsidRPr="00CB45F1">
        <w:rPr>
          <w:rFonts w:ascii="Arial" w:eastAsia="Times New Roman" w:hAnsi="Arial" w:cs="Arial"/>
          <w:kern w:val="0"/>
          <w:sz w:val="22"/>
          <w:szCs w:val="22"/>
          <w:lang w:eastAsia="en-GB"/>
          <w14:ligatures w14:val="none"/>
        </w:rPr>
        <w:t>( Accessed: 15 July 2026).</w:t>
      </w:r>
    </w:p>
    <w:p w14:paraId="1BC8E8B2" w14:textId="77777777" w:rsidR="009F4C56" w:rsidRPr="00CB45F1" w:rsidRDefault="009F4C56" w:rsidP="0030215B">
      <w:pPr>
        <w:spacing w:after="0" w:line="240" w:lineRule="auto"/>
        <w:ind w:hanging="720"/>
        <w:rPr>
          <w:rFonts w:ascii="Arial" w:eastAsia="Times New Roman" w:hAnsi="Arial" w:cs="Arial"/>
          <w:kern w:val="0"/>
          <w:sz w:val="22"/>
          <w:szCs w:val="22"/>
          <w:lang w:eastAsia="en-GB"/>
          <w14:ligatures w14:val="none"/>
        </w:rPr>
      </w:pPr>
    </w:p>
    <w:p w14:paraId="1C2F1430" w14:textId="0593A8BE" w:rsidR="000E5534" w:rsidRPr="00CB45F1" w:rsidRDefault="000E5534" w:rsidP="00FE2DEA">
      <w:pPr>
        <w:tabs>
          <w:tab w:val="left" w:pos="1786"/>
        </w:tabs>
        <w:rPr>
          <w:rFonts w:ascii="Arial" w:hAnsi="Arial" w:cs="Arial"/>
          <w:b/>
          <w:bCs/>
          <w:sz w:val="22"/>
          <w:szCs w:val="22"/>
        </w:rPr>
      </w:pPr>
      <w:r w:rsidRPr="00CB45F1">
        <w:rPr>
          <w:rFonts w:ascii="Arial" w:eastAsia="Times New Roman" w:hAnsi="Arial" w:cs="Arial"/>
          <w:kern w:val="0"/>
          <w:sz w:val="22"/>
          <w:szCs w:val="22"/>
          <w:lang w:eastAsia="en-GB"/>
          <w14:ligatures w14:val="none"/>
        </w:rPr>
        <w:t xml:space="preserve">Venkatesh, G. (2022) ‘A Brief Analysis of SDG 3 – Good Health and Well-being – and its Synergies and Trade-offs with the other Sustainable Development Goals,’ </w:t>
      </w:r>
      <w:r w:rsidRPr="00CB45F1">
        <w:rPr>
          <w:rFonts w:ascii="Arial" w:eastAsia="Times New Roman" w:hAnsi="Arial" w:cs="Arial"/>
          <w:i/>
          <w:iCs/>
          <w:kern w:val="0"/>
          <w:sz w:val="22"/>
          <w:szCs w:val="22"/>
          <w:lang w:eastAsia="en-GB"/>
          <w14:ligatures w14:val="none"/>
        </w:rPr>
        <w:t>Problemy Ekorozwoju</w:t>
      </w:r>
      <w:r w:rsidRPr="00CB45F1">
        <w:rPr>
          <w:rFonts w:ascii="Arial" w:eastAsia="Times New Roman" w:hAnsi="Arial" w:cs="Arial"/>
          <w:kern w:val="0"/>
          <w:sz w:val="22"/>
          <w:szCs w:val="22"/>
          <w:lang w:eastAsia="en-GB"/>
          <w14:ligatures w14:val="none"/>
        </w:rPr>
        <w:t xml:space="preserve">, 17(2), pp. 140–147. Available at: </w:t>
      </w:r>
      <w:hyperlink r:id="rId34" w:history="1">
        <w:r w:rsidRPr="00CB45F1">
          <w:rPr>
            <w:rStyle w:val="Hyperlink"/>
            <w:rFonts w:ascii="Arial" w:eastAsia="Times New Roman" w:hAnsi="Arial" w:cs="Arial"/>
            <w:kern w:val="0"/>
            <w:sz w:val="22"/>
            <w:szCs w:val="22"/>
            <w:lang w:eastAsia="en-GB"/>
            <w14:ligatures w14:val="none"/>
          </w:rPr>
          <w:t>https://doi.org/10.35784/pe.2022.2.15</w:t>
        </w:r>
      </w:hyperlink>
      <w:r w:rsidRPr="00CB45F1">
        <w:rPr>
          <w:rFonts w:ascii="Arial" w:eastAsia="Times New Roman" w:hAnsi="Arial" w:cs="Arial"/>
          <w:kern w:val="0"/>
          <w:sz w:val="22"/>
          <w:szCs w:val="22"/>
          <w:lang w:eastAsia="en-GB"/>
          <w14:ligatures w14:val="none"/>
        </w:rPr>
        <w:t xml:space="preserve"> (Accessed: 15 July 2026).</w:t>
      </w:r>
    </w:p>
    <w:p w14:paraId="552630B4" w14:textId="77777777" w:rsidR="000E5534" w:rsidRPr="00CB45F1" w:rsidRDefault="000E5534" w:rsidP="00CA7676">
      <w:pPr>
        <w:spacing w:after="0" w:line="360" w:lineRule="atLeast"/>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lastRenderedPageBreak/>
        <w:t xml:space="preserve">World Health Organization (2025) </w:t>
      </w:r>
      <w:r w:rsidRPr="00CB45F1">
        <w:rPr>
          <w:rFonts w:ascii="Arial" w:eastAsia="Times New Roman" w:hAnsi="Arial" w:cs="Arial"/>
          <w:i/>
          <w:iCs/>
          <w:kern w:val="0"/>
          <w:sz w:val="22"/>
          <w:szCs w:val="22"/>
          <w:lang w:eastAsia="en-GB"/>
          <w14:ligatures w14:val="none"/>
        </w:rPr>
        <w:t>Noncommunicable diseases</w:t>
      </w:r>
      <w:r w:rsidRPr="00CB45F1">
        <w:rPr>
          <w:rFonts w:ascii="Arial" w:eastAsia="Times New Roman" w:hAnsi="Arial" w:cs="Arial"/>
          <w:kern w:val="0"/>
          <w:sz w:val="22"/>
          <w:szCs w:val="22"/>
          <w:lang w:eastAsia="en-GB"/>
          <w14:ligatures w14:val="none"/>
        </w:rPr>
        <w:t xml:space="preserve">. Available at: </w:t>
      </w:r>
      <w:hyperlink r:id="rId35" w:anchor="tab=tab_1" w:history="1">
        <w:r w:rsidRPr="00CB45F1">
          <w:rPr>
            <w:rStyle w:val="Hyperlink"/>
            <w:rFonts w:ascii="Arial" w:eastAsia="Times New Roman" w:hAnsi="Arial" w:cs="Arial"/>
            <w:kern w:val="0"/>
            <w:sz w:val="22"/>
            <w:szCs w:val="22"/>
            <w:lang w:eastAsia="en-GB"/>
            <w14:ligatures w14:val="none"/>
          </w:rPr>
          <w:t>https://www.who.int/health-topics/noncommunicable-diseases#tab=tab_1</w:t>
        </w:r>
      </w:hyperlink>
      <w:r w:rsidRPr="00CB45F1">
        <w:rPr>
          <w:rFonts w:ascii="Arial" w:eastAsia="Times New Roman" w:hAnsi="Arial" w:cs="Arial"/>
          <w:kern w:val="0"/>
          <w:sz w:val="22"/>
          <w:szCs w:val="22"/>
          <w:lang w:eastAsia="en-GB"/>
          <w14:ligatures w14:val="none"/>
        </w:rPr>
        <w:t xml:space="preserve"> (Accessed: 17 July 2026).</w:t>
      </w:r>
    </w:p>
    <w:p w14:paraId="2D7A25ED" w14:textId="77777777" w:rsidR="009F4C56" w:rsidRPr="00CB45F1" w:rsidRDefault="009F4C56" w:rsidP="00CA7676">
      <w:pPr>
        <w:spacing w:after="0" w:line="360" w:lineRule="atLeast"/>
        <w:rPr>
          <w:rFonts w:ascii="Arial" w:eastAsia="Times New Roman" w:hAnsi="Arial" w:cs="Arial"/>
          <w:kern w:val="0"/>
          <w:sz w:val="22"/>
          <w:szCs w:val="22"/>
          <w:lang w:eastAsia="en-GB"/>
          <w14:ligatures w14:val="none"/>
        </w:rPr>
      </w:pPr>
    </w:p>
    <w:p w14:paraId="35275D3B" w14:textId="77777777" w:rsidR="000E5534" w:rsidRPr="00CB45F1" w:rsidRDefault="000E5534" w:rsidP="004005E6">
      <w:pPr>
        <w:spacing w:line="276" w:lineRule="auto"/>
        <w:ind w:hanging="720"/>
        <w:rPr>
          <w:rFonts w:ascii="Arial" w:eastAsia="Times New Roman" w:hAnsi="Arial" w:cs="Arial"/>
          <w:kern w:val="0"/>
          <w:sz w:val="22"/>
          <w:szCs w:val="22"/>
          <w:lang w:eastAsia="en-GB"/>
          <w14:ligatures w14:val="none"/>
        </w:rPr>
      </w:pPr>
      <w:r w:rsidRPr="00CB45F1">
        <w:rPr>
          <w:rFonts w:ascii="Arial" w:eastAsia="Times New Roman" w:hAnsi="Arial" w:cs="Arial"/>
          <w:kern w:val="0"/>
          <w:sz w:val="22"/>
          <w:szCs w:val="22"/>
          <w:lang w:eastAsia="en-GB"/>
          <w14:ligatures w14:val="none"/>
        </w:rPr>
        <w:t xml:space="preserve">            World Health Organization (2025) </w:t>
      </w:r>
      <w:r w:rsidRPr="00CB45F1">
        <w:rPr>
          <w:rFonts w:ascii="Arial" w:eastAsia="Times New Roman" w:hAnsi="Arial" w:cs="Arial"/>
          <w:i/>
          <w:iCs/>
          <w:kern w:val="0"/>
          <w:sz w:val="22"/>
          <w:szCs w:val="22"/>
          <w:lang w:eastAsia="en-GB"/>
          <w14:ligatures w14:val="none"/>
        </w:rPr>
        <w:t>Universal Health Coverage</w:t>
      </w:r>
      <w:r w:rsidRPr="00CB45F1">
        <w:rPr>
          <w:rFonts w:ascii="Arial" w:eastAsia="Times New Roman" w:hAnsi="Arial" w:cs="Arial"/>
          <w:kern w:val="0"/>
          <w:sz w:val="22"/>
          <w:szCs w:val="22"/>
          <w:lang w:eastAsia="en-GB"/>
          <w14:ligatures w14:val="none"/>
        </w:rPr>
        <w:t xml:space="preserve">.  Available at : </w:t>
      </w:r>
      <w:hyperlink r:id="rId36" w:anchor="tab=tab_1" w:history="1">
        <w:r w:rsidRPr="00CB45F1">
          <w:rPr>
            <w:rStyle w:val="Hyperlink"/>
            <w:rFonts w:ascii="Arial" w:eastAsia="Times New Roman" w:hAnsi="Arial" w:cs="Arial"/>
            <w:kern w:val="0"/>
            <w:sz w:val="22"/>
            <w:szCs w:val="22"/>
            <w:lang w:eastAsia="en-GB"/>
            <w14:ligatures w14:val="none"/>
          </w:rPr>
          <w:t>https://www.who.int/health-topics/universal-health-coverage#tab=tab_1</w:t>
        </w:r>
      </w:hyperlink>
      <w:r w:rsidRPr="00CB45F1">
        <w:rPr>
          <w:rFonts w:ascii="Arial" w:eastAsia="Times New Roman" w:hAnsi="Arial" w:cs="Arial"/>
          <w:kern w:val="0"/>
          <w:sz w:val="22"/>
          <w:szCs w:val="22"/>
          <w:lang w:eastAsia="en-GB"/>
          <w14:ligatures w14:val="none"/>
        </w:rPr>
        <w:t xml:space="preserve"> ( Accessed : 17 July 2026). </w:t>
      </w:r>
    </w:p>
    <w:sectPr w:rsidR="000E5534" w:rsidRPr="00CB45F1">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E264C0" w14:textId="77777777" w:rsidR="004A4A24" w:rsidRDefault="004A4A24" w:rsidP="00140549">
      <w:pPr>
        <w:spacing w:after="0" w:line="240" w:lineRule="auto"/>
      </w:pPr>
      <w:r>
        <w:separator/>
      </w:r>
    </w:p>
  </w:endnote>
  <w:endnote w:type="continuationSeparator" w:id="0">
    <w:p w14:paraId="491AFFF0" w14:textId="77777777" w:rsidR="004A4A24" w:rsidRDefault="004A4A24" w:rsidP="00140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5033129"/>
      <w:docPartObj>
        <w:docPartGallery w:val="Page Numbers (Bottom of Page)"/>
        <w:docPartUnique/>
      </w:docPartObj>
    </w:sdtPr>
    <w:sdtEndPr>
      <w:rPr>
        <w:noProof/>
      </w:rPr>
    </w:sdtEndPr>
    <w:sdtContent>
      <w:p w14:paraId="49CF6BC1" w14:textId="01CCB7CA" w:rsidR="00B940D6" w:rsidRDefault="00B940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FE5AD9" w14:textId="77777777" w:rsidR="00B940D6" w:rsidRDefault="00B94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2C7AD8" w14:textId="77777777" w:rsidR="004A4A24" w:rsidRDefault="004A4A24" w:rsidP="00140549">
      <w:pPr>
        <w:spacing w:after="0" w:line="240" w:lineRule="auto"/>
      </w:pPr>
      <w:r>
        <w:separator/>
      </w:r>
    </w:p>
  </w:footnote>
  <w:footnote w:type="continuationSeparator" w:id="0">
    <w:p w14:paraId="72EB205B" w14:textId="77777777" w:rsidR="004A4A24" w:rsidRDefault="004A4A24" w:rsidP="001405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B5725"/>
    <w:multiLevelType w:val="hybridMultilevel"/>
    <w:tmpl w:val="D436C178"/>
    <w:lvl w:ilvl="0" w:tplc="CCB01B04">
      <w:start w:val="4"/>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C031F5"/>
    <w:multiLevelType w:val="hybridMultilevel"/>
    <w:tmpl w:val="67BAA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914349"/>
    <w:multiLevelType w:val="hybridMultilevel"/>
    <w:tmpl w:val="2BA6E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F469B9"/>
    <w:multiLevelType w:val="hybridMultilevel"/>
    <w:tmpl w:val="3BDE40D2"/>
    <w:lvl w:ilvl="0" w:tplc="93C09582">
      <w:start w:val="5"/>
      <w:numFmt w:val="decimal"/>
      <w:lvlText w:val="%1."/>
      <w:lvlJc w:val="left"/>
      <w:pPr>
        <w:ind w:left="720" w:hanging="360"/>
      </w:pPr>
      <w:rPr>
        <w:rFonts w:ascii="Arial" w:hAnsi="Arial" w:cs="Arial"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45229E"/>
    <w:multiLevelType w:val="hybridMultilevel"/>
    <w:tmpl w:val="63BC9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B93E74"/>
    <w:multiLevelType w:val="multilevel"/>
    <w:tmpl w:val="77626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193EE7"/>
    <w:multiLevelType w:val="multilevel"/>
    <w:tmpl w:val="73F6290E"/>
    <w:lvl w:ilvl="0">
      <w:start w:val="1"/>
      <w:numFmt w:val="decimal"/>
      <w:lvlText w:val="%1."/>
      <w:lvlJc w:val="left"/>
      <w:pPr>
        <w:ind w:left="360" w:hanging="360"/>
      </w:pPr>
      <w:rPr>
        <w:b/>
        <w:bCs/>
      </w:rPr>
    </w:lvl>
    <w:lvl w:ilvl="1">
      <w:start w:val="1"/>
      <w:numFmt w:val="decimal"/>
      <w:isLgl/>
      <w:lvlText w:val="%1.%2"/>
      <w:lvlJc w:val="left"/>
      <w:pPr>
        <w:ind w:left="938" w:hanging="720"/>
      </w:pPr>
      <w:rPr>
        <w:rFonts w:hint="default"/>
      </w:rPr>
    </w:lvl>
    <w:lvl w:ilvl="2">
      <w:start w:val="1"/>
      <w:numFmt w:val="decimal"/>
      <w:isLgl/>
      <w:lvlText w:val="%1.%2.%3"/>
      <w:lvlJc w:val="left"/>
      <w:pPr>
        <w:ind w:left="938" w:hanging="720"/>
      </w:pPr>
      <w:rPr>
        <w:rFonts w:hint="default"/>
      </w:rPr>
    </w:lvl>
    <w:lvl w:ilvl="3">
      <w:start w:val="1"/>
      <w:numFmt w:val="decimal"/>
      <w:isLgl/>
      <w:lvlText w:val="%1.%2.%3.%4"/>
      <w:lvlJc w:val="left"/>
      <w:pPr>
        <w:ind w:left="1298" w:hanging="1080"/>
      </w:pPr>
      <w:rPr>
        <w:rFonts w:hint="default"/>
      </w:rPr>
    </w:lvl>
    <w:lvl w:ilvl="4">
      <w:start w:val="1"/>
      <w:numFmt w:val="decimal"/>
      <w:isLgl/>
      <w:lvlText w:val="%1.%2.%3.%4.%5"/>
      <w:lvlJc w:val="left"/>
      <w:pPr>
        <w:ind w:left="1658" w:hanging="1440"/>
      </w:pPr>
      <w:rPr>
        <w:rFonts w:hint="default"/>
      </w:rPr>
    </w:lvl>
    <w:lvl w:ilvl="5">
      <w:start w:val="1"/>
      <w:numFmt w:val="decimal"/>
      <w:isLgl/>
      <w:lvlText w:val="%1.%2.%3.%4.%5.%6"/>
      <w:lvlJc w:val="left"/>
      <w:pPr>
        <w:ind w:left="1658" w:hanging="1440"/>
      </w:pPr>
      <w:rPr>
        <w:rFonts w:hint="default"/>
      </w:rPr>
    </w:lvl>
    <w:lvl w:ilvl="6">
      <w:start w:val="1"/>
      <w:numFmt w:val="decimal"/>
      <w:isLgl/>
      <w:lvlText w:val="%1.%2.%3.%4.%5.%6.%7"/>
      <w:lvlJc w:val="left"/>
      <w:pPr>
        <w:ind w:left="2018" w:hanging="1800"/>
      </w:pPr>
      <w:rPr>
        <w:rFonts w:hint="default"/>
      </w:rPr>
    </w:lvl>
    <w:lvl w:ilvl="7">
      <w:start w:val="1"/>
      <w:numFmt w:val="decimal"/>
      <w:isLgl/>
      <w:lvlText w:val="%1.%2.%3.%4.%5.%6.%7.%8"/>
      <w:lvlJc w:val="left"/>
      <w:pPr>
        <w:ind w:left="2018" w:hanging="1800"/>
      </w:pPr>
      <w:rPr>
        <w:rFonts w:hint="default"/>
      </w:rPr>
    </w:lvl>
    <w:lvl w:ilvl="8">
      <w:start w:val="1"/>
      <w:numFmt w:val="decimal"/>
      <w:isLgl/>
      <w:lvlText w:val="%1.%2.%3.%4.%5.%6.%7.%8.%9"/>
      <w:lvlJc w:val="left"/>
      <w:pPr>
        <w:ind w:left="2378" w:hanging="2160"/>
      </w:pPr>
      <w:rPr>
        <w:rFonts w:hint="default"/>
      </w:rPr>
    </w:lvl>
  </w:abstractNum>
  <w:abstractNum w:abstractNumId="7" w15:restartNumberingAfterBreak="0">
    <w:nsid w:val="7C215632"/>
    <w:multiLevelType w:val="hybridMultilevel"/>
    <w:tmpl w:val="3094E4FA"/>
    <w:lvl w:ilvl="0" w:tplc="E676C416">
      <w:start w:val="6"/>
      <w:numFmt w:val="decimal"/>
      <w:lvlText w:val="%1."/>
      <w:lvlJc w:val="left"/>
      <w:pPr>
        <w:ind w:left="720" w:hanging="360"/>
      </w:pPr>
      <w:rPr>
        <w:rFonts w:ascii="Arial" w:hAnsi="Arial" w:cs="Arial"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3662660">
    <w:abstractNumId w:val="6"/>
  </w:num>
  <w:num w:numId="2" w16cid:durableId="2057313192">
    <w:abstractNumId w:val="2"/>
  </w:num>
  <w:num w:numId="3" w16cid:durableId="1632007792">
    <w:abstractNumId w:val="0"/>
  </w:num>
  <w:num w:numId="4" w16cid:durableId="1930194073">
    <w:abstractNumId w:val="5"/>
  </w:num>
  <w:num w:numId="5" w16cid:durableId="1634481103">
    <w:abstractNumId w:val="3"/>
  </w:num>
  <w:num w:numId="6" w16cid:durableId="660542154">
    <w:abstractNumId w:val="7"/>
  </w:num>
  <w:num w:numId="7" w16cid:durableId="1339231370">
    <w:abstractNumId w:val="4"/>
  </w:num>
  <w:num w:numId="8" w16cid:durableId="18631288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FA9"/>
    <w:rsid w:val="000123E2"/>
    <w:rsid w:val="00024E9A"/>
    <w:rsid w:val="00035192"/>
    <w:rsid w:val="00040160"/>
    <w:rsid w:val="000419AB"/>
    <w:rsid w:val="00051490"/>
    <w:rsid w:val="00051F8B"/>
    <w:rsid w:val="00070198"/>
    <w:rsid w:val="0009161B"/>
    <w:rsid w:val="00091E46"/>
    <w:rsid w:val="00092388"/>
    <w:rsid w:val="000939A3"/>
    <w:rsid w:val="00097B6C"/>
    <w:rsid w:val="000B798B"/>
    <w:rsid w:val="000D2C14"/>
    <w:rsid w:val="000E19B6"/>
    <w:rsid w:val="000E2E44"/>
    <w:rsid w:val="000E5534"/>
    <w:rsid w:val="000E70B4"/>
    <w:rsid w:val="000F04D8"/>
    <w:rsid w:val="000F4738"/>
    <w:rsid w:val="00103CFD"/>
    <w:rsid w:val="0010608F"/>
    <w:rsid w:val="00110EDD"/>
    <w:rsid w:val="001122BD"/>
    <w:rsid w:val="00117BAD"/>
    <w:rsid w:val="00120DA4"/>
    <w:rsid w:val="00125309"/>
    <w:rsid w:val="00130B26"/>
    <w:rsid w:val="00132D95"/>
    <w:rsid w:val="0013719A"/>
    <w:rsid w:val="00137885"/>
    <w:rsid w:val="00140549"/>
    <w:rsid w:val="00163EF0"/>
    <w:rsid w:val="0016427F"/>
    <w:rsid w:val="0017540F"/>
    <w:rsid w:val="00177381"/>
    <w:rsid w:val="00186A41"/>
    <w:rsid w:val="00191A47"/>
    <w:rsid w:val="00191E74"/>
    <w:rsid w:val="001958BE"/>
    <w:rsid w:val="001C3E6E"/>
    <w:rsid w:val="001D2213"/>
    <w:rsid w:val="001E0E79"/>
    <w:rsid w:val="001F38BB"/>
    <w:rsid w:val="001F7E8A"/>
    <w:rsid w:val="00236D0D"/>
    <w:rsid w:val="002541AA"/>
    <w:rsid w:val="0026758D"/>
    <w:rsid w:val="0028218F"/>
    <w:rsid w:val="00292969"/>
    <w:rsid w:val="00295A08"/>
    <w:rsid w:val="0029608E"/>
    <w:rsid w:val="002A69B5"/>
    <w:rsid w:val="002C59CF"/>
    <w:rsid w:val="002C6986"/>
    <w:rsid w:val="002E79E4"/>
    <w:rsid w:val="002F33DE"/>
    <w:rsid w:val="002F4FA7"/>
    <w:rsid w:val="002F736A"/>
    <w:rsid w:val="0030215B"/>
    <w:rsid w:val="00310A39"/>
    <w:rsid w:val="003111EA"/>
    <w:rsid w:val="00312673"/>
    <w:rsid w:val="00315BD9"/>
    <w:rsid w:val="00321506"/>
    <w:rsid w:val="0033595F"/>
    <w:rsid w:val="00337266"/>
    <w:rsid w:val="00350CC1"/>
    <w:rsid w:val="00352EFC"/>
    <w:rsid w:val="003819D4"/>
    <w:rsid w:val="0039231E"/>
    <w:rsid w:val="003A1210"/>
    <w:rsid w:val="003A4A9B"/>
    <w:rsid w:val="003B574D"/>
    <w:rsid w:val="003B76DD"/>
    <w:rsid w:val="003C0551"/>
    <w:rsid w:val="003D446C"/>
    <w:rsid w:val="003D7E12"/>
    <w:rsid w:val="003E56FA"/>
    <w:rsid w:val="003F2066"/>
    <w:rsid w:val="003F426C"/>
    <w:rsid w:val="004005E6"/>
    <w:rsid w:val="0040227A"/>
    <w:rsid w:val="00402899"/>
    <w:rsid w:val="00414073"/>
    <w:rsid w:val="00414D00"/>
    <w:rsid w:val="00414E96"/>
    <w:rsid w:val="00421E1B"/>
    <w:rsid w:val="00424729"/>
    <w:rsid w:val="00431ACD"/>
    <w:rsid w:val="00433186"/>
    <w:rsid w:val="00435F77"/>
    <w:rsid w:val="00437265"/>
    <w:rsid w:val="00440F2B"/>
    <w:rsid w:val="00470853"/>
    <w:rsid w:val="00474D57"/>
    <w:rsid w:val="00475EB6"/>
    <w:rsid w:val="004837E0"/>
    <w:rsid w:val="00497AE4"/>
    <w:rsid w:val="004A2CA0"/>
    <w:rsid w:val="004A454D"/>
    <w:rsid w:val="004A4A24"/>
    <w:rsid w:val="004A6C9E"/>
    <w:rsid w:val="004B754D"/>
    <w:rsid w:val="004B7737"/>
    <w:rsid w:val="004C56F5"/>
    <w:rsid w:val="004D2588"/>
    <w:rsid w:val="004D560D"/>
    <w:rsid w:val="004E6F3D"/>
    <w:rsid w:val="004F2B97"/>
    <w:rsid w:val="004F761A"/>
    <w:rsid w:val="00500B94"/>
    <w:rsid w:val="0050439B"/>
    <w:rsid w:val="00514D4A"/>
    <w:rsid w:val="005158D8"/>
    <w:rsid w:val="00515E49"/>
    <w:rsid w:val="005178B0"/>
    <w:rsid w:val="00517EDB"/>
    <w:rsid w:val="00524DB1"/>
    <w:rsid w:val="0053630F"/>
    <w:rsid w:val="005409AE"/>
    <w:rsid w:val="00557E4F"/>
    <w:rsid w:val="005615FA"/>
    <w:rsid w:val="0056387D"/>
    <w:rsid w:val="0057749E"/>
    <w:rsid w:val="00596A98"/>
    <w:rsid w:val="005A243E"/>
    <w:rsid w:val="005A2A7B"/>
    <w:rsid w:val="005B458A"/>
    <w:rsid w:val="005B7734"/>
    <w:rsid w:val="005C76E4"/>
    <w:rsid w:val="005D175C"/>
    <w:rsid w:val="005D7355"/>
    <w:rsid w:val="005E5E6D"/>
    <w:rsid w:val="005F2464"/>
    <w:rsid w:val="005F711F"/>
    <w:rsid w:val="005F77AA"/>
    <w:rsid w:val="0060443A"/>
    <w:rsid w:val="00605885"/>
    <w:rsid w:val="00617E2B"/>
    <w:rsid w:val="006317CA"/>
    <w:rsid w:val="00664D0A"/>
    <w:rsid w:val="00667643"/>
    <w:rsid w:val="00667FFB"/>
    <w:rsid w:val="0068045E"/>
    <w:rsid w:val="00684C1D"/>
    <w:rsid w:val="00693BDF"/>
    <w:rsid w:val="006964CC"/>
    <w:rsid w:val="006966C0"/>
    <w:rsid w:val="006A58DD"/>
    <w:rsid w:val="006A58F3"/>
    <w:rsid w:val="006B776B"/>
    <w:rsid w:val="006C4FA9"/>
    <w:rsid w:val="00701642"/>
    <w:rsid w:val="007115BA"/>
    <w:rsid w:val="00712369"/>
    <w:rsid w:val="00712ECD"/>
    <w:rsid w:val="007227C1"/>
    <w:rsid w:val="0072498B"/>
    <w:rsid w:val="00743954"/>
    <w:rsid w:val="00761EEF"/>
    <w:rsid w:val="007846EF"/>
    <w:rsid w:val="0079406D"/>
    <w:rsid w:val="00797BFF"/>
    <w:rsid w:val="007A7B2B"/>
    <w:rsid w:val="007B149F"/>
    <w:rsid w:val="007B328F"/>
    <w:rsid w:val="007C5171"/>
    <w:rsid w:val="007D3613"/>
    <w:rsid w:val="007E4C18"/>
    <w:rsid w:val="007E7F1A"/>
    <w:rsid w:val="008069CE"/>
    <w:rsid w:val="00820778"/>
    <w:rsid w:val="008217DB"/>
    <w:rsid w:val="0082324E"/>
    <w:rsid w:val="00824FE1"/>
    <w:rsid w:val="00826186"/>
    <w:rsid w:val="00836270"/>
    <w:rsid w:val="0084006B"/>
    <w:rsid w:val="008424DD"/>
    <w:rsid w:val="00852FBC"/>
    <w:rsid w:val="0086301F"/>
    <w:rsid w:val="00870568"/>
    <w:rsid w:val="00872EEE"/>
    <w:rsid w:val="00875649"/>
    <w:rsid w:val="00882248"/>
    <w:rsid w:val="00893FFF"/>
    <w:rsid w:val="008974D4"/>
    <w:rsid w:val="008A22F8"/>
    <w:rsid w:val="008A2D01"/>
    <w:rsid w:val="008B4A2F"/>
    <w:rsid w:val="008B58A9"/>
    <w:rsid w:val="008C7B31"/>
    <w:rsid w:val="008D2021"/>
    <w:rsid w:val="008E19BC"/>
    <w:rsid w:val="00903B47"/>
    <w:rsid w:val="00905533"/>
    <w:rsid w:val="00911AEE"/>
    <w:rsid w:val="0091682C"/>
    <w:rsid w:val="009179C1"/>
    <w:rsid w:val="009405D1"/>
    <w:rsid w:val="00954E76"/>
    <w:rsid w:val="00955087"/>
    <w:rsid w:val="00960B65"/>
    <w:rsid w:val="00967150"/>
    <w:rsid w:val="009710BD"/>
    <w:rsid w:val="00974315"/>
    <w:rsid w:val="00975AD5"/>
    <w:rsid w:val="009807E1"/>
    <w:rsid w:val="009979DE"/>
    <w:rsid w:val="009B4237"/>
    <w:rsid w:val="009B4F1C"/>
    <w:rsid w:val="009B6DE8"/>
    <w:rsid w:val="009D15FE"/>
    <w:rsid w:val="009F4C56"/>
    <w:rsid w:val="009F4CBE"/>
    <w:rsid w:val="00A02CCC"/>
    <w:rsid w:val="00A0318F"/>
    <w:rsid w:val="00A16234"/>
    <w:rsid w:val="00A22DB1"/>
    <w:rsid w:val="00A2496A"/>
    <w:rsid w:val="00A44459"/>
    <w:rsid w:val="00A44D00"/>
    <w:rsid w:val="00A46105"/>
    <w:rsid w:val="00A575D2"/>
    <w:rsid w:val="00A6506E"/>
    <w:rsid w:val="00A741EE"/>
    <w:rsid w:val="00A747CD"/>
    <w:rsid w:val="00A77C96"/>
    <w:rsid w:val="00A84405"/>
    <w:rsid w:val="00A8748C"/>
    <w:rsid w:val="00A87695"/>
    <w:rsid w:val="00AA4E13"/>
    <w:rsid w:val="00AA76EA"/>
    <w:rsid w:val="00AB6060"/>
    <w:rsid w:val="00AB74B8"/>
    <w:rsid w:val="00AC2A2E"/>
    <w:rsid w:val="00AC514C"/>
    <w:rsid w:val="00AC5EF0"/>
    <w:rsid w:val="00AC60B7"/>
    <w:rsid w:val="00AC6C5B"/>
    <w:rsid w:val="00AD3C11"/>
    <w:rsid w:val="00AD72F5"/>
    <w:rsid w:val="00AE7700"/>
    <w:rsid w:val="00B076E3"/>
    <w:rsid w:val="00B26649"/>
    <w:rsid w:val="00B26D40"/>
    <w:rsid w:val="00B34861"/>
    <w:rsid w:val="00B4278F"/>
    <w:rsid w:val="00B5422E"/>
    <w:rsid w:val="00B56DC8"/>
    <w:rsid w:val="00B60087"/>
    <w:rsid w:val="00B7651A"/>
    <w:rsid w:val="00B862BF"/>
    <w:rsid w:val="00B940D6"/>
    <w:rsid w:val="00B95EE8"/>
    <w:rsid w:val="00BA3441"/>
    <w:rsid w:val="00BA6A40"/>
    <w:rsid w:val="00BB5FA6"/>
    <w:rsid w:val="00BC75C2"/>
    <w:rsid w:val="00BD15B4"/>
    <w:rsid w:val="00C02CE2"/>
    <w:rsid w:val="00C04312"/>
    <w:rsid w:val="00C06386"/>
    <w:rsid w:val="00C1295E"/>
    <w:rsid w:val="00C3164A"/>
    <w:rsid w:val="00C31B82"/>
    <w:rsid w:val="00C35620"/>
    <w:rsid w:val="00C5058E"/>
    <w:rsid w:val="00C52270"/>
    <w:rsid w:val="00C77267"/>
    <w:rsid w:val="00CA1EBF"/>
    <w:rsid w:val="00CA211C"/>
    <w:rsid w:val="00CA7676"/>
    <w:rsid w:val="00CB1BCF"/>
    <w:rsid w:val="00CB45F1"/>
    <w:rsid w:val="00CC2594"/>
    <w:rsid w:val="00CD09FB"/>
    <w:rsid w:val="00CD2C01"/>
    <w:rsid w:val="00CD5741"/>
    <w:rsid w:val="00CE6146"/>
    <w:rsid w:val="00D1194E"/>
    <w:rsid w:val="00D16B45"/>
    <w:rsid w:val="00D213DB"/>
    <w:rsid w:val="00D21C1E"/>
    <w:rsid w:val="00D33E3C"/>
    <w:rsid w:val="00D44ADD"/>
    <w:rsid w:val="00D515C8"/>
    <w:rsid w:val="00D61300"/>
    <w:rsid w:val="00D675FB"/>
    <w:rsid w:val="00D74AE1"/>
    <w:rsid w:val="00D80212"/>
    <w:rsid w:val="00D92C8B"/>
    <w:rsid w:val="00D97A99"/>
    <w:rsid w:val="00DB04F0"/>
    <w:rsid w:val="00DB7E5D"/>
    <w:rsid w:val="00DC4E28"/>
    <w:rsid w:val="00DD1942"/>
    <w:rsid w:val="00DE0153"/>
    <w:rsid w:val="00DE5E78"/>
    <w:rsid w:val="00DF4486"/>
    <w:rsid w:val="00E031A2"/>
    <w:rsid w:val="00E117C8"/>
    <w:rsid w:val="00E11DE7"/>
    <w:rsid w:val="00E131E9"/>
    <w:rsid w:val="00E24840"/>
    <w:rsid w:val="00E36C12"/>
    <w:rsid w:val="00E442E0"/>
    <w:rsid w:val="00E80EE9"/>
    <w:rsid w:val="00E84A3B"/>
    <w:rsid w:val="00E91109"/>
    <w:rsid w:val="00E91BBF"/>
    <w:rsid w:val="00EB328D"/>
    <w:rsid w:val="00EB6C59"/>
    <w:rsid w:val="00EC2200"/>
    <w:rsid w:val="00EC2718"/>
    <w:rsid w:val="00EC63BA"/>
    <w:rsid w:val="00EC6AAC"/>
    <w:rsid w:val="00ED0527"/>
    <w:rsid w:val="00EE79AF"/>
    <w:rsid w:val="00EF6609"/>
    <w:rsid w:val="00F008D5"/>
    <w:rsid w:val="00F0459F"/>
    <w:rsid w:val="00F15044"/>
    <w:rsid w:val="00F155FD"/>
    <w:rsid w:val="00F2086B"/>
    <w:rsid w:val="00F40BC1"/>
    <w:rsid w:val="00F5069A"/>
    <w:rsid w:val="00F6660D"/>
    <w:rsid w:val="00F75FA4"/>
    <w:rsid w:val="00F7731B"/>
    <w:rsid w:val="00F86444"/>
    <w:rsid w:val="00F8648F"/>
    <w:rsid w:val="00F87E7D"/>
    <w:rsid w:val="00FB0446"/>
    <w:rsid w:val="00FB6857"/>
    <w:rsid w:val="00FC73E8"/>
    <w:rsid w:val="00FD1D6A"/>
    <w:rsid w:val="00FD2909"/>
    <w:rsid w:val="00FD5ADA"/>
    <w:rsid w:val="00FE2DEA"/>
    <w:rsid w:val="00FF04A1"/>
    <w:rsid w:val="00FF1723"/>
    <w:rsid w:val="00FF24B3"/>
    <w:rsid w:val="00FF5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F61ED"/>
  <w15:chartTrackingRefBased/>
  <w15:docId w15:val="{9DA4773E-EFB5-4D55-ADBE-294D09429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4F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4F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4F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4F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4F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4F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4F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4F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4F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F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4F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4F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4F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4F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4F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4F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4F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4FA9"/>
    <w:rPr>
      <w:rFonts w:eastAsiaTheme="majorEastAsia" w:cstheme="majorBidi"/>
      <w:color w:val="272727" w:themeColor="text1" w:themeTint="D8"/>
    </w:rPr>
  </w:style>
  <w:style w:type="paragraph" w:styleId="Title">
    <w:name w:val="Title"/>
    <w:basedOn w:val="Normal"/>
    <w:next w:val="Normal"/>
    <w:link w:val="TitleChar"/>
    <w:uiPriority w:val="10"/>
    <w:qFormat/>
    <w:rsid w:val="006C4F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4F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4F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4F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4FA9"/>
    <w:pPr>
      <w:spacing w:before="160"/>
      <w:jc w:val="center"/>
    </w:pPr>
    <w:rPr>
      <w:i/>
      <w:iCs/>
      <w:color w:val="404040" w:themeColor="text1" w:themeTint="BF"/>
    </w:rPr>
  </w:style>
  <w:style w:type="character" w:customStyle="1" w:styleId="QuoteChar">
    <w:name w:val="Quote Char"/>
    <w:basedOn w:val="DefaultParagraphFont"/>
    <w:link w:val="Quote"/>
    <w:uiPriority w:val="29"/>
    <w:rsid w:val="006C4FA9"/>
    <w:rPr>
      <w:i/>
      <w:iCs/>
      <w:color w:val="404040" w:themeColor="text1" w:themeTint="BF"/>
    </w:rPr>
  </w:style>
  <w:style w:type="paragraph" w:styleId="ListParagraph">
    <w:name w:val="List Paragraph"/>
    <w:basedOn w:val="Normal"/>
    <w:uiPriority w:val="34"/>
    <w:qFormat/>
    <w:rsid w:val="006C4FA9"/>
    <w:pPr>
      <w:ind w:left="720"/>
      <w:contextualSpacing/>
    </w:pPr>
  </w:style>
  <w:style w:type="character" w:styleId="IntenseEmphasis">
    <w:name w:val="Intense Emphasis"/>
    <w:basedOn w:val="DefaultParagraphFont"/>
    <w:uiPriority w:val="21"/>
    <w:qFormat/>
    <w:rsid w:val="006C4FA9"/>
    <w:rPr>
      <w:i/>
      <w:iCs/>
      <w:color w:val="0F4761" w:themeColor="accent1" w:themeShade="BF"/>
    </w:rPr>
  </w:style>
  <w:style w:type="paragraph" w:styleId="IntenseQuote">
    <w:name w:val="Intense Quote"/>
    <w:basedOn w:val="Normal"/>
    <w:next w:val="Normal"/>
    <w:link w:val="IntenseQuoteChar"/>
    <w:uiPriority w:val="30"/>
    <w:qFormat/>
    <w:rsid w:val="006C4F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4FA9"/>
    <w:rPr>
      <w:i/>
      <w:iCs/>
      <w:color w:val="0F4761" w:themeColor="accent1" w:themeShade="BF"/>
    </w:rPr>
  </w:style>
  <w:style w:type="character" w:styleId="IntenseReference">
    <w:name w:val="Intense Reference"/>
    <w:basedOn w:val="DefaultParagraphFont"/>
    <w:uiPriority w:val="32"/>
    <w:qFormat/>
    <w:rsid w:val="006C4FA9"/>
    <w:rPr>
      <w:b/>
      <w:bCs/>
      <w:smallCaps/>
      <w:color w:val="0F4761" w:themeColor="accent1" w:themeShade="BF"/>
      <w:spacing w:val="5"/>
    </w:rPr>
  </w:style>
  <w:style w:type="paragraph" w:styleId="Header">
    <w:name w:val="header"/>
    <w:basedOn w:val="Normal"/>
    <w:link w:val="HeaderChar"/>
    <w:uiPriority w:val="99"/>
    <w:unhideWhenUsed/>
    <w:rsid w:val="00140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549"/>
  </w:style>
  <w:style w:type="paragraph" w:styleId="Footer">
    <w:name w:val="footer"/>
    <w:basedOn w:val="Normal"/>
    <w:link w:val="FooterChar"/>
    <w:uiPriority w:val="99"/>
    <w:unhideWhenUsed/>
    <w:rsid w:val="00140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549"/>
  </w:style>
  <w:style w:type="character" w:styleId="Hyperlink">
    <w:name w:val="Hyperlink"/>
    <w:basedOn w:val="DefaultParagraphFont"/>
    <w:uiPriority w:val="99"/>
    <w:unhideWhenUsed/>
    <w:rsid w:val="00A44459"/>
    <w:rPr>
      <w:color w:val="467886" w:themeColor="hyperlink"/>
      <w:u w:val="single"/>
    </w:rPr>
  </w:style>
  <w:style w:type="character" w:styleId="UnresolvedMention">
    <w:name w:val="Unresolved Mention"/>
    <w:basedOn w:val="DefaultParagraphFont"/>
    <w:uiPriority w:val="99"/>
    <w:semiHidden/>
    <w:unhideWhenUsed/>
    <w:rsid w:val="00A44459"/>
    <w:rPr>
      <w:color w:val="605E5C"/>
      <w:shd w:val="clear" w:color="auto" w:fill="E1DFDD"/>
    </w:rPr>
  </w:style>
  <w:style w:type="character" w:styleId="Strong">
    <w:name w:val="Strong"/>
    <w:basedOn w:val="DefaultParagraphFont"/>
    <w:uiPriority w:val="22"/>
    <w:qFormat/>
    <w:rsid w:val="007846EF"/>
    <w:rPr>
      <w:b/>
      <w:bCs/>
    </w:rPr>
  </w:style>
  <w:style w:type="paragraph" w:styleId="NormalWeb">
    <w:name w:val="Normal (Web)"/>
    <w:basedOn w:val="Normal"/>
    <w:uiPriority w:val="99"/>
    <w:unhideWhenUsed/>
    <w:rsid w:val="00D44AD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2F736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F736A"/>
    <w:pPr>
      <w:spacing w:after="100"/>
    </w:pPr>
  </w:style>
  <w:style w:type="paragraph" w:styleId="TOC2">
    <w:name w:val="toc 2"/>
    <w:basedOn w:val="Normal"/>
    <w:next w:val="Normal"/>
    <w:autoRedefine/>
    <w:uiPriority w:val="39"/>
    <w:unhideWhenUsed/>
    <w:rsid w:val="002F736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9219/fnr.v65.7686" TargetMode="External"/><Relationship Id="rId18" Type="http://schemas.openxmlformats.org/officeDocument/2006/relationships/hyperlink" Target="https://doi.org/10.1093/eurpub/ckaa034" TargetMode="External"/><Relationship Id="rId26" Type="http://schemas.openxmlformats.org/officeDocument/2006/relationships/hyperlink" Target="https://doi.org/10.1007/s10995-018-2640-9" TargetMode="External"/><Relationship Id="rId39" Type="http://schemas.openxmlformats.org/officeDocument/2006/relationships/theme" Target="theme/theme1.xml"/><Relationship Id="rId21" Type="http://schemas.openxmlformats.org/officeDocument/2006/relationships/hyperlink" Target="https://doi.org/10.1055/a-0713-1058" TargetMode="External"/><Relationship Id="rId34" Type="http://schemas.openxmlformats.org/officeDocument/2006/relationships/hyperlink" Target="https://doi.org/10.35784/pe.2022.2.15"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doi.org/10.1007/s10995-024-04014-1" TargetMode="External"/><Relationship Id="rId25" Type="http://schemas.openxmlformats.org/officeDocument/2006/relationships/hyperlink" Target="https://doi.org/10.7748/ns.34.2.8.s6" TargetMode="External"/><Relationship Id="rId33" Type="http://schemas.openxmlformats.org/officeDocument/2006/relationships/hyperlink" Target="https://www.un.org/sustainabledevelopment/health/"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3390/nu16040501" TargetMode="External"/><Relationship Id="rId20" Type="http://schemas.openxmlformats.org/officeDocument/2006/relationships/hyperlink" Target="https://doi.org/10.1186/s12966-017-0638-0" TargetMode="External"/><Relationship Id="rId29" Type="http://schemas.openxmlformats.org/officeDocument/2006/relationships/hyperlink" Target="https://doi.org/10.1186/s42055-024-00078-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uysandstthomas.nhs.uk/our-services/healthy-weight-programmes/southwark-healthy-weight-programme?utm_source=copilot.com" TargetMode="External"/><Relationship Id="rId32" Type="http://schemas.openxmlformats.org/officeDocument/2006/relationships/hyperlink" Target="https://www.un.org/sustainabledevelopment/hunger/"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oi.org/10.4324/9780429397844" TargetMode="External"/><Relationship Id="rId23" Type="http://schemas.openxmlformats.org/officeDocument/2006/relationships/hyperlink" Target="https://doi.org/10.1089/jwh.2019.7712" TargetMode="External"/><Relationship Id="rId28" Type="http://schemas.openxmlformats.org/officeDocument/2006/relationships/hyperlink" Target="https://doi.org/10.38159/ehass.202451659" TargetMode="External"/><Relationship Id="rId36" Type="http://schemas.openxmlformats.org/officeDocument/2006/relationships/hyperlink" Target="https://www.who.int/health-topics/universal-health-coverage" TargetMode="External"/><Relationship Id="rId10" Type="http://schemas.openxmlformats.org/officeDocument/2006/relationships/endnotes" Target="endnotes.xml"/><Relationship Id="rId19" Type="http://schemas.openxmlformats.org/officeDocument/2006/relationships/hyperlink" Target="https://doi.org/10.1186/s12889-021-10782-0" TargetMode="External"/><Relationship Id="rId31" Type="http://schemas.openxmlformats.org/officeDocument/2006/relationships/hyperlink" Target="https://extranet.who.int/countryplanningcycles/sites/default/files/public_file_rep/GBR_United-Kingdom_NHS-Long-term-plan_2019.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36/bmj.l107" TargetMode="External"/><Relationship Id="rId22" Type="http://schemas.openxmlformats.org/officeDocument/2006/relationships/hyperlink" Target="https://doi.org/10.5334/aogh.3231" TargetMode="External"/><Relationship Id="rId27" Type="http://schemas.openxmlformats.org/officeDocument/2006/relationships/hyperlink" Target="https://doi.org/10.5334/ijic.ICIC20229" TargetMode="External"/><Relationship Id="rId30" Type="http://schemas.openxmlformats.org/officeDocument/2006/relationships/hyperlink" Target="https://doi.org/10.1177/0265539X202404102S0026" TargetMode="External"/><Relationship Id="rId35" Type="http://schemas.openxmlformats.org/officeDocument/2006/relationships/hyperlink" Target="https://www.who.int/health-topics/noncommunicable-disease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e0f0ae091b791dd8ca2ed295ef51438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8eee81e1e59bba012ea0d202569eb45"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9C18F03-B4D4-455C-8EC9-A79D77D51B89}">
  <ds:schemaRefs>
    <ds:schemaRef ds:uri="http://schemas.openxmlformats.org/officeDocument/2006/bibliography"/>
  </ds:schemaRefs>
</ds:datastoreItem>
</file>

<file path=customXml/itemProps2.xml><?xml version="1.0" encoding="utf-8"?>
<ds:datastoreItem xmlns:ds="http://schemas.openxmlformats.org/officeDocument/2006/customXml" ds:itemID="{EDDBB794-407A-4C67-879C-24E6707DB5BF}">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5B07D186-F04D-4167-BE87-3CE19FB60E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F03E60-548A-48CE-9D41-E837B9F047A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3803</Words>
  <Characters>21678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Aminata Sinayoko (2310293)</dc:creator>
  <cp:keywords/>
  <dc:description/>
  <cp:lastModifiedBy>Aminata Sinayoko (2310293)</cp:lastModifiedBy>
  <cp:revision>2</cp:revision>
  <dcterms:created xsi:type="dcterms:W3CDTF">2026-07-22T22:33:00Z</dcterms:created>
  <dcterms:modified xsi:type="dcterms:W3CDTF">2026-07-22T22:33:00Z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