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25CF" w:rsidRPr="00DD25CF" w:rsidRDefault="00DD25CF" w:rsidP="00DD25CF">
      <w:pPr>
        <w:numPr>
          <w:ilvl w:val="0"/>
          <w:numId w:val="1"/>
        </w:numPr>
        <w:rPr>
          <w:b/>
          <w:bCs/>
          <w:u w:val="single"/>
        </w:rPr>
      </w:pPr>
      <w:r w:rsidRPr="00DD25CF">
        <w:rPr>
          <w:b/>
          <w:bCs/>
          <w:u w:val="single"/>
        </w:rPr>
        <w:t>Discuss the major differences between the teachings of Theravada Buddhism and Mahayana Buddhism.</w:t>
      </w:r>
    </w:p>
    <w:p w:rsidR="001D6479" w:rsidRDefault="000F3EAF">
      <w:r>
        <w:t xml:space="preserve">Buddhism in the years following the death of Siddhartha Gautama faced much uncertainty. </w:t>
      </w:r>
      <w:r w:rsidR="00650465">
        <w:t xml:space="preserve">The Buddha had died without appointing a successor or any kind of central authority. Amongst the sangha </w:t>
      </w:r>
      <w:r w:rsidR="001F67D2">
        <w:t xml:space="preserve">(Buddhist monks) </w:t>
      </w:r>
      <w:r w:rsidR="00650465">
        <w:t>there arose, inevitably, many different disagreements and differing interpretations of the Buddha’s teachings. The debate surrounding many different points of the religion continued and more and more differences arose between schools. With these differences and without a uniting central authority, various sects of Buddhism were established.</w:t>
      </w:r>
    </w:p>
    <w:p w:rsidR="001F67D2" w:rsidRDefault="001F67D2">
      <w:r>
        <w:t>Following the Buddha’s death, a council was called to discuss the Buddha’s teachings and to define his core message. A code of discipline called the Vinaya was established.</w:t>
      </w:r>
    </w:p>
    <w:p w:rsidR="001F67D2" w:rsidRDefault="001F67D2">
      <w:r>
        <w:t xml:space="preserve">One-hundred years later, a second council was called to ensure that the Vinaya was being followed correctly by all the sangha. It was here that differing views began to develop. </w:t>
      </w:r>
      <w:r w:rsidR="00CC6D23">
        <w:t xml:space="preserve">Differing views on both the monastic life and the doctrine continued to divide until two schools were established. The </w:t>
      </w:r>
      <w:r w:rsidR="00CC6D23" w:rsidRPr="00CC6D23">
        <w:t>'Elders' (Sthaviras), and another known as the 'Universal Assembly' (</w:t>
      </w:r>
      <w:r w:rsidR="00CC6D23">
        <w:t>Mahasamghikas</w:t>
      </w:r>
      <w:r w:rsidR="00CC6D23" w:rsidRPr="00CC6D23">
        <w:t>)</w:t>
      </w:r>
      <w:r w:rsidR="00CC6D23">
        <w:rPr>
          <w:rStyle w:val="FootnoteReference"/>
        </w:rPr>
        <w:footnoteReference w:id="1"/>
      </w:r>
      <w:r w:rsidR="00CC6D23">
        <w:t xml:space="preserve"> </w:t>
      </w:r>
      <w:r w:rsidR="00927AD7">
        <w:t xml:space="preserve">Over time, these early divergences evolved into Theravada and Mahayana Buddhism, respectively. Mahayana Buddhism spread </w:t>
      </w:r>
      <w:r w:rsidR="00DD1954">
        <w:t>n</w:t>
      </w:r>
      <w:r w:rsidR="00927AD7">
        <w:t xml:space="preserve">orth-westerly </w:t>
      </w:r>
      <w:r w:rsidR="00DD1954">
        <w:t xml:space="preserve">(from Buddhism’s origin point) </w:t>
      </w:r>
      <w:r w:rsidR="00927AD7">
        <w:t xml:space="preserve">and </w:t>
      </w:r>
      <w:r w:rsidR="00DD1954">
        <w:t>into far-east Asia such as China, Korea, and Japan. Theravada Buddhism spread southwards into Sri-Lanka</w:t>
      </w:r>
      <w:r w:rsidR="00F209A1">
        <w:t xml:space="preserve">, </w:t>
      </w:r>
      <w:r w:rsidR="00F209A1" w:rsidRPr="00F209A1">
        <w:t>Burma, Thailand, Cambodia and Laos</w:t>
      </w:r>
      <w:r w:rsidR="00F209A1">
        <w:t>.</w:t>
      </w:r>
    </w:p>
    <w:p w:rsidR="00F209A1" w:rsidRDefault="00F209A1">
      <w:r>
        <w:t xml:space="preserve">In the first century BCE (approximately 300 years after the death of the Buddha), Theravada monks assembled the fourth council in which the first Buddhist scriptures were written. The Buddha’s vernacular language of Pali was used, thus the canon that was established is called the Pali canon. Also, the </w:t>
      </w:r>
      <w:r>
        <w:rPr>
          <w:i/>
          <w:iCs/>
        </w:rPr>
        <w:t>Tipitaka</w:t>
      </w:r>
      <w:r>
        <w:t xml:space="preserve"> (‘three baskets’) to refer to it’s three sections. </w:t>
      </w:r>
      <w:r w:rsidR="00395E8B">
        <w:t>The Theravadins upheld that only texts that historically came from the Buddha himself were authoritative. The Mahayana Buddhists disagreed with this, using texts that did not come from the Buddha historically but are attributed to him as authoritative scripture. As an example, an important Mahayana text called t</w:t>
      </w:r>
      <w:r w:rsidR="00395E8B" w:rsidRPr="00395E8B">
        <w:t>he Prajna Paramita Sutras (the teachings on Perfect Wisdom)</w:t>
      </w:r>
      <w:r w:rsidR="00395E8B">
        <w:t xml:space="preserve">, were supposedly writings of the Buddha that were too advanced for his followers at the time so were kept by </w:t>
      </w:r>
      <w:r w:rsidR="00395E8B">
        <w:rPr>
          <w:i/>
          <w:iCs/>
        </w:rPr>
        <w:t>Nagas</w:t>
      </w:r>
      <w:r w:rsidR="00395E8B">
        <w:t xml:space="preserve"> in the Nether World before being brought back to Earth by Nagarjuna.</w:t>
      </w:r>
      <w:r w:rsidR="001B0294">
        <w:t xml:space="preserve"> The Mahayana canon was therefore established and written up in Sanskrit. </w:t>
      </w:r>
      <w:r w:rsidR="00102C6B">
        <w:t xml:space="preserve">The term Mahayana actually refers to an umbrella group of many traditions with similar lineage and views. </w:t>
      </w:r>
    </w:p>
    <w:p w:rsidR="002514C1" w:rsidRDefault="002514C1">
      <w:r>
        <w:t xml:space="preserve">Mahayana Buddhism places a great emphasis on saving others from </w:t>
      </w:r>
      <w:r>
        <w:rPr>
          <w:i/>
          <w:iCs/>
        </w:rPr>
        <w:t>dukkha</w:t>
      </w:r>
      <w:r>
        <w:t xml:space="preserve"> (suffering). They developed the ideal of the Bodhisattva, a person who spends multiple lives towards bringing other people to </w:t>
      </w:r>
      <w:r>
        <w:rPr>
          <w:i/>
          <w:iCs/>
        </w:rPr>
        <w:t>nirvana</w:t>
      </w:r>
      <w:r w:rsidR="005A4B57">
        <w:rPr>
          <w:i/>
          <w:iCs/>
        </w:rPr>
        <w:t xml:space="preserve"> </w:t>
      </w:r>
      <w:r w:rsidR="005A4B57" w:rsidRPr="005A4B57">
        <w:t>(enlightenment)</w:t>
      </w:r>
      <w:r>
        <w:t xml:space="preserve">. This ideal is so central to Mahayana Buddhism that early on it was called </w:t>
      </w:r>
      <w:r w:rsidR="005A4B57">
        <w:t>‘</w:t>
      </w:r>
      <w:r w:rsidRPr="002514C1">
        <w:t>Bodhisattva-y</w:t>
      </w:r>
      <w:r>
        <w:t>a</w:t>
      </w:r>
      <w:r w:rsidRPr="002514C1">
        <w:t>na</w:t>
      </w:r>
      <w:r w:rsidR="005A4B57">
        <w:t>’</w:t>
      </w:r>
      <w:r w:rsidRPr="002514C1">
        <w:t>, or the 'Vehicle of the Bodhisattvas'.</w:t>
      </w:r>
      <w:r>
        <w:rPr>
          <w:rStyle w:val="FootnoteReference"/>
        </w:rPr>
        <w:footnoteReference w:id="2"/>
      </w:r>
      <w:r w:rsidR="002E5684">
        <w:t xml:space="preserve"> This is a key difference to Theravada Buddhism where salvation of the self is from suffering is the focus.  </w:t>
      </w:r>
    </w:p>
    <w:p w:rsidR="00102C6B" w:rsidRDefault="00102C6B">
      <w:r>
        <w:t xml:space="preserve">Theravada Buddhism claims direct lineage to the original views of the early sangha with a focus on </w:t>
      </w:r>
      <w:r w:rsidRPr="00102C6B">
        <w:rPr>
          <w:i/>
          <w:iCs/>
        </w:rPr>
        <w:t xml:space="preserve">Dhamma </w:t>
      </w:r>
      <w:r>
        <w:t xml:space="preserve">(truth about the nature of reality as well as the Buddha’s core teachings). </w:t>
      </w:r>
      <w:r w:rsidR="005A4B57">
        <w:t>Much emphasis is placed on the idea of the ‘four noble truths.’ Its doctrine is the practice of early Buddhist monasticism and the teachings of the Buddha. The purpose and goal of Theravada Buddhism is to become an ‘</w:t>
      </w:r>
      <w:r w:rsidR="005A4B57">
        <w:rPr>
          <w:i/>
          <w:iCs/>
        </w:rPr>
        <w:t>Arhat’</w:t>
      </w:r>
      <w:r w:rsidR="005A4B57">
        <w:t xml:space="preserve">, an individual who has reached nirvana </w:t>
      </w:r>
      <w:r w:rsidR="005A4B57" w:rsidRPr="005A4B57">
        <w:rPr>
          <w:b/>
          <w:bCs/>
        </w:rPr>
        <w:t>under the guidance of a buddha</w:t>
      </w:r>
      <w:r w:rsidR="005A4B57">
        <w:t xml:space="preserve">. They aim to achieve enlightenment following the guidance of Siddhartha Gautama </w:t>
      </w:r>
      <w:r w:rsidR="00FF12AA">
        <w:t xml:space="preserve">(a buddha, someone who has achieved enlightenment by themselves). The Buddha himself, to Theravadins, is the best </w:t>
      </w:r>
      <w:r w:rsidR="00FF12AA">
        <w:lastRenderedPageBreak/>
        <w:t xml:space="preserve">and most authoritative method towards enlightenment and only his teachings are required for enlightenment. The responsibility of reaching enlightenment is on the individual to follow the Buddha’s guidance. One doesn’t need to rely on anyone else other than the Buddha to achieve enlightenment, as opposed to Mahayana Buddhism and its ideal of the </w:t>
      </w:r>
      <w:r w:rsidR="00FF12AA">
        <w:t>Bodhisattva</w:t>
      </w:r>
      <w:r w:rsidR="00FF12AA">
        <w:t>.</w:t>
      </w:r>
      <w:r w:rsidR="002B0BA3">
        <w:rPr>
          <w:rStyle w:val="FootnoteReference"/>
        </w:rPr>
        <w:footnoteReference w:id="3"/>
      </w:r>
    </w:p>
    <w:p w:rsidR="0036196C" w:rsidRDefault="0093462A">
      <w:r>
        <w:t>T</w:t>
      </w:r>
      <w:r w:rsidR="00D06ECB">
        <w:t xml:space="preserve">he differences between Mahayana Buddhism and Theravada Buddhism originated at the second Buddhist council. The two schools that diverged from each other developedtwo seperat canons. The Pali canon is the oldest and is the basis for most of Buffhism. Mahayana Buddhism however disagrees that only primary writings of the Buddha are authoritative and accepts other sources into its own canon, the </w:t>
      </w:r>
      <w:r>
        <w:t>Mahayana Canon (or Chinese Tipitaka); this results in even more variations in doctrine and interpretations of the Buddha’s teachings. Therefore, the most major difference between the two is the acceptance of mythological sources (or non-historical).</w:t>
      </w:r>
    </w:p>
    <w:p w:rsidR="0036196C" w:rsidRDefault="0036196C">
      <w:r>
        <w:br w:type="page"/>
      </w:r>
    </w:p>
    <w:p w:rsidR="002313F9" w:rsidRDefault="00A66A3A" w:rsidP="002313F9">
      <w:pPr>
        <w:pStyle w:val="ListParagraph"/>
        <w:numPr>
          <w:ilvl w:val="0"/>
          <w:numId w:val="1"/>
        </w:numPr>
        <w:rPr>
          <w:b/>
          <w:bCs/>
          <w:u w:val="single"/>
        </w:rPr>
      </w:pPr>
      <w:r w:rsidRPr="00A66A3A">
        <w:rPr>
          <w:b/>
          <w:bCs/>
          <w:u w:val="single"/>
        </w:rPr>
        <w:lastRenderedPageBreak/>
        <w:t xml:space="preserve">Explain the Sikh understanding of God (the </w:t>
      </w:r>
      <w:r w:rsidRPr="00A66A3A">
        <w:rPr>
          <w:b/>
          <w:bCs/>
          <w:i/>
          <w:iCs/>
          <w:u w:val="single"/>
        </w:rPr>
        <w:t>Akal Purakh</w:t>
      </w:r>
      <w:r w:rsidRPr="00A66A3A">
        <w:rPr>
          <w:b/>
          <w:bCs/>
          <w:u w:val="single"/>
        </w:rPr>
        <w:t>) and the means by which the individual can attain moksha.</w:t>
      </w:r>
    </w:p>
    <w:p w:rsidR="002313F9" w:rsidRDefault="00853EC7" w:rsidP="002313F9">
      <w:r>
        <w:t>Sikhism is monotheistic. God, to the Sikhs is a single and infinite entity. The Guru Granth Sahib begins with what is called the Mul Mantar. These opening words are fundamental to Sikh worship</w:t>
      </w:r>
      <w:r w:rsidR="00711D82">
        <w:t xml:space="preserve"> and provide statement of faith</w:t>
      </w:r>
      <w:r>
        <w:t xml:space="preserve">. </w:t>
      </w:r>
      <w:r w:rsidR="00711D82">
        <w:t xml:space="preserve"> It defines the nature and identity of God as revealed to Guru Nanak. </w:t>
      </w:r>
      <w:r w:rsidR="00DD7259">
        <w:t xml:space="preserve">A great deal of the Sikh understanding of God is taken from this short extract: </w:t>
      </w:r>
    </w:p>
    <w:p w:rsidR="00DD7259" w:rsidRDefault="00DD7259" w:rsidP="00DD7259">
      <w:pPr>
        <w:ind w:left="720"/>
      </w:pPr>
      <w:r w:rsidRPr="00DD7259">
        <w:rPr>
          <w:i/>
          <w:iCs/>
        </w:rPr>
        <w:t>‘This Being (God) is One; the truth; immanent in all things; Sustainer of all things; Creator of all things; immanent in creation; without fear and without hatred; not subject to time, formless; beyond birth and death; self-revealing; known by the Guru’s grace</w:t>
      </w:r>
      <w:r w:rsidRPr="00DD7259">
        <w:rPr>
          <w:i/>
          <w:iCs/>
        </w:rPr>
        <w:t>.’</w:t>
      </w:r>
    </w:p>
    <w:p w:rsidR="00DD7259" w:rsidRDefault="004E2BBD" w:rsidP="00DD7259">
      <w:r>
        <w:t>A Punjab phrase is used in the Mul Mantar, ‘</w:t>
      </w:r>
      <w:r>
        <w:rPr>
          <w:i/>
          <w:iCs/>
        </w:rPr>
        <w:t xml:space="preserve">Ik Onkar.’ It </w:t>
      </w:r>
      <w:r w:rsidRPr="004E2BBD">
        <w:t>translates</w:t>
      </w:r>
      <w:r>
        <w:t xml:space="preserve"> roughly</w:t>
      </w:r>
      <w:r>
        <w:rPr>
          <w:i/>
          <w:iCs/>
        </w:rPr>
        <w:t xml:space="preserve"> to </w:t>
      </w:r>
      <w:r w:rsidRPr="004E2BBD">
        <w:rPr>
          <w:i/>
          <w:iCs/>
        </w:rPr>
        <w:t>This Being Is One</w:t>
      </w:r>
      <w:r w:rsidR="00270B9A">
        <w:rPr>
          <w:i/>
          <w:iCs/>
        </w:rPr>
        <w:t xml:space="preserve">. </w:t>
      </w:r>
      <w:r w:rsidR="00270B9A">
        <w:t xml:space="preserve">The word Onkar is the Punjab equivalent of the Sanskrit word ‘Om’ which refers to the </w:t>
      </w:r>
      <w:r w:rsidR="004C25EE">
        <w:t>all-encompassing</w:t>
      </w:r>
      <w:r w:rsidR="00270B9A">
        <w:t xml:space="preserve"> force that makes up the universe (the Absolute Reality</w:t>
      </w:r>
      <w:r w:rsidR="00DC39BF">
        <w:t xml:space="preserve"> </w:t>
      </w:r>
      <w:r w:rsidR="00270B9A">
        <w:t>/ Brahman</w:t>
      </w:r>
      <w:r w:rsidR="00DC39BF">
        <w:t xml:space="preserve"> </w:t>
      </w:r>
      <w:r w:rsidR="00270B9A">
        <w:t>/ God)</w:t>
      </w:r>
      <w:r w:rsidR="00DC39BF">
        <w:t>. However, it is not the same as Om but instead refers to specifically the Sikh view of God.</w:t>
      </w:r>
      <w:r w:rsidR="00DC39BF">
        <w:rPr>
          <w:rStyle w:val="FootnoteReference"/>
        </w:rPr>
        <w:footnoteReference w:id="4"/>
      </w:r>
      <w:r w:rsidR="004C25EE">
        <w:t xml:space="preserve"> Onkar can therefore be used as the word for God. Ik Onkar is used by Sikhs to symbolise the oneness and pervasiveness of God in all things.</w:t>
      </w:r>
    </w:p>
    <w:p w:rsidR="00FC53E6" w:rsidRDefault="00C86310" w:rsidP="00DD7259">
      <w:r>
        <w:t>This notion of the unity of God</w:t>
      </w:r>
      <w:r w:rsidR="005C7AD9">
        <w:t xml:space="preserve"> ‘without a second or agent’</w:t>
      </w:r>
      <w:r>
        <w:t xml:space="preserve"> is supported repeatedly by scripture within the Guru Granth Sahib. </w:t>
      </w:r>
      <w:r w:rsidR="005C7AD9">
        <w:t>Guru Nanak wrote ‘my God is one, truly, my God is one’ (AG 350), Guru Arjan similarly stated ‘apart from God there is no other. The Lord is both creator and cause.’ (AG 626). Guru Nanak uses a simile of a fisherman to further illustrate the unity of God ‘God is the fish and the fisherman, the water and the net, the float of the net and the bait within it (AG 23).</w:t>
      </w:r>
      <w:r w:rsidR="005C7AD9">
        <w:rPr>
          <w:rStyle w:val="FootnoteReference"/>
        </w:rPr>
        <w:footnoteReference w:id="5"/>
      </w:r>
      <w:r w:rsidR="005C7AD9">
        <w:t xml:space="preserve"> </w:t>
      </w:r>
      <w:r w:rsidR="00B00325">
        <w:t xml:space="preserve">As well as God being one (Ik Onkar), God is transcendent outside of time and space (Akhal Purakh). </w:t>
      </w:r>
    </w:p>
    <w:p w:rsidR="00E17F16" w:rsidRDefault="00E17F16" w:rsidP="00DD7259">
      <w:r>
        <w:t xml:space="preserve">However, the truth about God is hidden to Humankind behind ignorance and being misled. This is called </w:t>
      </w:r>
      <w:r>
        <w:rPr>
          <w:i/>
          <w:iCs/>
        </w:rPr>
        <w:t>‘haumai’</w:t>
      </w:r>
      <w:r>
        <w:t xml:space="preserve">. </w:t>
      </w:r>
      <w:r w:rsidR="00980D69">
        <w:t>The translation of this word is difficult but can be said as pride or self-centeredness. A person who is guilty of haumai (</w:t>
      </w:r>
      <w:r w:rsidR="00980D69">
        <w:rPr>
          <w:i/>
          <w:iCs/>
        </w:rPr>
        <w:t>manmukh)</w:t>
      </w:r>
      <w:r w:rsidR="00980D69">
        <w:t xml:space="preserve"> is consigned to be trapped in samsara (rebirth). The individual can attain moksha (liberation) through surrendering to God’s will.</w:t>
      </w:r>
      <w:r>
        <w:rPr>
          <w:rStyle w:val="FootnoteReference"/>
        </w:rPr>
        <w:footnoteReference w:id="6"/>
      </w:r>
    </w:p>
    <w:p w:rsidR="00980D69" w:rsidRPr="00E17F16" w:rsidRDefault="00980D69" w:rsidP="00DD7259">
      <w:r>
        <w:t>In Sikhism, God is characterised by His oneness and eternality. This is seen throughout the Guru Granth Sahib but especially in the Mul Mantar. Moksha is obtained only by surrendering to God’s will and purging the mind of haumai.</w:t>
      </w:r>
      <w:bookmarkStart w:id="0" w:name="_GoBack"/>
      <w:bookmarkEnd w:id="0"/>
    </w:p>
    <w:sectPr w:rsidR="00980D69" w:rsidRPr="00E17F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7501" w:rsidRDefault="00027501" w:rsidP="00CC6D23">
      <w:pPr>
        <w:spacing w:after="0" w:line="240" w:lineRule="auto"/>
      </w:pPr>
      <w:r>
        <w:separator/>
      </w:r>
    </w:p>
  </w:endnote>
  <w:endnote w:type="continuationSeparator" w:id="0">
    <w:p w:rsidR="00027501" w:rsidRDefault="00027501" w:rsidP="00CC6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7501" w:rsidRDefault="00027501" w:rsidP="00CC6D23">
      <w:pPr>
        <w:spacing w:after="0" w:line="240" w:lineRule="auto"/>
      </w:pPr>
      <w:r>
        <w:separator/>
      </w:r>
    </w:p>
  </w:footnote>
  <w:footnote w:type="continuationSeparator" w:id="0">
    <w:p w:rsidR="00027501" w:rsidRDefault="00027501" w:rsidP="00CC6D23">
      <w:pPr>
        <w:spacing w:after="0" w:line="240" w:lineRule="auto"/>
      </w:pPr>
      <w:r>
        <w:continuationSeparator/>
      </w:r>
    </w:p>
  </w:footnote>
  <w:footnote w:id="1">
    <w:p w:rsidR="00CC6D23" w:rsidRDefault="00CC6D23">
      <w:pPr>
        <w:pStyle w:val="FootnoteText"/>
      </w:pPr>
      <w:r>
        <w:rPr>
          <w:rStyle w:val="FootnoteReference"/>
        </w:rPr>
        <w:footnoteRef/>
      </w:r>
      <w:r>
        <w:t xml:space="preserve"> </w:t>
      </w:r>
      <w:r w:rsidRPr="00CC6D23">
        <w:t xml:space="preserve">Gethin, R., </w:t>
      </w:r>
      <w:r w:rsidRPr="00CC6D23">
        <w:rPr>
          <w:i/>
          <w:iCs/>
        </w:rPr>
        <w:t>The Foundations of Buddhism</w:t>
      </w:r>
      <w:r w:rsidRPr="00CC6D23">
        <w:t xml:space="preserve"> (Oxford: Oxford University Press, 1998), ch. 9.</w:t>
      </w:r>
    </w:p>
  </w:footnote>
  <w:footnote w:id="2">
    <w:p w:rsidR="002514C1" w:rsidRDefault="002514C1">
      <w:pPr>
        <w:pStyle w:val="FootnoteText"/>
      </w:pPr>
      <w:r>
        <w:rPr>
          <w:rStyle w:val="FootnoteReference"/>
        </w:rPr>
        <w:footnoteRef/>
      </w:r>
      <w:r>
        <w:t xml:space="preserve"> </w:t>
      </w:r>
      <w:r w:rsidRPr="002514C1">
        <w:t xml:space="preserve">Keown, D., </w:t>
      </w:r>
      <w:r w:rsidRPr="002514C1">
        <w:rPr>
          <w:i/>
          <w:iCs/>
        </w:rPr>
        <w:t>Buddhism: A Very Short Introduction</w:t>
      </w:r>
      <w:r w:rsidRPr="002514C1">
        <w:t xml:space="preserve"> (Oxford: Oxford</w:t>
      </w:r>
      <w:r>
        <w:t xml:space="preserve"> </w:t>
      </w:r>
      <w:r w:rsidRPr="002514C1">
        <w:t>University Press, 1996), ch. 5</w:t>
      </w:r>
    </w:p>
  </w:footnote>
  <w:footnote w:id="3">
    <w:p w:rsidR="002B0BA3" w:rsidRDefault="002B0BA3">
      <w:pPr>
        <w:pStyle w:val="FootnoteText"/>
      </w:pPr>
      <w:r>
        <w:rPr>
          <w:rStyle w:val="FootnoteReference"/>
        </w:rPr>
        <w:footnoteRef/>
      </w:r>
      <w:r>
        <w:t xml:space="preserve"> </w:t>
      </w:r>
      <w:r w:rsidRPr="002B0BA3">
        <w:t xml:space="preserve">Erricker, C., </w:t>
      </w:r>
      <w:r w:rsidRPr="002B0BA3">
        <w:rPr>
          <w:i/>
          <w:iCs/>
        </w:rPr>
        <w:t>Buddhism: A Complete Introduction</w:t>
      </w:r>
      <w:r w:rsidRPr="002B0BA3">
        <w:t xml:space="preserve"> (London: Hodder &amp; Stoughton, 2015), ch. 4.</w:t>
      </w:r>
    </w:p>
  </w:footnote>
  <w:footnote w:id="4">
    <w:p w:rsidR="00DC39BF" w:rsidRPr="00DC39BF" w:rsidRDefault="00DC39BF">
      <w:pPr>
        <w:pStyle w:val="FootnoteText"/>
      </w:pPr>
      <w:r>
        <w:rPr>
          <w:rStyle w:val="FootnoteReference"/>
        </w:rPr>
        <w:footnoteRef/>
      </w:r>
      <w:r>
        <w:t xml:space="preserve"> Singh, P., </w:t>
      </w:r>
      <w:r>
        <w:rPr>
          <w:i/>
          <w:iCs/>
        </w:rPr>
        <w:t>The Oxford Handbook of Sikh Studies</w:t>
      </w:r>
      <w:r>
        <w:t xml:space="preserve"> (</w:t>
      </w:r>
      <w:r w:rsidR="008342EE">
        <w:t xml:space="preserve">Oxford: Oxford University Press, 2006) page 247. Quote: </w:t>
      </w:r>
      <w:r w:rsidR="008342EE" w:rsidRPr="008342EE">
        <w:rPr>
          <w:i/>
          <w:iCs/>
        </w:rPr>
        <w:t xml:space="preserve">"It should be however, be emphasized that the meaning of Oankar in the Sikh tradition is quite different in certain respects from the various interpretations of this word in the Indian philosophical traditions." </w:t>
      </w:r>
      <w:r w:rsidR="008342EE" w:rsidRPr="008342EE">
        <w:t>(Pashaura Singh 2006: 247)</w:t>
      </w:r>
    </w:p>
  </w:footnote>
  <w:footnote w:id="5">
    <w:p w:rsidR="005C7AD9" w:rsidRPr="005C7AD9" w:rsidRDefault="005C7AD9">
      <w:pPr>
        <w:pStyle w:val="FootnoteText"/>
      </w:pPr>
      <w:r>
        <w:rPr>
          <w:rStyle w:val="FootnoteReference"/>
        </w:rPr>
        <w:footnoteRef/>
      </w:r>
      <w:r>
        <w:t xml:space="preserve"> Cole, C., </w:t>
      </w:r>
      <w:r>
        <w:rPr>
          <w:i/>
          <w:iCs/>
        </w:rPr>
        <w:t xml:space="preserve">Sikhism – An Introduction </w:t>
      </w:r>
      <w:r>
        <w:t>(London: Hodder Education, 2010) ch. 12</w:t>
      </w:r>
    </w:p>
  </w:footnote>
  <w:footnote w:id="6">
    <w:p w:rsidR="00E17F16" w:rsidRPr="00E17F16" w:rsidRDefault="00E17F16">
      <w:pPr>
        <w:pStyle w:val="FootnoteText"/>
      </w:pPr>
      <w:r>
        <w:rPr>
          <w:rStyle w:val="FootnoteReference"/>
        </w:rPr>
        <w:footnoteRef/>
      </w:r>
      <w:r>
        <w:t xml:space="preserve"> Cole, W., </w:t>
      </w:r>
      <w:r>
        <w:rPr>
          <w:i/>
          <w:iCs/>
        </w:rPr>
        <w:t>A Popular Dictionary of Sikhism</w:t>
      </w:r>
      <w:r>
        <w:t xml:space="preserve"> (Surrey: Curzon Press,1990)</w:t>
      </w:r>
      <w:r w:rsidR="00D37B84">
        <w:t xml:space="preserve"> pg. 40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84D3E"/>
    <w:multiLevelType w:val="hybridMultilevel"/>
    <w:tmpl w:val="321E21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5856E67"/>
    <w:multiLevelType w:val="hybridMultilevel"/>
    <w:tmpl w:val="4484E8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5CF"/>
    <w:rsid w:val="00027501"/>
    <w:rsid w:val="000F3EAF"/>
    <w:rsid w:val="00102C6B"/>
    <w:rsid w:val="001B0294"/>
    <w:rsid w:val="001D6479"/>
    <w:rsid w:val="001F67D2"/>
    <w:rsid w:val="002313F9"/>
    <w:rsid w:val="00240701"/>
    <w:rsid w:val="002514C1"/>
    <w:rsid w:val="00270B9A"/>
    <w:rsid w:val="002B0BA3"/>
    <w:rsid w:val="002E5684"/>
    <w:rsid w:val="0036196C"/>
    <w:rsid w:val="00395E8B"/>
    <w:rsid w:val="004C25EE"/>
    <w:rsid w:val="004E2BBD"/>
    <w:rsid w:val="005A4B57"/>
    <w:rsid w:val="005C7AD9"/>
    <w:rsid w:val="00650465"/>
    <w:rsid w:val="00711D82"/>
    <w:rsid w:val="008342EE"/>
    <w:rsid w:val="00853EC7"/>
    <w:rsid w:val="00927AD7"/>
    <w:rsid w:val="0093462A"/>
    <w:rsid w:val="00980D69"/>
    <w:rsid w:val="00A52D56"/>
    <w:rsid w:val="00A66A3A"/>
    <w:rsid w:val="00B00325"/>
    <w:rsid w:val="00C86310"/>
    <w:rsid w:val="00CC6D23"/>
    <w:rsid w:val="00CD30ED"/>
    <w:rsid w:val="00D06ECB"/>
    <w:rsid w:val="00D37B84"/>
    <w:rsid w:val="00DC39BF"/>
    <w:rsid w:val="00DD1954"/>
    <w:rsid w:val="00DD25CF"/>
    <w:rsid w:val="00DD7259"/>
    <w:rsid w:val="00E17F16"/>
    <w:rsid w:val="00F209A1"/>
    <w:rsid w:val="00FC53E6"/>
    <w:rsid w:val="00FF1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6F1C5"/>
  <w15:chartTrackingRefBased/>
  <w15:docId w15:val="{34DFAEF7-899C-417F-A4D2-583EC2EFD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C6D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C6D23"/>
    <w:rPr>
      <w:sz w:val="20"/>
      <w:szCs w:val="20"/>
    </w:rPr>
  </w:style>
  <w:style w:type="character" w:styleId="FootnoteReference">
    <w:name w:val="footnote reference"/>
    <w:basedOn w:val="DefaultParagraphFont"/>
    <w:uiPriority w:val="99"/>
    <w:semiHidden/>
    <w:unhideWhenUsed/>
    <w:rsid w:val="00CC6D23"/>
    <w:rPr>
      <w:vertAlign w:val="superscript"/>
    </w:rPr>
  </w:style>
  <w:style w:type="paragraph" w:styleId="ListParagraph">
    <w:name w:val="List Paragraph"/>
    <w:basedOn w:val="Normal"/>
    <w:uiPriority w:val="34"/>
    <w:qFormat/>
    <w:rsid w:val="00361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246248">
      <w:bodyDiv w:val="1"/>
      <w:marLeft w:val="0"/>
      <w:marRight w:val="0"/>
      <w:marTop w:val="0"/>
      <w:marBottom w:val="0"/>
      <w:divBdr>
        <w:top w:val="none" w:sz="0" w:space="0" w:color="auto"/>
        <w:left w:val="none" w:sz="0" w:space="0" w:color="auto"/>
        <w:bottom w:val="none" w:sz="0" w:space="0" w:color="auto"/>
        <w:right w:val="none" w:sz="0" w:space="0" w:color="auto"/>
      </w:divBdr>
    </w:div>
    <w:div w:id="63302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9F4F851-D69B-4744-B7BE-BFDF49706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3</Pages>
  <Words>1077</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 Whiteley-Bristow</dc:creator>
  <cp:keywords/>
  <dc:description/>
  <cp:lastModifiedBy>Felix Whiteley-Bristow</cp:lastModifiedBy>
  <cp:revision>31</cp:revision>
  <dcterms:created xsi:type="dcterms:W3CDTF">2020-06-12T09:42:00Z</dcterms:created>
  <dcterms:modified xsi:type="dcterms:W3CDTF">2020-06-12T15:04:00Z</dcterms:modified>
</cp:coreProperties>
</file>