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A546A" w:rsidP="1102D1F0" w:rsidRDefault="004A546A" w14:paraId="763F25E3" w14:textId="58FFC9FA">
      <w:pPr>
        <w:pStyle w:val="Normal"/>
        <w:bidi w:val="0"/>
        <w:spacing w:before="0" w:beforeAutospacing="off" w:after="160" w:afterAutospacing="off" w:line="259" w:lineRule="auto"/>
        <w:ind w:left="0" w:right="0"/>
        <w:jc w:val="left"/>
      </w:pPr>
      <w:r w:rsidR="7F86921A">
        <w:drawing>
          <wp:inline wp14:editId="1102D1F0" wp14:anchorId="6A7EA872">
            <wp:extent cx="6048375" cy="3181350"/>
            <wp:effectExtent l="0" t="0" r="0" b="0"/>
            <wp:docPr id="527224143" name="" title=""/>
            <wp:cNvGraphicFramePr>
              <a:graphicFrameLocks noChangeAspect="1"/>
            </wp:cNvGraphicFramePr>
            <a:graphic>
              <a:graphicData uri="http://schemas.openxmlformats.org/drawingml/2006/picture">
                <pic:pic>
                  <pic:nvPicPr>
                    <pic:cNvPr id="0" name=""/>
                    <pic:cNvPicPr/>
                  </pic:nvPicPr>
                  <pic:blipFill>
                    <a:blip r:embed="Rea5a2e4d6cfa496c">
                      <a:extLst>
                        <a:ext xmlns:a="http://schemas.openxmlformats.org/drawingml/2006/main" uri="{28A0092B-C50C-407E-A947-70E740481C1C}">
                          <a14:useLocalDpi val="0"/>
                        </a:ext>
                      </a:extLst>
                    </a:blip>
                    <a:stretch>
                      <a:fillRect/>
                    </a:stretch>
                  </pic:blipFill>
                  <pic:spPr>
                    <a:xfrm>
                      <a:off x="0" y="0"/>
                      <a:ext cx="6048375" cy="3181350"/>
                    </a:xfrm>
                    <a:prstGeom prst="rect">
                      <a:avLst/>
                    </a:prstGeom>
                  </pic:spPr>
                </pic:pic>
              </a:graphicData>
            </a:graphic>
          </wp:inline>
        </w:drawing>
      </w:r>
    </w:p>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004A546A" w:rsidP="1102D1F0" w:rsidRDefault="004A546A" w14:paraId="274FA324" w14:textId="0D1C7DE5">
          <w:pPr>
            <w:pStyle w:val="Normal"/>
          </w:pPr>
        </w:p>
        <w:p w:rsidR="001C59E2" w:rsidP="1102D1F0" w:rsidRDefault="001C59E2" w14:paraId="5A05FCFA" w14:textId="55CF53AC">
          <w:pPr>
            <w:rPr>
              <w:rFonts w:eastAsia="等线" w:eastAsiaTheme="minorEastAsia"/>
              <w:b w:val="1"/>
              <w:bCs w:val="1"/>
              <w:color w:val="2F5496" w:themeColor="accent1" w:themeTint="FF" w:themeShade="BF"/>
              <w:sz w:val="48"/>
              <w:szCs w:val="48"/>
              <w:lang w:val="en-US"/>
            </w:rPr>
          </w:pPr>
          <w:r w:rsidRPr="1102D1F0" w:rsidR="48C81BBE">
            <w:rPr>
              <w:rFonts w:eastAsia="等线" w:eastAsiaTheme="minorEastAsia"/>
              <w:b w:val="1"/>
              <w:bCs w:val="1"/>
              <w:color w:val="2F5496" w:themeColor="accent1" w:themeTint="FF" w:themeShade="BF"/>
              <w:sz w:val="48"/>
              <w:szCs w:val="48"/>
              <w:lang w:val="en-US"/>
            </w:rPr>
            <w:t xml:space="preserve">Evidence-based Approaches to Policing Decisions/ Evidence-based </w:t>
          </w:r>
          <w:r w:rsidRPr="1102D1F0" w:rsidR="48C81BBE">
            <w:rPr>
              <w:rFonts w:eastAsia="等线" w:eastAsiaTheme="minorEastAsia"/>
              <w:b w:val="1"/>
              <w:bCs w:val="1"/>
              <w:color w:val="2F5496" w:themeColor="accent1" w:themeTint="FF" w:themeShade="BF"/>
              <w:sz w:val="48"/>
              <w:szCs w:val="48"/>
              <w:lang w:val="en-US"/>
            </w:rPr>
            <w:t>Policing</w:t>
          </w:r>
          <w:r w:rsidRPr="1102D1F0" w:rsidR="48C81BBE">
            <w:rPr>
              <w:rFonts w:eastAsia="等线" w:eastAsiaTheme="minorEastAsia"/>
              <w:b w:val="1"/>
              <w:bCs w:val="1"/>
              <w:color w:val="2F5496" w:themeColor="accent1" w:themeTint="FF" w:themeShade="BF"/>
              <w:sz w:val="48"/>
              <w:szCs w:val="48"/>
              <w:lang w:val="en-US"/>
            </w:rPr>
            <w:t xml:space="preserve"> and Decision Making</w:t>
          </w:r>
        </w:p>
        <w:p w:rsidR="1102D1F0" w:rsidP="1102D1F0" w:rsidRDefault="1102D1F0" w14:paraId="17AE0221" w14:textId="3B38DBCA">
          <w:pPr>
            <w:pStyle w:val="Normal"/>
            <w:rPr>
              <w:rFonts w:eastAsia="等线" w:eastAsiaTheme="minorEastAsia"/>
              <w:color w:val="2F5496" w:themeColor="accent1" w:themeTint="FF" w:themeShade="BF"/>
              <w:sz w:val="36"/>
              <w:szCs w:val="36"/>
              <w:lang w:val="en-US"/>
            </w:rPr>
          </w:pPr>
        </w:p>
      </w:sdtContent>
    </w:sdt>
    <w:p w:rsidR="001C59E2" w:rsidP="001C59E2" w:rsidRDefault="001C59E2" w14:paraId="41E7E3B8" w14:textId="77777777"/>
    <w:p w:rsidR="001C59E2" w:rsidP="1102D1F0" w:rsidRDefault="001C59E2" w14:paraId="476123ED" w14:textId="17372A1B">
      <w:pPr>
        <w:pStyle w:val="Normal"/>
      </w:pPr>
      <w:r w:rsidR="4C21D8DD">
        <w:drawing>
          <wp:inline wp14:editId="11074CE5" wp14:anchorId="0DAF880C">
            <wp:extent cx="4371975" cy="1733550"/>
            <wp:effectExtent l="0" t="0" r="0" b="0"/>
            <wp:docPr id="1935433191" name="" title=""/>
            <wp:cNvGraphicFramePr>
              <a:graphicFrameLocks noChangeAspect="1"/>
            </wp:cNvGraphicFramePr>
            <a:graphic>
              <a:graphicData uri="http://schemas.openxmlformats.org/drawingml/2006/picture">
                <pic:pic>
                  <pic:nvPicPr>
                    <pic:cNvPr id="0" name=""/>
                    <pic:cNvPicPr/>
                  </pic:nvPicPr>
                  <pic:blipFill>
                    <a:blip r:embed="R7bc79a1347f04b53">
                      <a:extLst>
                        <a:ext xmlns:a="http://schemas.openxmlformats.org/drawingml/2006/main" uri="{28A0092B-C50C-407E-A947-70E740481C1C}">
                          <a14:useLocalDpi val="0"/>
                        </a:ext>
                      </a:extLst>
                    </a:blip>
                    <a:stretch>
                      <a:fillRect/>
                    </a:stretch>
                  </pic:blipFill>
                  <pic:spPr>
                    <a:xfrm>
                      <a:off x="0" y="0"/>
                      <a:ext cx="4371975" cy="1733550"/>
                    </a:xfrm>
                    <a:prstGeom prst="rect">
                      <a:avLst/>
                    </a:prstGeom>
                  </pic:spPr>
                </pic:pic>
              </a:graphicData>
            </a:graphic>
          </wp:inline>
        </w:drawing>
      </w:r>
    </w:p>
    <w:p w:rsidR="001C59E2" w:rsidP="1102D1F0" w:rsidRDefault="001C59E2" w14:paraId="4E1196CA" w14:textId="435941FD">
      <w:pPr>
        <w:pStyle w:val="Normal"/>
        <w:bidi w:val="0"/>
        <w:spacing w:before="0" w:beforeAutospacing="off" w:after="160" w:afterAutospacing="off" w:line="259" w:lineRule="auto"/>
        <w:ind w:left="0" w:right="0"/>
        <w:jc w:val="left"/>
      </w:pPr>
    </w:p>
    <w:p w:rsidR="001C59E2" w:rsidP="1102D1F0" w:rsidRDefault="001C59E2" w14:paraId="170DF7BE" w14:textId="3A1F04AA">
      <w:pPr>
        <w:pStyle w:val="Normal"/>
        <w:bidi w:val="0"/>
        <w:spacing w:before="0" w:beforeAutospacing="off" w:after="160" w:afterAutospacing="off" w:line="259" w:lineRule="auto"/>
        <w:ind w:left="0" w:right="0"/>
        <w:jc w:val="left"/>
        <w:rPr>
          <w:b w:val="1"/>
          <w:bCs w:val="1"/>
          <w:sz w:val="32"/>
          <w:szCs w:val="32"/>
        </w:rPr>
      </w:pPr>
      <w:r w:rsidRPr="1102D1F0" w:rsidR="1C069F35">
        <w:rPr>
          <w:b w:val="1"/>
          <w:bCs w:val="1"/>
          <w:sz w:val="32"/>
          <w:szCs w:val="32"/>
        </w:rPr>
        <w:t xml:space="preserve">BMPL4001/BMPS4008/BMCP4000 </w:t>
      </w:r>
    </w:p>
    <w:p w:rsidR="001C59E2" w:rsidP="1102D1F0" w:rsidRDefault="001C59E2" w14:paraId="0F9AC984" w14:textId="3CC1EAF8">
      <w:pPr>
        <w:pStyle w:val="Normal"/>
        <w:bidi w:val="0"/>
        <w:spacing w:before="0" w:beforeAutospacing="off" w:after="160" w:afterAutospacing="off" w:line="259" w:lineRule="auto"/>
        <w:ind w:left="0" w:right="0"/>
        <w:jc w:val="left"/>
      </w:pPr>
    </w:p>
    <w:p w:rsidR="001C59E2" w:rsidP="1102D1F0" w:rsidRDefault="001C59E2" w14:paraId="1E2B38B0" w14:textId="6FF31311">
      <w:pPr>
        <w:pStyle w:val="Normal"/>
        <w:bidi w:val="0"/>
        <w:spacing w:before="0" w:beforeAutospacing="off" w:after="160" w:afterAutospacing="off" w:line="259" w:lineRule="auto"/>
        <w:ind w:left="0" w:right="0"/>
        <w:jc w:val="left"/>
        <w:rPr>
          <w:b w:val="1"/>
          <w:bCs w:val="1"/>
          <w:sz w:val="32"/>
          <w:szCs w:val="32"/>
        </w:rPr>
      </w:pPr>
      <w:r w:rsidR="39FDF6FF">
        <w:rPr/>
        <w:t xml:space="preserve">                                                                            </w:t>
      </w:r>
      <w:r w:rsidRPr="1102D1F0" w:rsidR="1C069F35">
        <w:rPr>
          <w:b w:val="1"/>
          <w:bCs w:val="1"/>
          <w:sz w:val="32"/>
          <w:szCs w:val="32"/>
        </w:rPr>
        <w:t>Anna Sorea, student number 2242166</w:t>
      </w:r>
    </w:p>
    <w:p w:rsidR="001C59E2" w:rsidP="1102D1F0" w:rsidRDefault="001C59E2" w14:paraId="63C3A46C" w14:textId="7B8140EF">
      <w:pPr>
        <w:spacing w:after="160" w:afterAutospacing="off" w:line="257" w:lineRule="auto"/>
      </w:pPr>
      <w:r w:rsidRPr="1102D1F0" w:rsidR="7A385E8F">
        <w:rPr>
          <w:rFonts w:ascii="Calibri" w:hAnsi="Calibri" w:eastAsia="Calibri" w:cs="Calibri"/>
          <w:b w:val="1"/>
          <w:bCs w:val="1"/>
          <w:noProof w:val="0"/>
          <w:sz w:val="32"/>
          <w:szCs w:val="32"/>
          <w:lang w:val="en-GB"/>
        </w:rPr>
        <w:t>Explore and evaluate the use of body worn cameras in evidence-based policing.</w:t>
      </w:r>
    </w:p>
    <w:p w:rsidR="001C59E2" w:rsidP="1102D1F0" w:rsidRDefault="001C59E2" w14:paraId="25824DAE" w14:textId="72F77105">
      <w:pPr>
        <w:spacing w:after="160" w:afterAutospacing="off"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10698968" w14:textId="1DDF0F8D">
      <w:pPr>
        <w:spacing w:after="160" w:afterAutospacing="off" w:line="257" w:lineRule="auto"/>
      </w:pPr>
      <w:r w:rsidRPr="1102D1F0" w:rsidR="7A385E8F">
        <w:rPr>
          <w:rFonts w:ascii="Calibri" w:hAnsi="Calibri" w:eastAsia="Calibri" w:cs="Calibri"/>
          <w:b w:val="1"/>
          <w:bCs w:val="1"/>
          <w:noProof w:val="0"/>
          <w:sz w:val="22"/>
          <w:szCs w:val="22"/>
          <w:u w:val="single"/>
          <w:lang w:val="en-GB"/>
        </w:rPr>
        <w:t xml:space="preserve">Introduction </w:t>
      </w:r>
    </w:p>
    <w:p w:rsidR="001C59E2" w:rsidP="1102D1F0" w:rsidRDefault="001C59E2" w14:paraId="498D0BDF" w14:textId="5545F576">
      <w:pPr>
        <w:spacing w:after="160" w:afterAutospacing="off" w:line="257" w:lineRule="auto"/>
      </w:pPr>
      <w:r w:rsidRPr="1102D1F0" w:rsidR="7A385E8F">
        <w:rPr>
          <w:rFonts w:ascii="Calibri" w:hAnsi="Calibri" w:eastAsia="Calibri" w:cs="Calibri"/>
          <w:noProof w:val="0"/>
          <w:sz w:val="22"/>
          <w:szCs w:val="22"/>
          <w:lang w:val="en-GB"/>
        </w:rPr>
        <w:t xml:space="preserve">The first body worn cameras were used in the law enforcement sector in UK in 2005. Metropolitan Police has launched trials in the West of the UK that year and the first counties to use body worn cameras were Devon and Cornwall (DTS Solutions, 2022). The whole idea of the usage of BWCs (body worn cameras) was to improve justice system, improve case proceedings and their outcomes, </w:t>
      </w:r>
      <w:r w:rsidRPr="1102D1F0" w:rsidR="7A385E8F">
        <w:rPr>
          <w:rFonts w:ascii="Calibri" w:hAnsi="Calibri" w:eastAsia="Calibri" w:cs="Calibri"/>
          <w:noProof w:val="0"/>
          <w:sz w:val="22"/>
          <w:szCs w:val="22"/>
          <w:lang w:val="en-GB"/>
        </w:rPr>
        <w:t>provide</w:t>
      </w:r>
      <w:r w:rsidRPr="1102D1F0" w:rsidR="7A385E8F">
        <w:rPr>
          <w:rFonts w:ascii="Calibri" w:hAnsi="Calibri" w:eastAsia="Calibri" w:cs="Calibri"/>
          <w:noProof w:val="0"/>
          <w:sz w:val="22"/>
          <w:szCs w:val="22"/>
          <w:lang w:val="en-GB"/>
        </w:rPr>
        <w:t xml:space="preserve"> </w:t>
      </w:r>
      <w:r w:rsidRPr="1102D1F0" w:rsidR="7A385E8F">
        <w:rPr>
          <w:rFonts w:ascii="Calibri" w:hAnsi="Calibri" w:eastAsia="Calibri" w:cs="Calibri"/>
          <w:noProof w:val="0"/>
          <w:sz w:val="22"/>
          <w:szCs w:val="22"/>
          <w:lang w:val="en-GB"/>
        </w:rPr>
        <w:t>significant evidence</w:t>
      </w:r>
      <w:r w:rsidRPr="1102D1F0" w:rsidR="7A385E8F">
        <w:rPr>
          <w:rFonts w:ascii="Calibri" w:hAnsi="Calibri" w:eastAsia="Calibri" w:cs="Calibri"/>
          <w:noProof w:val="0"/>
          <w:sz w:val="22"/>
          <w:szCs w:val="22"/>
          <w:lang w:val="en-GB"/>
        </w:rPr>
        <w:t xml:space="preserve"> </w:t>
      </w:r>
      <w:r w:rsidRPr="1102D1F0" w:rsidR="7A385E8F">
        <w:rPr>
          <w:rFonts w:ascii="Calibri" w:hAnsi="Calibri" w:eastAsia="Calibri" w:cs="Calibri"/>
          <w:noProof w:val="0"/>
          <w:sz w:val="22"/>
          <w:szCs w:val="22"/>
          <w:lang w:val="en-GB"/>
        </w:rPr>
        <w:t>mainly in</w:t>
      </w:r>
      <w:r w:rsidRPr="1102D1F0" w:rsidR="7A385E8F">
        <w:rPr>
          <w:rFonts w:ascii="Calibri" w:hAnsi="Calibri" w:eastAsia="Calibri" w:cs="Calibri"/>
          <w:noProof w:val="0"/>
          <w:sz w:val="22"/>
          <w:szCs w:val="22"/>
          <w:lang w:val="en-GB"/>
        </w:rPr>
        <w:t xml:space="preserve"> criminal cases by using the footage captured. Many cases ended much quicker than predicted when offenders plead guilty upon finding out that there was video footage available as evidence (Fan, 2017; Goodall, 2007; White, 2014). On the other hand, using body worn cameras increases </w:t>
      </w:r>
      <w:r w:rsidRPr="1102D1F0" w:rsidR="7A385E8F">
        <w:rPr>
          <w:rFonts w:ascii="Calibri" w:hAnsi="Calibri" w:eastAsia="Calibri" w:cs="Calibri"/>
          <w:noProof w:val="0"/>
          <w:sz w:val="22"/>
          <w:szCs w:val="22"/>
          <w:lang w:val="en-GB"/>
        </w:rPr>
        <w:t>perception</w:t>
      </w:r>
      <w:r w:rsidRPr="1102D1F0" w:rsidR="7A385E8F">
        <w:rPr>
          <w:rFonts w:ascii="Calibri" w:hAnsi="Calibri" w:eastAsia="Calibri" w:cs="Calibri"/>
          <w:noProof w:val="0"/>
          <w:sz w:val="22"/>
          <w:szCs w:val="22"/>
          <w:lang w:val="en-GB"/>
        </w:rPr>
        <w:t xml:space="preserve"> of accountability, transparency and trust having police </w:t>
      </w:r>
      <w:r w:rsidRPr="1102D1F0" w:rsidR="7A385E8F">
        <w:rPr>
          <w:rFonts w:ascii="Calibri" w:hAnsi="Calibri" w:eastAsia="Calibri" w:cs="Calibri"/>
          <w:noProof w:val="0"/>
          <w:sz w:val="22"/>
          <w:szCs w:val="22"/>
          <w:lang w:val="en-GB"/>
        </w:rPr>
        <w:t>officers'</w:t>
      </w:r>
      <w:r w:rsidRPr="1102D1F0" w:rsidR="7A385E8F">
        <w:rPr>
          <w:rFonts w:ascii="Calibri" w:hAnsi="Calibri" w:eastAsia="Calibri" w:cs="Calibri"/>
          <w:noProof w:val="0"/>
          <w:sz w:val="22"/>
          <w:szCs w:val="22"/>
          <w:lang w:val="en-GB"/>
        </w:rPr>
        <w:t xml:space="preserve"> interventions being recorded. It can also address issues where more training in policing tactics and procedures is needed (Coudert et al., 2015; Hyland, 2018; Taylor, 2016).</w:t>
      </w:r>
    </w:p>
    <w:p w:rsidR="001C59E2" w:rsidP="1102D1F0" w:rsidRDefault="001C59E2" w14:paraId="19F21CD8" w14:textId="404B4FB8">
      <w:pPr>
        <w:spacing w:after="160" w:afterAutospacing="off" w:line="257" w:lineRule="auto"/>
      </w:pPr>
      <w:r w:rsidRPr="1102D1F0" w:rsidR="7A385E8F">
        <w:rPr>
          <w:rFonts w:ascii="Calibri" w:hAnsi="Calibri" w:eastAsia="Calibri" w:cs="Calibri"/>
          <w:noProof w:val="0"/>
          <w:sz w:val="22"/>
          <w:szCs w:val="22"/>
          <w:lang w:val="en-GB"/>
        </w:rPr>
        <w:t xml:space="preserve">No doubt that the modern-day policing has changed considerably and continues to be a rapidly developing area of technology usage (National Police Chiefs Council, 2022). As it was said by the DCC Jim Colwell, National Police Chiefs Council lead for BWV (body worn videos), police are committed to ensure the use of BWV remains lawful, proportionate, and justified (National Police Chiefs Council, 2022). It is very difficult to determine how many BWCs are now in circulation in United Kingdom, although assessment carried out by a privacy watchdog group estimated that over 70% of police forces have acquired cameras by 2019 and country is moving rapidly towards full adoption (Lum, Koper, Wilson, Stoltz, Goodier, Eggins, Higginson and Mazerolle, 2020). </w:t>
      </w:r>
    </w:p>
    <w:p w:rsidR="001C59E2" w:rsidP="1102D1F0" w:rsidRDefault="001C59E2" w14:paraId="2782BA73" w14:textId="113E0DC9">
      <w:pPr>
        <w:spacing w:after="160" w:afterAutospacing="off" w:line="257" w:lineRule="auto"/>
      </w:pPr>
      <w:r w:rsidRPr="1102D1F0" w:rsidR="7A385E8F">
        <w:rPr>
          <w:rFonts w:ascii="Calibri" w:hAnsi="Calibri" w:eastAsia="Calibri" w:cs="Calibri"/>
          <w:b w:val="1"/>
          <w:bCs w:val="1"/>
          <w:noProof w:val="0"/>
          <w:sz w:val="22"/>
          <w:szCs w:val="22"/>
          <w:u w:val="single"/>
          <w:lang w:val="en-GB"/>
        </w:rPr>
        <w:t>Main body</w:t>
      </w:r>
    </w:p>
    <w:p w:rsidR="001C59E2" w:rsidP="1102D1F0" w:rsidRDefault="001C59E2" w14:paraId="75679FE4" w14:textId="03F6A5BD">
      <w:pPr>
        <w:spacing w:after="160" w:afterAutospacing="off" w:line="257" w:lineRule="auto"/>
      </w:pPr>
      <w:r w:rsidRPr="1102D1F0" w:rsidR="7A385E8F">
        <w:rPr>
          <w:rFonts w:ascii="Calibri" w:hAnsi="Calibri" w:eastAsia="Calibri" w:cs="Calibri"/>
          <w:noProof w:val="0"/>
          <w:sz w:val="22"/>
          <w:szCs w:val="22"/>
          <w:lang w:val="en-GB"/>
        </w:rPr>
        <w:t xml:space="preserve">Usage of body worn cameras has changed massively over time and now they are an increasingly common sight on British streets. They are not limited to law enforcement only but are used widely in a variety of different police departments, forces worldwide and settings such as city councils, emergency services, private sector, education sector etc (DTS Solutions, 2022). For instance, secondary schools in England are slowly equipping teachers with body worn cameras to improve safeguarding, de-escalate incidents and deter pupils’ anti-social behaviour (MISBO, 2021). The main purpose of body worn cameras is to strengthen security and accountability. In education it helps students and staff to feel safer while at school premises. In policing it can reduce the risks of assaults, increases safety, and prevents crime and theft. </w:t>
      </w:r>
    </w:p>
    <w:p w:rsidR="001C59E2" w:rsidP="1102D1F0" w:rsidRDefault="001C59E2" w14:paraId="61E3E3F5" w14:textId="5BB6DECC">
      <w:pPr>
        <w:spacing w:after="160" w:afterAutospacing="off" w:line="257" w:lineRule="auto"/>
      </w:pPr>
      <w:r w:rsidRPr="1102D1F0" w:rsidR="7A385E8F">
        <w:rPr>
          <w:rFonts w:ascii="Calibri" w:hAnsi="Calibri" w:eastAsia="Calibri" w:cs="Calibri"/>
          <w:noProof w:val="0"/>
          <w:sz w:val="22"/>
          <w:szCs w:val="22"/>
          <w:lang w:val="en-GB"/>
        </w:rPr>
        <w:t>Cameras worn by the officers, attending all types of incidents, acts as an independent witness. Those which are investigating the footage see things from the officer’s perspective due to position of the camera, which is usually on the chest, attached to the officers’ uniform. Footage is recorded into internal storage device then at the end of each shift uploaded to a secure location so that it can be used as evidence at court or other legal proceedings (Metropolitan Police, 2023). Unless part of a specific operation, body worn cameras are incident specific, officers won’t record as part of normal patrolling. Cameras will be recording while police officers stop a vehicle, arrest people, search a property, performing stop and search, attend a critical incident, use force against someone or someone’s property. Usage of body worn cameras provides evidence in the investigation of an offence, provides transparency, and helps officers to submit a written reports of an encounter or incident. Officers will always inform people that they are being recorded. (Metropolitan Police, 2023). Police officers which are joining police forces and use BWCs at an early point of their career develop muscle memory and can greatly enhance the quality of recording when operational. Early introduction to BWCs allows for reflective learning of scenario-based training which helps officers in their professional development. Using operational recordings can help officers and forces develop (National Police Chiefs Council, 2022).</w:t>
      </w:r>
    </w:p>
    <w:p w:rsidR="001C59E2" w:rsidP="1102D1F0" w:rsidRDefault="001C59E2" w14:paraId="59CC3D93" w14:textId="3A800E77">
      <w:pPr>
        <w:spacing w:after="160" w:afterAutospacing="off" w:line="257" w:lineRule="auto"/>
      </w:pPr>
      <w:r w:rsidRPr="1102D1F0" w:rsidR="7A385E8F">
        <w:rPr>
          <w:rFonts w:ascii="Calibri" w:hAnsi="Calibri" w:eastAsia="Calibri" w:cs="Calibri"/>
          <w:noProof w:val="0"/>
          <w:color w:val="222222"/>
          <w:sz w:val="23"/>
          <w:szCs w:val="23"/>
          <w:lang w:val="en-GB"/>
        </w:rPr>
        <w:t xml:space="preserve">BWV (body worn video) was shown to reduce use of force incidents, crime rates for certain crime types and reduced court costs. Public response to body worn video cameras varied, as well as public opinion (Cubitt, Lesic, Myers and Corry, 2017). Usage of BWCs (body worn cameras) increases self-awareness while police interactions with members of the public are being recorded. Police officers know that they are being recorded so hypothetically this will deterrent effect of excessive use of force by the police officers and therefore exercise restraint. From a perspective of a member of the public, knowing that they are being recorded causes them to moderate their behaviour while dealing with the police and not exhibit socially unacceptable behaviour. Self-awareness theory as well as deterrence theory both have an impact by assisting with evidence gathering including key events such as officers’ memory retention, which is often affected by the experience of a traumatic event. </w:t>
      </w:r>
      <w:r w:rsidRPr="1102D1F0" w:rsidR="7A385E8F">
        <w:rPr>
          <w:rFonts w:ascii="Calibri" w:hAnsi="Calibri" w:eastAsia="Calibri" w:cs="Calibri"/>
          <w:noProof w:val="0"/>
          <w:color w:val="000000" w:themeColor="text1" w:themeTint="FF" w:themeShade="FF"/>
          <w:sz w:val="22"/>
          <w:szCs w:val="22"/>
          <w:lang w:val="en-GB"/>
        </w:rPr>
        <w:t>Also, BWC can provide officers with an additional level of information to assist recall when writing statements and giving evidence (College of Policing, 2023).</w:t>
      </w:r>
    </w:p>
    <w:p w:rsidR="001C59E2" w:rsidP="1102D1F0" w:rsidRDefault="001C59E2" w14:paraId="4AD94C3F" w14:textId="260B0145">
      <w:pPr>
        <w:spacing w:after="160" w:afterAutospacing="off" w:line="257" w:lineRule="auto"/>
      </w:pPr>
      <w:r w:rsidRPr="1102D1F0" w:rsidR="7A385E8F">
        <w:rPr>
          <w:rFonts w:ascii="Calibri" w:hAnsi="Calibri" w:eastAsia="Calibri" w:cs="Calibri"/>
          <w:noProof w:val="0"/>
          <w:color w:val="222222"/>
          <w:sz w:val="23"/>
          <w:szCs w:val="23"/>
          <w:lang w:val="en-GB"/>
        </w:rPr>
        <w:t>Police officers’ perceptions of body worn cameras regarding their attitude towards the convenience of BWC, positive introduction and ease of use and improvement of quality of evidence and documentation were generally reported as positive. Perceptions of the members of public regarding the usage of body worn cameras were also reported as improving (College of Policing, 2023).</w:t>
      </w:r>
    </w:p>
    <w:p w:rsidR="001C59E2" w:rsidP="1102D1F0" w:rsidRDefault="001C59E2" w14:paraId="6C8F67E7" w14:textId="21368BEF">
      <w:pPr>
        <w:spacing w:after="160" w:afterAutospacing="off" w:line="257" w:lineRule="auto"/>
      </w:pPr>
      <w:r w:rsidRPr="1102D1F0" w:rsidR="7A385E8F">
        <w:rPr>
          <w:rFonts w:ascii="Calibri" w:hAnsi="Calibri" w:eastAsia="Calibri" w:cs="Calibri"/>
          <w:noProof w:val="0"/>
          <w:sz w:val="22"/>
          <w:szCs w:val="22"/>
          <w:lang w:val="en-GB"/>
        </w:rPr>
        <w:t xml:space="preserve">Under the Code of Practice issued under part 2 of the Criminal Procedure and Investigations Act 1996, any police officer investigating alleged crimes has a duty to record and retain material which may be relevant to the investigation (Crown Prosecution Services, 2018). Officers are told to use common sense and sound judgement when using body worn video, in support of the principles of best evidence. Body worn video does not replace conventional forms of evidence gathering (such as written statements and Police and Criminal Evidence Act 1984 (PACE)interviews), it supports them. BWV assist in improving the professionalism of policing and provides a powerful tool for behavioural change and continuous improvement (National Police Chiefs Council, 2022). When complaint arises BWV may help in the investigation of complaints and disciplinary action by providing the record of any interaction to establish what happened and to provide a quick resolution. If for some reason officers’ actions are being questioned BWV provides greater transparency and allows officers to prove that they have followed the correct procedures. </w:t>
      </w:r>
    </w:p>
    <w:p w:rsidR="001C59E2" w:rsidP="1102D1F0" w:rsidRDefault="001C59E2" w14:paraId="61BC58C6" w14:textId="3A03B42D">
      <w:pPr>
        <w:spacing w:after="160" w:afterAutospacing="off" w:line="257" w:lineRule="auto"/>
      </w:pPr>
      <w:r w:rsidRPr="1102D1F0" w:rsidR="7A385E8F">
        <w:rPr>
          <w:rFonts w:ascii="Calibri" w:hAnsi="Calibri" w:eastAsia="Calibri" w:cs="Calibri"/>
          <w:noProof w:val="0"/>
          <w:sz w:val="22"/>
          <w:szCs w:val="22"/>
          <w:lang w:val="en-GB"/>
        </w:rPr>
        <w:t xml:space="preserve">As an example of a past case in the UK where body worn cameras were used as evidence in the court was the case of R v Din. In Birmingham town in year 2015, police officer Mohammed Qadeer was called to respond to a disturbance in a supermarket where Muhammad Din was behaving aggressively towards the staff and other store customers. PC Qadeer decided to start recording the incident using BWV camera when situation became out of control as Din started verbal abuse towards the officer and threatened the supermarket staff. The footage showed that Din had attacked PC Qadeer with a knife. When it came to court hearing the footage from BWV cameras was presented at the trial as evidence to support PC Qadeer’s version of the incident. Din was ultimately found guilty by the jury on several charges including possession of a knife and assault. In this case the evidence provided by BWV cameras was crucial in securing the conviction and led to a successful prosecution. The footage captured on BWV cameras provides critical visual evidence in courts. It also helps to corroborate the accounts of law enforcement officers and reassures a fair and accurate representation of events. </w:t>
      </w:r>
    </w:p>
    <w:p w:rsidR="001C59E2" w:rsidP="1102D1F0" w:rsidRDefault="001C59E2" w14:paraId="53921EE0" w14:textId="465BE5A4">
      <w:pPr>
        <w:spacing w:after="160" w:afterAutospacing="off" w:line="257" w:lineRule="auto"/>
      </w:pPr>
      <w:r w:rsidRPr="1102D1F0" w:rsidR="7A385E8F">
        <w:rPr>
          <w:rFonts w:ascii="Calibri" w:hAnsi="Calibri" w:eastAsia="Calibri" w:cs="Calibri"/>
          <w:noProof w:val="0"/>
          <w:sz w:val="22"/>
          <w:szCs w:val="22"/>
          <w:lang w:val="en-GB"/>
        </w:rPr>
        <w:t xml:space="preserve">Body worn video cameras are a good thing for everyone. The camera will help the police to do their job and serve public better. The camera will help people think twice before they do something wrong because they will know they are being recorded. The camera will help people who are the victims of crime. BWV cameras will make it harder for people to tell lies. BWV cameras protect police officers if someone decides to attack them (West Yorkshire Police, 2019). </w:t>
      </w:r>
      <w:r w:rsidRPr="1102D1F0" w:rsidR="7A385E8F">
        <w:rPr>
          <w:rFonts w:ascii="Calibri" w:hAnsi="Calibri" w:eastAsia="Calibri" w:cs="Calibri"/>
          <w:noProof w:val="0"/>
          <w:color w:val="000000" w:themeColor="text1" w:themeTint="FF" w:themeShade="FF"/>
          <w:sz w:val="22"/>
          <w:szCs w:val="22"/>
          <w:lang w:val="en-GB"/>
        </w:rPr>
        <w:t>In terms of non-crime outcomes usage of BWCs reduces complaints against police officers. In terms of mechanisms, it is assumed that by being recorded by the BWC causes a change in police officer and public behaviour (College of Policing, 2023).</w:t>
      </w:r>
    </w:p>
    <w:p w:rsidR="001C59E2" w:rsidP="1102D1F0" w:rsidRDefault="001C59E2" w14:paraId="0F5F7C98" w14:textId="6F9B3B26">
      <w:pPr>
        <w:spacing w:after="160" w:afterAutospacing="off" w:line="257" w:lineRule="auto"/>
      </w:pPr>
      <w:r w:rsidRPr="1102D1F0" w:rsidR="7A385E8F">
        <w:rPr>
          <w:rFonts w:ascii="Calibri" w:hAnsi="Calibri" w:eastAsia="Calibri" w:cs="Calibri"/>
          <w:noProof w:val="0"/>
          <w:sz w:val="22"/>
          <w:szCs w:val="22"/>
          <w:lang w:val="en-GB"/>
        </w:rPr>
        <w:t>In principle, the use of BWV is justifiable for preventing and detecting crime. BWV can collect valuable evidence which can be used in criminal prosecutions. BWV provides a record to promote integrity and confidence in policing as well as objective evidence of controversial events and interactions. BWV offers protection for the police and for citizens (National Police Chiefs Council, 2022).</w:t>
      </w:r>
    </w:p>
    <w:p w:rsidR="001C59E2" w:rsidP="1102D1F0" w:rsidRDefault="001C59E2" w14:paraId="237A12DF" w14:textId="0CB0D3A8">
      <w:pPr>
        <w:spacing w:after="160" w:afterAutospacing="off" w:line="257" w:lineRule="auto"/>
      </w:pPr>
      <w:r w:rsidRPr="1102D1F0" w:rsidR="7A385E8F">
        <w:rPr>
          <w:rFonts w:ascii="Calibri" w:hAnsi="Calibri" w:eastAsia="Calibri" w:cs="Calibri"/>
          <w:noProof w:val="0"/>
          <w:sz w:val="22"/>
          <w:szCs w:val="22"/>
          <w:lang w:val="en-GB"/>
        </w:rPr>
        <w:t xml:space="preserve">Law enforcement agencies, by rapid adoption of BWCs, expected that cameras will improve police conduct, accountability, and transparency mainly regarding police use of force. Police and community expressed privacy concerns and fears that BWCs might discourage citizens from reporting crimes, might cause officers to pull back on their duties. All those concerns and expectation regarding adoption of this costly technology have been met with significant levels of research and evaluation of the effects of BWCs in police industry. It is still unclear how and why BWCs reduces complaints against the police. It is still unclear whether police accountability and police-citizen relationship improved and strengthened by the rapid adoption of BWCs (Lum, Koper, Wilson, Stoltz, Goodier, Eggins, Higginson and Mazerolle, 2020). Lum et al. (2019), in his narrative review of empirical BWC research, argues that this technology has not had consistent effects on the behaviour of officers neither on the behaviour of citizens, for better or worse. Review suggests that both citizens and the police seem to believe that BWCs might be able to protect each from the other (Lum, Stoltz, Koper and Scherer, 2019). </w:t>
      </w:r>
    </w:p>
    <w:p w:rsidR="001C59E2" w:rsidP="1102D1F0" w:rsidRDefault="001C59E2" w14:paraId="4A4A6D5A" w14:textId="0655DE47">
      <w:pPr>
        <w:spacing w:after="160" w:afterAutospacing="off" w:line="257" w:lineRule="auto"/>
      </w:pPr>
      <w:r w:rsidRPr="1102D1F0" w:rsidR="7A385E8F">
        <w:rPr>
          <w:rFonts w:ascii="Calibri" w:hAnsi="Calibri" w:eastAsia="Calibri" w:cs="Calibri"/>
          <w:noProof w:val="0"/>
          <w:sz w:val="22"/>
          <w:szCs w:val="22"/>
          <w:lang w:val="en-GB"/>
        </w:rPr>
        <w:t xml:space="preserve">Compared to control charges the usage of BWCs has led to a significantly higher proportion of crimes against police officers which resulted in convictions and a significantly higher proportion of domestic violence charges. Researchers suggest that BWCs have significant evidentiary value that varies depending on crime type. Usage of BWCs might be best suited to capture evidence of crimes committed against police officers, to capture anti-social behaviour and domestic violence (Petersen, Mouro, Papy, Castillo and Ariel, 2021). </w:t>
      </w:r>
    </w:p>
    <w:p w:rsidR="001C59E2" w:rsidP="1102D1F0" w:rsidRDefault="001C59E2" w14:paraId="73053119" w14:textId="55B62690">
      <w:pPr>
        <w:spacing w:after="160" w:afterAutospacing="off" w:line="257" w:lineRule="auto"/>
      </w:pPr>
      <w:r w:rsidRPr="1102D1F0" w:rsidR="7A385E8F">
        <w:rPr>
          <w:rFonts w:ascii="Calibri" w:hAnsi="Calibri" w:eastAsia="Calibri" w:cs="Calibri"/>
          <w:noProof w:val="0"/>
          <w:sz w:val="22"/>
          <w:szCs w:val="22"/>
          <w:lang w:val="en-GB"/>
        </w:rPr>
        <w:t xml:space="preserve">Massive amount of money has been, and continue to be, spent on BWC implementation (Friedman, 2015; Goodison et al., 2018). In recent </w:t>
      </w:r>
      <w:r w:rsidRPr="1102D1F0" w:rsidR="7A385E8F">
        <w:rPr>
          <w:rFonts w:ascii="Calibri" w:hAnsi="Calibri" w:eastAsia="Calibri" w:cs="Calibri"/>
          <w:noProof w:val="0"/>
          <w:sz w:val="22"/>
          <w:szCs w:val="22"/>
          <w:lang w:val="en-GB"/>
        </w:rPr>
        <w:t>years</w:t>
      </w:r>
      <w:r w:rsidRPr="1102D1F0" w:rsidR="7A385E8F">
        <w:rPr>
          <w:rFonts w:ascii="Calibri" w:hAnsi="Calibri" w:eastAsia="Calibri" w:cs="Calibri"/>
          <w:noProof w:val="0"/>
          <w:sz w:val="22"/>
          <w:szCs w:val="22"/>
          <w:lang w:val="en-GB"/>
        </w:rPr>
        <w:t xml:space="preserve"> the research on the effects of BWCs has increased significantly and it has primarily concentrated on a small set of outcomes such as </w:t>
      </w:r>
      <w:r w:rsidRPr="1102D1F0" w:rsidR="3276AD5D">
        <w:rPr>
          <w:rFonts w:ascii="Calibri" w:hAnsi="Calibri" w:eastAsia="Calibri" w:cs="Calibri"/>
          <w:noProof w:val="0"/>
          <w:sz w:val="22"/>
          <w:szCs w:val="22"/>
          <w:lang w:val="en-GB"/>
        </w:rPr>
        <w:t>citizens'</w:t>
      </w:r>
      <w:r w:rsidRPr="1102D1F0" w:rsidR="7A385E8F">
        <w:rPr>
          <w:rFonts w:ascii="Calibri" w:hAnsi="Calibri" w:eastAsia="Calibri" w:cs="Calibri"/>
          <w:noProof w:val="0"/>
          <w:sz w:val="22"/>
          <w:szCs w:val="22"/>
          <w:lang w:val="en-GB"/>
        </w:rPr>
        <w:t xml:space="preserve"> complaints and use of force (Ariel et al., 2015; Ariel et al., 2017; Jennings et al., 2015; Maskaly et al., 2017; White &amp; Malm, 2020). BWCs have potential to implicate and exonerate (White et al., 2019, p. 9). </w:t>
      </w:r>
    </w:p>
    <w:p w:rsidR="001C59E2" w:rsidP="1102D1F0" w:rsidRDefault="001C59E2" w14:paraId="36ED2BDB" w14:textId="7F458A6F">
      <w:pPr>
        <w:spacing w:after="160" w:afterAutospacing="off" w:line="257" w:lineRule="auto"/>
      </w:pPr>
      <w:r w:rsidRPr="1102D1F0" w:rsidR="7A385E8F">
        <w:rPr>
          <w:rFonts w:ascii="Calibri" w:hAnsi="Calibri" w:eastAsia="Calibri" w:cs="Calibri"/>
          <w:b w:val="1"/>
          <w:bCs w:val="1"/>
          <w:strike w:val="0"/>
          <w:dstrike w:val="0"/>
          <w:noProof w:val="0"/>
          <w:sz w:val="22"/>
          <w:szCs w:val="22"/>
          <w:u w:val="none"/>
          <w:lang w:val="en-GB"/>
        </w:rPr>
        <w:t xml:space="preserve"> </w:t>
      </w:r>
    </w:p>
    <w:p w:rsidR="001C59E2" w:rsidP="1102D1F0" w:rsidRDefault="001C59E2" w14:paraId="31DDB63B" w14:textId="353F5A02">
      <w:pPr>
        <w:spacing w:after="160" w:afterAutospacing="off" w:line="257" w:lineRule="auto"/>
      </w:pPr>
      <w:r w:rsidRPr="1102D1F0" w:rsidR="7A385E8F">
        <w:rPr>
          <w:rFonts w:ascii="Calibri" w:hAnsi="Calibri" w:eastAsia="Calibri" w:cs="Calibri"/>
          <w:b w:val="1"/>
          <w:bCs w:val="1"/>
          <w:strike w:val="0"/>
          <w:dstrike w:val="0"/>
          <w:noProof w:val="0"/>
          <w:sz w:val="22"/>
          <w:szCs w:val="22"/>
          <w:u w:val="none"/>
          <w:lang w:val="en-GB"/>
        </w:rPr>
        <w:t xml:space="preserve"> </w:t>
      </w:r>
    </w:p>
    <w:p w:rsidR="001C59E2" w:rsidP="1102D1F0" w:rsidRDefault="001C59E2" w14:paraId="7E3F695C" w14:textId="683C48DE">
      <w:pPr>
        <w:spacing w:after="160" w:afterAutospacing="off" w:line="257" w:lineRule="auto"/>
      </w:pPr>
      <w:r w:rsidRPr="1102D1F0" w:rsidR="7A385E8F">
        <w:rPr>
          <w:rFonts w:ascii="Calibri" w:hAnsi="Calibri" w:eastAsia="Calibri" w:cs="Calibri"/>
          <w:b w:val="1"/>
          <w:bCs w:val="1"/>
          <w:strike w:val="0"/>
          <w:dstrike w:val="0"/>
          <w:noProof w:val="0"/>
          <w:sz w:val="22"/>
          <w:szCs w:val="22"/>
          <w:u w:val="none"/>
          <w:lang w:val="en-GB"/>
        </w:rPr>
        <w:t xml:space="preserve"> </w:t>
      </w:r>
    </w:p>
    <w:p w:rsidR="001C59E2" w:rsidP="1102D1F0" w:rsidRDefault="001C59E2" w14:paraId="64B28F7D" w14:textId="5AA9D34B">
      <w:pPr>
        <w:spacing w:after="160" w:afterAutospacing="off" w:line="257" w:lineRule="auto"/>
      </w:pPr>
      <w:r w:rsidRPr="1102D1F0" w:rsidR="7A385E8F">
        <w:rPr>
          <w:rFonts w:ascii="Calibri" w:hAnsi="Calibri" w:eastAsia="Calibri" w:cs="Calibri"/>
          <w:b w:val="1"/>
          <w:bCs w:val="1"/>
          <w:noProof w:val="0"/>
          <w:sz w:val="22"/>
          <w:szCs w:val="22"/>
          <w:u w:val="single"/>
          <w:lang w:val="en-GB"/>
        </w:rPr>
        <w:t xml:space="preserve">Conclusion </w:t>
      </w:r>
    </w:p>
    <w:p w:rsidR="001C59E2" w:rsidP="1102D1F0" w:rsidRDefault="001C59E2" w14:paraId="237A5745" w14:textId="00F8BA72">
      <w:pPr>
        <w:spacing w:after="160" w:afterAutospacing="off" w:line="257" w:lineRule="auto"/>
      </w:pPr>
      <w:r w:rsidRPr="1102D1F0" w:rsidR="7A385E8F">
        <w:rPr>
          <w:rFonts w:ascii="Calibri" w:hAnsi="Calibri" w:eastAsia="Calibri" w:cs="Calibri"/>
          <w:noProof w:val="0"/>
          <w:sz w:val="22"/>
          <w:szCs w:val="22"/>
          <w:lang w:val="en-GB"/>
        </w:rPr>
        <w:t xml:space="preserve">Since the early stages of the BWC movement its potential to provide evidence has been cited by many researchers and practitioners (Goodall, 2007; Merola et al., 2016; White, 2014). Research regarding the impact of BWC on court-related outcomes as of today has been limited and inconclusive (Petersen, Mouro, Papy, Castillo and Ariel, 2021). According to Owen et al. (2014) and Morrow et al. (2016) domestic violence incidents attended by officers wearing BWCs were found with increased criminal justice outcomes such as prosecutions, plea agreements, guilty verdicts and charges filed. Goodall (2007) argued that there is an increased proportion of criminal incidents leading to arrest following BWCs implementation (Goodall, 2007). When BWC video was used the criminal cases were more likely to be disposed of via early guilty plea (ODS Consulting, 2011). </w:t>
      </w:r>
    </w:p>
    <w:p w:rsidR="001C59E2" w:rsidP="1102D1F0" w:rsidRDefault="001C59E2" w14:paraId="6EB51AE5" w14:textId="7FC624FB">
      <w:pPr>
        <w:spacing w:after="160" w:afterAutospacing="off" w:line="257" w:lineRule="auto"/>
      </w:pPr>
      <w:r w:rsidRPr="1102D1F0" w:rsidR="7A385E8F">
        <w:rPr>
          <w:rFonts w:ascii="Calibri" w:hAnsi="Calibri" w:eastAsia="Calibri" w:cs="Calibri"/>
          <w:noProof w:val="0"/>
          <w:sz w:val="22"/>
          <w:szCs w:val="22"/>
          <w:lang w:val="en-GB"/>
        </w:rPr>
        <w:t>The release of the Government response to the ‘Inclusive Britain Action Plan Response to the Commission on Race and Ethnic Disparities Report 2022 (CRED) Action 12 states: “</w:t>
      </w:r>
      <w:r w:rsidRPr="1102D1F0" w:rsidR="7A385E8F">
        <w:rPr>
          <w:rFonts w:ascii="Calibri" w:hAnsi="Calibri" w:eastAsia="Calibri" w:cs="Calibri"/>
          <w:i w:val="1"/>
          <w:iCs w:val="1"/>
          <w:noProof w:val="0"/>
          <w:sz w:val="22"/>
          <w:szCs w:val="22"/>
          <w:lang w:val="en-GB"/>
        </w:rPr>
        <w:t>Body worn video (BWV) is a vital tool for policing. BWV protects the public by allowing interactions to be recorded and reviewed, ensuring powers are used correctly and protecting officers from spurious claims of mistreating the public.”</w:t>
      </w:r>
      <w:r w:rsidRPr="1102D1F0" w:rsidR="7A385E8F">
        <w:rPr>
          <w:rFonts w:ascii="Calibri" w:hAnsi="Calibri" w:eastAsia="Calibri" w:cs="Calibri"/>
          <w:noProof w:val="0"/>
          <w:sz w:val="22"/>
          <w:szCs w:val="22"/>
          <w:lang w:val="en-GB"/>
        </w:rPr>
        <w:t xml:space="preserve"> (National Police Chiefs Council, 2022). </w:t>
      </w:r>
    </w:p>
    <w:p w:rsidR="001C59E2" w:rsidP="1102D1F0" w:rsidRDefault="001C59E2" w14:paraId="59615499" w14:textId="57C13C40">
      <w:pPr>
        <w:spacing w:after="160" w:afterAutospacing="off"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6F6C77CF" w14:textId="5134F9B4">
      <w:pPr>
        <w:spacing w:after="160" w:afterAutospacing="off"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4E346DBA" w14:textId="4327642D">
      <w:pPr>
        <w:spacing w:line="257" w:lineRule="auto"/>
      </w:pPr>
      <w:r w:rsidRPr="1102D1F0" w:rsidR="7A385E8F">
        <w:rPr>
          <w:rFonts w:ascii="Calibri" w:hAnsi="Calibri" w:eastAsia="Calibri" w:cs="Calibri"/>
          <w:b w:val="1"/>
          <w:bCs w:val="1"/>
          <w:noProof w:val="0"/>
          <w:sz w:val="22"/>
          <w:szCs w:val="22"/>
          <w:u w:val="single"/>
          <w:lang w:val="en-GB"/>
        </w:rPr>
        <w:t xml:space="preserve">Reference list: </w:t>
      </w:r>
    </w:p>
    <w:p w:rsidR="001C59E2" w:rsidP="1102D1F0" w:rsidRDefault="001C59E2" w14:paraId="25F61D5C" w14:textId="53683BCF">
      <w:pPr>
        <w:spacing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77211613" w14:textId="403C1E28">
      <w:pPr>
        <w:pStyle w:val="ListParagraph"/>
        <w:numPr>
          <w:ilvl w:val="0"/>
          <w:numId w:val="7"/>
        </w:numPr>
        <w:spacing w:before="0" w:beforeAutospacing="off" w:after="0" w:afterAutospacing="off"/>
        <w:rPr>
          <w:rFonts w:ascii="Georgia" w:hAnsi="Georgia" w:eastAsia="Georgia" w:cs="Georgia"/>
          <w:noProof w:val="0"/>
          <w:color w:val="333333"/>
          <w:sz w:val="27"/>
          <w:szCs w:val="27"/>
          <w:lang w:val="en-GB"/>
        </w:rPr>
      </w:pPr>
      <w:r w:rsidRPr="1102D1F0" w:rsidR="7A385E8F">
        <w:rPr>
          <w:rFonts w:ascii="Calibri" w:hAnsi="Calibri" w:eastAsia="Calibri" w:cs="Calibri"/>
          <w:noProof w:val="0"/>
          <w:color w:val="333333"/>
          <w:sz w:val="22"/>
          <w:szCs w:val="22"/>
          <w:lang w:val="en-GB"/>
        </w:rPr>
        <w:t xml:space="preserve">Ariel, B., Farrar, W. A., &amp; Sutherland, A., 2015. The effect of police body-worn cameras on use of force and citizens’ complaints against the police: A randomized controlled trial. </w:t>
      </w:r>
      <w:r w:rsidRPr="1102D1F0" w:rsidR="7A385E8F">
        <w:rPr>
          <w:rFonts w:ascii="Calibri" w:hAnsi="Calibri" w:eastAsia="Calibri" w:cs="Calibri"/>
          <w:i w:val="1"/>
          <w:iCs w:val="1"/>
          <w:noProof w:val="0"/>
          <w:color w:val="333333"/>
          <w:sz w:val="22"/>
          <w:szCs w:val="22"/>
          <w:lang w:val="en-GB"/>
        </w:rPr>
        <w:t>Journal of Quantitative Criminology, 31</w:t>
      </w:r>
      <w:r w:rsidRPr="1102D1F0" w:rsidR="7A385E8F">
        <w:rPr>
          <w:rFonts w:ascii="Calibri" w:hAnsi="Calibri" w:eastAsia="Calibri" w:cs="Calibri"/>
          <w:noProof w:val="0"/>
          <w:color w:val="333333"/>
          <w:sz w:val="22"/>
          <w:szCs w:val="22"/>
          <w:lang w:val="en-GB"/>
        </w:rPr>
        <w:t xml:space="preserve">(3), pp.509–535. </w:t>
      </w:r>
      <w:hyperlink r:id="Ra17de466d4c74825">
        <w:r w:rsidRPr="1102D1F0" w:rsidR="7A385E8F">
          <w:rPr>
            <w:rStyle w:val="Hyperlink"/>
            <w:rFonts w:ascii="Calibri" w:hAnsi="Calibri" w:eastAsia="Calibri" w:cs="Calibri"/>
            <w:noProof w:val="0"/>
            <w:sz w:val="22"/>
            <w:szCs w:val="22"/>
            <w:lang w:val="en-GB"/>
          </w:rPr>
          <w:t>https://doi.org/10.1007/s10940-014-9236-3</w:t>
        </w:r>
      </w:hyperlink>
      <w:r w:rsidRPr="1102D1F0" w:rsidR="7A385E8F">
        <w:rPr>
          <w:rFonts w:ascii="Georgia" w:hAnsi="Georgia" w:eastAsia="Georgia" w:cs="Georgia"/>
          <w:noProof w:val="0"/>
          <w:color w:val="333333"/>
          <w:sz w:val="27"/>
          <w:szCs w:val="27"/>
          <w:lang w:val="en-GB"/>
        </w:rPr>
        <w:t xml:space="preserve">. </w:t>
      </w:r>
    </w:p>
    <w:p w:rsidR="001C59E2" w:rsidP="1102D1F0" w:rsidRDefault="001C59E2" w14:paraId="04B04B5C" w14:textId="5D385953">
      <w:pPr>
        <w:pStyle w:val="ListParagraph"/>
        <w:numPr>
          <w:ilvl w:val="0"/>
          <w:numId w:val="7"/>
        </w:numPr>
        <w:spacing w:before="0" w:beforeAutospacing="off" w:after="0" w:afterAutospacing="off"/>
        <w:rPr>
          <w:rFonts w:ascii="Georgia" w:hAnsi="Georgia" w:eastAsia="Georgia" w:cs="Georgia"/>
          <w:noProof w:val="0"/>
          <w:color w:val="333333"/>
          <w:sz w:val="27"/>
          <w:szCs w:val="27"/>
          <w:lang w:val="en-GB"/>
        </w:rPr>
      </w:pPr>
      <w:r w:rsidRPr="1102D1F0" w:rsidR="7A385E8F">
        <w:rPr>
          <w:rFonts w:ascii="Calibri" w:hAnsi="Calibri" w:eastAsia="Calibri" w:cs="Calibri"/>
          <w:noProof w:val="0"/>
          <w:color w:val="333333"/>
          <w:sz w:val="22"/>
          <w:szCs w:val="22"/>
          <w:lang w:val="en-GB"/>
        </w:rPr>
        <w:t xml:space="preserve">Ariel, B., Sutherland, A., Henstock, D., Young, J., Drover, P., Sykes, J., et al., 2017. “Contagious accountability” a global multisite randomized controlled trial on the effect of police body-worn cameras on citizens’ complaints against the police. </w:t>
      </w:r>
      <w:r w:rsidRPr="1102D1F0" w:rsidR="7A385E8F">
        <w:rPr>
          <w:rFonts w:ascii="Calibri" w:hAnsi="Calibri" w:eastAsia="Calibri" w:cs="Calibri"/>
          <w:i w:val="1"/>
          <w:iCs w:val="1"/>
          <w:noProof w:val="0"/>
          <w:color w:val="333333"/>
          <w:sz w:val="22"/>
          <w:szCs w:val="22"/>
          <w:lang w:val="en-GB"/>
        </w:rPr>
        <w:t>Criminal Justice and Behaviour, 44</w:t>
      </w:r>
      <w:r w:rsidRPr="1102D1F0" w:rsidR="7A385E8F">
        <w:rPr>
          <w:rFonts w:ascii="Calibri" w:hAnsi="Calibri" w:eastAsia="Calibri" w:cs="Calibri"/>
          <w:noProof w:val="0"/>
          <w:color w:val="333333"/>
          <w:sz w:val="22"/>
          <w:szCs w:val="22"/>
          <w:lang w:val="en-GB"/>
        </w:rPr>
        <w:t xml:space="preserve">(2), pp. 293-316. </w:t>
      </w:r>
      <w:hyperlink r:id="R87817165db5141d7">
        <w:r w:rsidRPr="1102D1F0" w:rsidR="7A385E8F">
          <w:rPr>
            <w:rStyle w:val="Hyperlink"/>
            <w:rFonts w:ascii="Calibri" w:hAnsi="Calibri" w:eastAsia="Calibri" w:cs="Calibri"/>
            <w:noProof w:val="0"/>
            <w:sz w:val="22"/>
            <w:szCs w:val="22"/>
            <w:lang w:val="en-GB"/>
          </w:rPr>
          <w:t>https://doi.org/10.1177/0093854816668218</w:t>
        </w:r>
      </w:hyperlink>
      <w:r w:rsidRPr="1102D1F0" w:rsidR="7A385E8F">
        <w:rPr>
          <w:rFonts w:ascii="Georgia" w:hAnsi="Georgia" w:eastAsia="Georgia" w:cs="Georgia"/>
          <w:noProof w:val="0"/>
          <w:color w:val="333333"/>
          <w:sz w:val="27"/>
          <w:szCs w:val="27"/>
          <w:lang w:val="en-GB"/>
        </w:rPr>
        <w:t xml:space="preserve">. </w:t>
      </w:r>
    </w:p>
    <w:p w:rsidR="001C59E2" w:rsidP="1102D1F0" w:rsidRDefault="001C59E2" w14:paraId="613708B4" w14:textId="4E415325">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College of Policing, 2021, Crime reduction tools. </w:t>
      </w:r>
      <w:hyperlink r:id="Rb1b56bc1d7de4367">
        <w:r w:rsidRPr="1102D1F0" w:rsidR="7A385E8F">
          <w:rPr>
            <w:rStyle w:val="Hyperlink"/>
            <w:rFonts w:ascii="Calibri" w:hAnsi="Calibri" w:eastAsia="Calibri" w:cs="Calibri"/>
            <w:noProof w:val="0"/>
            <w:sz w:val="22"/>
            <w:szCs w:val="22"/>
            <w:lang w:val="en-GB"/>
          </w:rPr>
          <w:t>Body-worn cameras | College of Policing</w:t>
        </w:r>
      </w:hyperlink>
      <w:r w:rsidRPr="1102D1F0" w:rsidR="7A385E8F">
        <w:rPr>
          <w:rFonts w:ascii="Calibri" w:hAnsi="Calibri" w:eastAsia="Calibri" w:cs="Calibri"/>
          <w:noProof w:val="0"/>
          <w:sz w:val="22"/>
          <w:szCs w:val="22"/>
          <w:lang w:val="en-GB"/>
        </w:rPr>
        <w:t xml:space="preserve"> </w:t>
      </w:r>
    </w:p>
    <w:p w:rsidR="001C59E2" w:rsidP="1102D1F0" w:rsidRDefault="001C59E2" w14:paraId="4E984758" w14:textId="64426D2E">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Coudert, F., Butin, D., &amp; Le Métayer, D., 2015. Body-worn cameras for police accountability: Opportunities and risks. </w:t>
      </w:r>
      <w:r w:rsidRPr="1102D1F0" w:rsidR="7A385E8F">
        <w:rPr>
          <w:rFonts w:ascii="Calibri" w:hAnsi="Calibri" w:eastAsia="Calibri" w:cs="Calibri"/>
          <w:i w:val="1"/>
          <w:iCs w:val="1"/>
          <w:noProof w:val="0"/>
          <w:color w:val="333333"/>
          <w:sz w:val="22"/>
          <w:szCs w:val="22"/>
          <w:lang w:val="en-GB"/>
        </w:rPr>
        <w:t>Computer Law and Security Review, 31</w:t>
      </w:r>
      <w:r w:rsidRPr="1102D1F0" w:rsidR="7A385E8F">
        <w:rPr>
          <w:rFonts w:ascii="Calibri" w:hAnsi="Calibri" w:eastAsia="Calibri" w:cs="Calibri"/>
          <w:noProof w:val="0"/>
          <w:color w:val="333333"/>
          <w:sz w:val="22"/>
          <w:szCs w:val="22"/>
          <w:lang w:val="en-GB"/>
        </w:rPr>
        <w:t xml:space="preserve">(6), pp. 749–762. </w:t>
      </w:r>
    </w:p>
    <w:p w:rsidR="001C59E2" w:rsidP="1102D1F0" w:rsidRDefault="001C59E2" w14:paraId="7637DF61" w14:textId="56DEC8A8">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Crown Prosecution Service, 2018, Exhibits. </w:t>
      </w:r>
      <w:hyperlink r:id="Rea7cafd40ae34ef9">
        <w:r w:rsidRPr="1102D1F0" w:rsidR="7A385E8F">
          <w:rPr>
            <w:rStyle w:val="Hyperlink"/>
            <w:rFonts w:ascii="Calibri" w:hAnsi="Calibri" w:eastAsia="Calibri" w:cs="Calibri"/>
            <w:noProof w:val="0"/>
            <w:sz w:val="22"/>
            <w:szCs w:val="22"/>
            <w:lang w:val="en-GB"/>
          </w:rPr>
          <w:t>https://www.cps.gov.uk/legal-guidance/exhibits</w:t>
        </w:r>
      </w:hyperlink>
      <w:r w:rsidRPr="1102D1F0" w:rsidR="7A385E8F">
        <w:rPr>
          <w:rFonts w:ascii="Calibri" w:hAnsi="Calibri" w:eastAsia="Calibri" w:cs="Calibri"/>
          <w:noProof w:val="0"/>
          <w:sz w:val="22"/>
          <w:szCs w:val="22"/>
          <w:lang w:val="en-GB"/>
        </w:rPr>
        <w:t xml:space="preserve"> </w:t>
      </w:r>
    </w:p>
    <w:p w:rsidR="001C59E2" w:rsidP="1102D1F0" w:rsidRDefault="001C59E2" w14:paraId="137D5EAE" w14:textId="38D348AF">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Cubitt, T.I., Lesic, R., Myers, G.L. and Corry, R., 2017. Body-worn video: A systematic review of literature. </w:t>
      </w:r>
      <w:r w:rsidRPr="1102D1F0" w:rsidR="7A385E8F">
        <w:rPr>
          <w:rFonts w:ascii="Calibri" w:hAnsi="Calibri" w:eastAsia="Calibri" w:cs="Calibri"/>
          <w:i w:val="1"/>
          <w:iCs w:val="1"/>
          <w:noProof w:val="0"/>
          <w:sz w:val="22"/>
          <w:szCs w:val="22"/>
          <w:lang w:val="en-GB"/>
        </w:rPr>
        <w:t>Australian &amp; New Zealand</w:t>
      </w:r>
      <w:r w:rsidRPr="1102D1F0" w:rsidR="7A385E8F">
        <w:rPr>
          <w:rFonts w:ascii="Calibri" w:hAnsi="Calibri" w:eastAsia="Calibri" w:cs="Calibri"/>
          <w:i w:val="1"/>
          <w:iCs w:val="1"/>
          <w:noProof w:val="0"/>
          <w:sz w:val="22"/>
          <w:szCs w:val="22"/>
          <w:lang w:val="en-GB"/>
        </w:rPr>
        <w:t xml:space="preserve">  </w:t>
      </w:r>
      <w:r w:rsidRPr="1102D1F0" w:rsidR="7A385E8F">
        <w:rPr>
          <w:rFonts w:ascii="Calibri" w:hAnsi="Calibri" w:eastAsia="Calibri" w:cs="Calibri"/>
          <w:i w:val="1"/>
          <w:iCs w:val="1"/>
          <w:noProof w:val="0"/>
          <w:sz w:val="22"/>
          <w:szCs w:val="22"/>
          <w:lang w:val="en-GB"/>
        </w:rPr>
        <w:t>journal of criminology</w:t>
      </w:r>
      <w:r w:rsidRPr="1102D1F0" w:rsidR="7A385E8F">
        <w:rPr>
          <w:rFonts w:ascii="Calibri" w:hAnsi="Calibri" w:eastAsia="Calibri" w:cs="Calibri"/>
          <w:noProof w:val="0"/>
          <w:sz w:val="22"/>
          <w:szCs w:val="22"/>
          <w:lang w:val="en-GB"/>
        </w:rPr>
        <w:t xml:space="preserve">, 50(3), pp.379-396. </w:t>
      </w:r>
    </w:p>
    <w:p w:rsidR="001C59E2" w:rsidP="1102D1F0" w:rsidRDefault="001C59E2" w14:paraId="48063A27" w14:textId="2BBF6CDC">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DTS Solutions, 2022. When were body worn cameras first introduced, </w:t>
      </w:r>
      <w:hyperlink r:id="Reaf15ea6881a4a94">
        <w:r w:rsidRPr="1102D1F0" w:rsidR="7A385E8F">
          <w:rPr>
            <w:rStyle w:val="Hyperlink"/>
            <w:rFonts w:ascii="Calibri" w:hAnsi="Calibri" w:eastAsia="Calibri" w:cs="Calibri"/>
            <w:noProof w:val="0"/>
            <w:sz w:val="22"/>
            <w:szCs w:val="22"/>
            <w:lang w:val="en-GB"/>
          </w:rPr>
          <w:t>www.dtssolutions</w:t>
        </w:r>
      </w:hyperlink>
      <w:r w:rsidRPr="1102D1F0" w:rsidR="7A385E8F">
        <w:rPr>
          <w:rFonts w:ascii="Calibri" w:hAnsi="Calibri" w:eastAsia="Calibri" w:cs="Calibri"/>
          <w:noProof w:val="0"/>
          <w:sz w:val="22"/>
          <w:szCs w:val="22"/>
          <w:lang w:val="en-GB"/>
        </w:rPr>
        <w:t xml:space="preserve">, blog </w:t>
      </w:r>
    </w:p>
    <w:p w:rsidR="001C59E2" w:rsidP="1102D1F0" w:rsidRDefault="001C59E2" w14:paraId="67FC84C4" w14:textId="3F98F4C8">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Fan, M.D., 2017. Justice visualized: Courts and the body camera revolution. </w:t>
      </w:r>
      <w:r w:rsidRPr="1102D1F0" w:rsidR="7A385E8F">
        <w:rPr>
          <w:rFonts w:ascii="Calibri" w:hAnsi="Calibri" w:eastAsia="Calibri" w:cs="Calibri"/>
          <w:i w:val="1"/>
          <w:iCs w:val="1"/>
          <w:noProof w:val="0"/>
          <w:color w:val="333333"/>
          <w:sz w:val="22"/>
          <w:szCs w:val="22"/>
          <w:lang w:val="en-GB"/>
        </w:rPr>
        <w:t>UCDL Review, 50</w:t>
      </w:r>
      <w:r w:rsidRPr="1102D1F0" w:rsidR="7A385E8F">
        <w:rPr>
          <w:rFonts w:ascii="Calibri" w:hAnsi="Calibri" w:eastAsia="Calibri" w:cs="Calibri"/>
          <w:noProof w:val="0"/>
          <w:color w:val="333333"/>
          <w:sz w:val="22"/>
          <w:szCs w:val="22"/>
          <w:lang w:val="en-GB"/>
        </w:rPr>
        <w:t xml:space="preserve">: 897. </w:t>
      </w:r>
    </w:p>
    <w:p w:rsidR="001C59E2" w:rsidP="1102D1F0" w:rsidRDefault="001C59E2" w14:paraId="729F5249" w14:textId="4AA63643">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color w:val="333333"/>
          <w:sz w:val="22"/>
          <w:szCs w:val="22"/>
          <w:lang w:val="en-GB"/>
        </w:rPr>
        <w:t xml:space="preserve">Friedman, U., 2015. Do police body cameras actually work? </w:t>
      </w:r>
      <w:r w:rsidRPr="1102D1F0" w:rsidR="7A385E8F">
        <w:rPr>
          <w:rFonts w:ascii="Calibri" w:hAnsi="Calibri" w:eastAsia="Calibri" w:cs="Calibri"/>
          <w:i w:val="1"/>
          <w:iCs w:val="1"/>
          <w:noProof w:val="0"/>
          <w:color w:val="333333"/>
          <w:sz w:val="22"/>
          <w:szCs w:val="22"/>
          <w:lang w:val="en-GB"/>
        </w:rPr>
        <w:t>The Atlantic</w:t>
      </w:r>
      <w:r w:rsidRPr="1102D1F0" w:rsidR="7A385E8F">
        <w:rPr>
          <w:rFonts w:ascii="Calibri" w:hAnsi="Calibri" w:eastAsia="Calibri" w:cs="Calibri"/>
          <w:noProof w:val="0"/>
          <w:color w:val="333333"/>
          <w:sz w:val="22"/>
          <w:szCs w:val="22"/>
          <w:lang w:val="en-GB"/>
        </w:rPr>
        <w:t xml:space="preserve">. Retrieved from: </w:t>
      </w:r>
      <w:hyperlink r:id="R85111e30582d4abf">
        <w:r w:rsidRPr="1102D1F0" w:rsidR="7A385E8F">
          <w:rPr>
            <w:rStyle w:val="Hyperlink"/>
            <w:rFonts w:ascii="Calibri" w:hAnsi="Calibri" w:eastAsia="Calibri" w:cs="Calibri"/>
            <w:noProof w:val="0"/>
            <w:sz w:val="22"/>
            <w:szCs w:val="22"/>
            <w:lang w:val="en-GB"/>
          </w:rPr>
          <w:t>http://www.theatlantic.com/international/archive/2014/12/do-police-body-cameraswork-ferguson/383323/</w:t>
        </w:r>
      </w:hyperlink>
      <w:r w:rsidRPr="1102D1F0" w:rsidR="7A385E8F">
        <w:rPr>
          <w:rFonts w:ascii="Calibri" w:hAnsi="Calibri" w:eastAsia="Calibri" w:cs="Calibri"/>
          <w:noProof w:val="0"/>
          <w:sz w:val="22"/>
          <w:szCs w:val="22"/>
          <w:lang w:val="en-GB"/>
        </w:rPr>
        <w:t xml:space="preserve"> </w:t>
      </w:r>
    </w:p>
    <w:p w:rsidR="001C59E2" w:rsidP="1102D1F0" w:rsidRDefault="001C59E2" w14:paraId="1CBC4BDA" w14:textId="1CE61EFB">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Goodall, M., 2007. </w:t>
      </w:r>
      <w:r w:rsidRPr="1102D1F0" w:rsidR="7A385E8F">
        <w:rPr>
          <w:rFonts w:ascii="Calibri" w:hAnsi="Calibri" w:eastAsia="Calibri" w:cs="Calibri"/>
          <w:i w:val="1"/>
          <w:iCs w:val="1"/>
          <w:noProof w:val="0"/>
          <w:color w:val="333333"/>
          <w:sz w:val="22"/>
          <w:szCs w:val="22"/>
          <w:lang w:val="en-GB"/>
        </w:rPr>
        <w:t>Guidance for the police use of body-worn video devices: Police and crime standards directorate</w:t>
      </w:r>
      <w:r w:rsidRPr="1102D1F0" w:rsidR="7A385E8F">
        <w:rPr>
          <w:rFonts w:ascii="Calibri" w:hAnsi="Calibri" w:eastAsia="Calibri" w:cs="Calibri"/>
          <w:noProof w:val="0"/>
          <w:color w:val="333333"/>
          <w:sz w:val="22"/>
          <w:szCs w:val="22"/>
          <w:lang w:val="en-GB"/>
        </w:rPr>
        <w:t xml:space="preserve">. London, U.K.: Home Office. Retrieved from </w:t>
      </w:r>
      <w:hyperlink r:id="R264eab708edc4284">
        <w:r w:rsidRPr="1102D1F0" w:rsidR="7A385E8F">
          <w:rPr>
            <w:rStyle w:val="Hyperlink"/>
            <w:rFonts w:ascii="Calibri" w:hAnsi="Calibri" w:eastAsia="Calibri" w:cs="Calibri"/>
            <w:noProof w:val="0"/>
            <w:sz w:val="22"/>
            <w:szCs w:val="22"/>
            <w:lang w:val="en-GB"/>
          </w:rPr>
          <w:t>library.college.police.uk</w:t>
        </w:r>
      </w:hyperlink>
      <w:r w:rsidRPr="1102D1F0" w:rsidR="7A385E8F">
        <w:rPr>
          <w:rFonts w:ascii="Calibri" w:hAnsi="Calibri" w:eastAsia="Calibri" w:cs="Calibri"/>
          <w:noProof w:val="0"/>
          <w:color w:val="333333"/>
          <w:sz w:val="22"/>
          <w:szCs w:val="22"/>
          <w:lang w:val="en-GB"/>
        </w:rPr>
        <w:t xml:space="preserve">/docs/homeoffice/guidance-body-worn-devices.pdf. </w:t>
      </w:r>
    </w:p>
    <w:p w:rsidR="001C59E2" w:rsidP="1102D1F0" w:rsidRDefault="001C59E2" w14:paraId="45108A0F" w14:textId="78733924">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color w:val="333333"/>
          <w:sz w:val="22"/>
          <w:szCs w:val="22"/>
          <w:lang w:val="en-GB"/>
        </w:rPr>
        <w:t xml:space="preserve">Goodison, S., Davis, R., &amp; Wilson, T., 2018. </w:t>
      </w:r>
      <w:r w:rsidRPr="1102D1F0" w:rsidR="7A385E8F">
        <w:rPr>
          <w:rFonts w:ascii="Calibri" w:hAnsi="Calibri" w:eastAsia="Calibri" w:cs="Calibri"/>
          <w:i w:val="1"/>
          <w:iCs w:val="1"/>
          <w:noProof w:val="0"/>
          <w:color w:val="333333"/>
          <w:sz w:val="22"/>
          <w:szCs w:val="22"/>
          <w:lang w:val="en-GB"/>
        </w:rPr>
        <w:t>Costs and benefits of body-worn camera deployment</w:t>
      </w:r>
      <w:r w:rsidRPr="1102D1F0" w:rsidR="7A385E8F">
        <w:rPr>
          <w:rFonts w:ascii="Calibri" w:hAnsi="Calibri" w:eastAsia="Calibri" w:cs="Calibri"/>
          <w:noProof w:val="0"/>
          <w:color w:val="333333"/>
          <w:sz w:val="22"/>
          <w:szCs w:val="22"/>
          <w:lang w:val="en-GB"/>
        </w:rPr>
        <w:t xml:space="preserve">. Washington D.C.: Police Executive Research Forum. Retrieved from </w:t>
      </w:r>
      <w:hyperlink r:id="Rc3159f887b51445d">
        <w:r w:rsidRPr="1102D1F0" w:rsidR="7A385E8F">
          <w:rPr>
            <w:rStyle w:val="Hyperlink"/>
            <w:rFonts w:ascii="Calibri" w:hAnsi="Calibri" w:eastAsia="Calibri" w:cs="Calibri"/>
            <w:noProof w:val="0"/>
            <w:sz w:val="22"/>
            <w:szCs w:val="22"/>
            <w:lang w:val="en-GB"/>
          </w:rPr>
          <w:t>https://www.policeforum.org/assets/BWCCostBenefit.pdf</w:t>
        </w:r>
      </w:hyperlink>
      <w:r w:rsidRPr="1102D1F0" w:rsidR="7A385E8F">
        <w:rPr>
          <w:rFonts w:ascii="Calibri" w:hAnsi="Calibri" w:eastAsia="Calibri" w:cs="Calibri"/>
          <w:noProof w:val="0"/>
          <w:sz w:val="22"/>
          <w:szCs w:val="22"/>
          <w:lang w:val="en-GB"/>
        </w:rPr>
        <w:t xml:space="preserve"> </w:t>
      </w:r>
    </w:p>
    <w:p w:rsidR="001C59E2" w:rsidP="1102D1F0" w:rsidRDefault="001C59E2" w14:paraId="129E2F92" w14:textId="11371243">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Hyland, S. S., 2018. </w:t>
      </w:r>
      <w:r w:rsidRPr="1102D1F0" w:rsidR="7A385E8F">
        <w:rPr>
          <w:rFonts w:ascii="Calibri" w:hAnsi="Calibri" w:eastAsia="Calibri" w:cs="Calibri"/>
          <w:i w:val="1"/>
          <w:iCs w:val="1"/>
          <w:noProof w:val="0"/>
          <w:color w:val="333333"/>
          <w:sz w:val="22"/>
          <w:szCs w:val="22"/>
          <w:lang w:val="en-GB"/>
        </w:rPr>
        <w:t>Body-worn cameras in law enforcement agencies, 2016</w:t>
      </w:r>
      <w:r w:rsidRPr="1102D1F0" w:rsidR="7A385E8F">
        <w:rPr>
          <w:rFonts w:ascii="Calibri" w:hAnsi="Calibri" w:eastAsia="Calibri" w:cs="Calibri"/>
          <w:noProof w:val="0"/>
          <w:color w:val="333333"/>
          <w:sz w:val="22"/>
          <w:szCs w:val="22"/>
          <w:lang w:val="en-GB"/>
        </w:rPr>
        <w:t xml:space="preserve">. Washington, DC. U.S. Department of Justice, Office of Justice Programs, Bureau of Justice Statistics. </w:t>
      </w:r>
    </w:p>
    <w:p w:rsidR="001C59E2" w:rsidP="1102D1F0" w:rsidRDefault="001C59E2" w14:paraId="6D6C32FA" w14:textId="3895AC14">
      <w:pPr>
        <w:pStyle w:val="ListParagraph"/>
        <w:numPr>
          <w:ilvl w:val="0"/>
          <w:numId w:val="7"/>
        </w:numPr>
        <w:spacing w:before="0" w:beforeAutospacing="off" w:after="0" w:afterAutospacing="off"/>
        <w:rPr>
          <w:rFonts w:ascii="Georgia" w:hAnsi="Georgia" w:eastAsia="Georgia" w:cs="Georgia"/>
          <w:noProof w:val="0"/>
          <w:color w:val="333333"/>
          <w:sz w:val="27"/>
          <w:szCs w:val="27"/>
          <w:lang w:val="en-GB"/>
        </w:rPr>
      </w:pPr>
      <w:r w:rsidRPr="1102D1F0" w:rsidR="7A385E8F">
        <w:rPr>
          <w:rFonts w:ascii="Calibri" w:hAnsi="Calibri" w:eastAsia="Calibri" w:cs="Calibri"/>
          <w:noProof w:val="0"/>
          <w:color w:val="333333"/>
          <w:sz w:val="22"/>
          <w:szCs w:val="22"/>
          <w:lang w:val="en-GB"/>
        </w:rPr>
        <w:t xml:space="preserve">Jennings, W. G., Lynch, M. D., &amp; Fridell, L. A., 2015. Evaluating the impact of police officer body-worn cameras (BWCs) on response-to-resistance and serious external complaints: Evidence from the Orlando police department (OPD) experience utilizing a randomized controlled experiment. </w:t>
      </w:r>
      <w:r w:rsidRPr="1102D1F0" w:rsidR="7A385E8F">
        <w:rPr>
          <w:rFonts w:ascii="Calibri" w:hAnsi="Calibri" w:eastAsia="Calibri" w:cs="Calibri"/>
          <w:i w:val="1"/>
          <w:iCs w:val="1"/>
          <w:noProof w:val="0"/>
          <w:color w:val="333333"/>
          <w:sz w:val="22"/>
          <w:szCs w:val="22"/>
          <w:lang w:val="en-GB"/>
        </w:rPr>
        <w:t>Journal of Criminal Justice, 43</w:t>
      </w:r>
      <w:r w:rsidRPr="1102D1F0" w:rsidR="7A385E8F">
        <w:rPr>
          <w:rFonts w:ascii="Calibri" w:hAnsi="Calibri" w:eastAsia="Calibri" w:cs="Calibri"/>
          <w:noProof w:val="0"/>
          <w:color w:val="333333"/>
          <w:sz w:val="22"/>
          <w:szCs w:val="22"/>
          <w:lang w:val="en-GB"/>
        </w:rPr>
        <w:t xml:space="preserve">(6), pp. 480–486. </w:t>
      </w:r>
      <w:hyperlink r:id="Rb358796327a04e92">
        <w:r w:rsidRPr="1102D1F0" w:rsidR="7A385E8F">
          <w:rPr>
            <w:rStyle w:val="Hyperlink"/>
            <w:rFonts w:ascii="Calibri" w:hAnsi="Calibri" w:eastAsia="Calibri" w:cs="Calibri"/>
            <w:noProof w:val="0"/>
            <w:sz w:val="22"/>
            <w:szCs w:val="22"/>
            <w:lang w:val="en-GB"/>
          </w:rPr>
          <w:t>https://doi.org/10.1016/j.jcrimjus.2015.10.003</w:t>
        </w:r>
      </w:hyperlink>
      <w:r w:rsidRPr="1102D1F0" w:rsidR="7A385E8F">
        <w:rPr>
          <w:rFonts w:ascii="Georgia" w:hAnsi="Georgia" w:eastAsia="Georgia" w:cs="Georgia"/>
          <w:noProof w:val="0"/>
          <w:color w:val="333333"/>
          <w:sz w:val="27"/>
          <w:szCs w:val="27"/>
          <w:lang w:val="en-GB"/>
        </w:rPr>
        <w:t xml:space="preserve">. </w:t>
      </w:r>
    </w:p>
    <w:p w:rsidR="001C59E2" w:rsidP="1102D1F0" w:rsidRDefault="001C59E2" w14:paraId="776A186F" w14:textId="5806DAA2">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Lum, C., Stoltz, M., Koper, C.S. and Scherer, J.A., 2019. Researc on body-worn cameras: What we know, what we need to know. Criminology &amp; public policy, 18(1), pp.93-118. </w:t>
      </w:r>
    </w:p>
    <w:p w:rsidR="001C59E2" w:rsidP="1102D1F0" w:rsidRDefault="001C59E2" w14:paraId="4B6461EB" w14:textId="47D7A11D">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Lum, C., Koper, C.S., Wilson, D.B., Stoltz, M., Goodier, M., Eggins, E., Higginson, A. and Mazerolle, L., 2020. Body-worn cameras’ effects on police officers and citizen behaviour: A systematic review. </w:t>
      </w:r>
      <w:r w:rsidRPr="1102D1F0" w:rsidR="7A385E8F">
        <w:rPr>
          <w:rFonts w:ascii="Calibri" w:hAnsi="Calibri" w:eastAsia="Calibri" w:cs="Calibri"/>
          <w:i w:val="1"/>
          <w:iCs w:val="1"/>
          <w:noProof w:val="0"/>
          <w:sz w:val="22"/>
          <w:szCs w:val="22"/>
          <w:lang w:val="en-GB"/>
        </w:rPr>
        <w:t>Campbell Systematic Reviews</w:t>
      </w:r>
      <w:r w:rsidRPr="1102D1F0" w:rsidR="7A385E8F">
        <w:rPr>
          <w:rFonts w:ascii="Calibri" w:hAnsi="Calibri" w:eastAsia="Calibri" w:cs="Calibri"/>
          <w:noProof w:val="0"/>
          <w:sz w:val="22"/>
          <w:szCs w:val="22"/>
          <w:lang w:val="en-GB"/>
        </w:rPr>
        <w:t xml:space="preserve">, 16(3). </w:t>
      </w:r>
    </w:p>
    <w:p w:rsidR="001C59E2" w:rsidP="1102D1F0" w:rsidRDefault="001C59E2" w14:paraId="6CCA9CB4" w14:textId="31C363E1">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Maskaly, J., Donner, C., Jennings, W. G., Ariel, B., &amp; Sutherland, A., 2017. The effects of body-worn cameras (BWCs) on police and citizen outcomes: A state-of-the-art review. </w:t>
      </w:r>
      <w:r w:rsidRPr="1102D1F0" w:rsidR="7A385E8F">
        <w:rPr>
          <w:rFonts w:ascii="Calibri" w:hAnsi="Calibri" w:eastAsia="Calibri" w:cs="Calibri"/>
          <w:i w:val="1"/>
          <w:iCs w:val="1"/>
          <w:noProof w:val="0"/>
          <w:color w:val="333333"/>
          <w:sz w:val="22"/>
          <w:szCs w:val="22"/>
          <w:lang w:val="en-GB"/>
        </w:rPr>
        <w:t>Policing: An International Journal of Police Strategies &amp; Management, 40</w:t>
      </w:r>
      <w:r w:rsidRPr="1102D1F0" w:rsidR="7A385E8F">
        <w:rPr>
          <w:rFonts w:ascii="Calibri" w:hAnsi="Calibri" w:eastAsia="Calibri" w:cs="Calibri"/>
          <w:noProof w:val="0"/>
          <w:color w:val="333333"/>
          <w:sz w:val="22"/>
          <w:szCs w:val="22"/>
          <w:lang w:val="en-GB"/>
        </w:rPr>
        <w:t xml:space="preserve">(4), pp.672–688. </w:t>
      </w:r>
      <w:hyperlink r:id="Rbbe05fc1484c4430">
        <w:r w:rsidRPr="1102D1F0" w:rsidR="7A385E8F">
          <w:rPr>
            <w:rStyle w:val="Hyperlink"/>
            <w:rFonts w:ascii="Calibri" w:hAnsi="Calibri" w:eastAsia="Calibri" w:cs="Calibri"/>
            <w:noProof w:val="0"/>
            <w:sz w:val="22"/>
            <w:szCs w:val="22"/>
            <w:lang w:val="en-GB"/>
          </w:rPr>
          <w:t>https://doi.org/10.1108/PIJPSM-03-2017-0032</w:t>
        </w:r>
      </w:hyperlink>
      <w:r w:rsidRPr="1102D1F0" w:rsidR="7A385E8F">
        <w:rPr>
          <w:rFonts w:ascii="Calibri" w:hAnsi="Calibri" w:eastAsia="Calibri" w:cs="Calibri"/>
          <w:noProof w:val="0"/>
          <w:color w:val="333333"/>
          <w:sz w:val="22"/>
          <w:szCs w:val="22"/>
          <w:lang w:val="en-GB"/>
        </w:rPr>
        <w:t>.</w:t>
      </w:r>
    </w:p>
    <w:p w:rsidR="001C59E2" w:rsidP="1102D1F0" w:rsidRDefault="001C59E2" w14:paraId="1A0F24E6" w14:textId="425A0904">
      <w:pPr>
        <w:pStyle w:val="ListParagraph"/>
        <w:numPr>
          <w:ilvl w:val="0"/>
          <w:numId w:val="7"/>
        </w:numPr>
        <w:spacing w:before="0" w:beforeAutospacing="off" w:after="0" w:afterAutospacing="off"/>
        <w:rPr>
          <w:rFonts w:ascii="Georgia" w:hAnsi="Georgia" w:eastAsia="Georgia" w:cs="Georgia"/>
          <w:noProof w:val="0"/>
          <w:color w:val="333333"/>
          <w:sz w:val="27"/>
          <w:szCs w:val="27"/>
          <w:lang w:val="en-GB"/>
        </w:rPr>
      </w:pPr>
      <w:r w:rsidRPr="1102D1F0" w:rsidR="7A385E8F">
        <w:rPr>
          <w:rFonts w:ascii="Calibri" w:hAnsi="Calibri" w:eastAsia="Calibri" w:cs="Calibri"/>
          <w:noProof w:val="0"/>
          <w:color w:val="333333"/>
          <w:sz w:val="22"/>
          <w:szCs w:val="22"/>
          <w:lang w:val="en-GB"/>
        </w:rPr>
        <w:t xml:space="preserve">Merola, L. M., Lum, C., Koper, C. S., &amp; Scherer, A., 2016. </w:t>
      </w:r>
      <w:r w:rsidRPr="1102D1F0" w:rsidR="7A385E8F">
        <w:rPr>
          <w:rFonts w:ascii="Calibri" w:hAnsi="Calibri" w:eastAsia="Calibri" w:cs="Calibri"/>
          <w:i w:val="1"/>
          <w:iCs w:val="1"/>
          <w:noProof w:val="0"/>
          <w:color w:val="333333"/>
          <w:sz w:val="22"/>
          <w:szCs w:val="22"/>
          <w:lang w:val="en-GB"/>
        </w:rPr>
        <w:t>Body worn cameras and the courts: A national survey of state prosecutors</w:t>
      </w:r>
      <w:r w:rsidRPr="1102D1F0" w:rsidR="7A385E8F">
        <w:rPr>
          <w:rFonts w:ascii="Calibri" w:hAnsi="Calibri" w:eastAsia="Calibri" w:cs="Calibri"/>
          <w:noProof w:val="0"/>
          <w:color w:val="333333"/>
          <w:sz w:val="22"/>
          <w:szCs w:val="22"/>
          <w:lang w:val="en-GB"/>
        </w:rPr>
        <w:t>. Report for the Laura and John Arnold Foundation. Fairfax, VA: Centre for Evidence-Based Crime Policy, George Mason University</w:t>
      </w:r>
      <w:r w:rsidRPr="1102D1F0" w:rsidR="7A385E8F">
        <w:rPr>
          <w:rFonts w:ascii="Georgia" w:hAnsi="Georgia" w:eastAsia="Georgia" w:cs="Georgia"/>
          <w:noProof w:val="0"/>
          <w:color w:val="333333"/>
          <w:sz w:val="27"/>
          <w:szCs w:val="27"/>
          <w:lang w:val="en-GB"/>
        </w:rPr>
        <w:t xml:space="preserve">. </w:t>
      </w:r>
    </w:p>
    <w:p w:rsidR="001C59E2" w:rsidP="1102D1F0" w:rsidRDefault="001C59E2" w14:paraId="65B08FCA" w14:textId="03045656">
      <w:pPr>
        <w:pStyle w:val="ListParagraph"/>
        <w:numPr>
          <w:ilvl w:val="0"/>
          <w:numId w:val="7"/>
        </w:numPr>
        <w:spacing w:before="0" w:beforeAutospacing="off" w:after="0" w:afterAutospacing="off"/>
        <w:rPr>
          <w:rFonts w:ascii="Calibri" w:hAnsi="Calibri" w:eastAsia="Calibri" w:cs="Calibri"/>
          <w:noProof w:val="0"/>
          <w:color w:val="0000FF"/>
          <w:sz w:val="22"/>
          <w:szCs w:val="22"/>
          <w:lang w:val="en-GB"/>
        </w:rPr>
      </w:pPr>
      <w:r w:rsidRPr="1102D1F0" w:rsidR="7A385E8F">
        <w:rPr>
          <w:rFonts w:ascii="Calibri" w:hAnsi="Calibri" w:eastAsia="Calibri" w:cs="Calibri"/>
          <w:noProof w:val="0"/>
          <w:sz w:val="22"/>
          <w:szCs w:val="22"/>
          <w:lang w:val="en-GB"/>
        </w:rPr>
        <w:t xml:space="preserve">Metropolitan Police, 2023. How and when BWV cameras are used. </w:t>
      </w:r>
      <w:hyperlink r:id="R06a6a7c611914c23">
        <w:r w:rsidRPr="1102D1F0" w:rsidR="7A385E8F">
          <w:rPr>
            <w:rStyle w:val="Hyperlink"/>
            <w:rFonts w:ascii="Calibri" w:hAnsi="Calibri" w:eastAsia="Calibri" w:cs="Calibri"/>
            <w:noProof w:val="0"/>
            <w:sz w:val="22"/>
            <w:szCs w:val="22"/>
            <w:lang w:val="en-GB"/>
          </w:rPr>
          <w:t>How and when BWV cameras are used | Metropolitan Police</w:t>
        </w:r>
      </w:hyperlink>
    </w:p>
    <w:p w:rsidR="001C59E2" w:rsidP="1102D1F0" w:rsidRDefault="001C59E2" w14:paraId="59B3B939" w14:textId="2A266BD9">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MISBO, 2021. Body worn cameras support school security. </w:t>
      </w:r>
      <w:hyperlink r:id="Rcf2ac7c262634899">
        <w:r w:rsidRPr="1102D1F0" w:rsidR="7A385E8F">
          <w:rPr>
            <w:rStyle w:val="Hyperlink"/>
            <w:rFonts w:ascii="Calibri" w:hAnsi="Calibri" w:eastAsia="Calibri" w:cs="Calibri"/>
            <w:noProof w:val="0"/>
            <w:sz w:val="22"/>
            <w:szCs w:val="22"/>
            <w:lang w:val="en-GB"/>
          </w:rPr>
          <w:t>Schools trial body cameras to aid safety and monitor behaviour | Pupil behaviour | The Guardian</w:t>
        </w:r>
      </w:hyperlink>
      <w:r w:rsidRPr="1102D1F0" w:rsidR="7A385E8F">
        <w:rPr>
          <w:rFonts w:ascii="Calibri" w:hAnsi="Calibri" w:eastAsia="Calibri" w:cs="Calibri"/>
          <w:noProof w:val="0"/>
          <w:sz w:val="22"/>
          <w:szCs w:val="22"/>
          <w:lang w:val="en-GB"/>
        </w:rPr>
        <w:t xml:space="preserve">, 2020 </w:t>
      </w:r>
    </w:p>
    <w:p w:rsidR="001C59E2" w:rsidP="1102D1F0" w:rsidRDefault="001C59E2" w14:paraId="7274EDBF" w14:textId="0720D9DA">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Morrow, W. J., Katz, C. M., &amp; Choate, D. E., 2016. Assessing the impact of police body-worn cameras on arresting, prosecuting, and convicting suspects of intimate partner violence. </w:t>
      </w:r>
      <w:r w:rsidRPr="1102D1F0" w:rsidR="7A385E8F">
        <w:rPr>
          <w:rFonts w:ascii="Calibri" w:hAnsi="Calibri" w:eastAsia="Calibri" w:cs="Calibri"/>
          <w:i w:val="1"/>
          <w:iCs w:val="1"/>
          <w:noProof w:val="0"/>
          <w:color w:val="333333"/>
          <w:sz w:val="22"/>
          <w:szCs w:val="22"/>
          <w:lang w:val="en-GB"/>
        </w:rPr>
        <w:t>Police Quarterly, 19</w:t>
      </w:r>
      <w:r w:rsidRPr="1102D1F0" w:rsidR="7A385E8F">
        <w:rPr>
          <w:rFonts w:ascii="Calibri" w:hAnsi="Calibri" w:eastAsia="Calibri" w:cs="Calibri"/>
          <w:noProof w:val="0"/>
          <w:color w:val="333333"/>
          <w:sz w:val="22"/>
          <w:szCs w:val="22"/>
          <w:lang w:val="en-GB"/>
        </w:rPr>
        <w:t xml:space="preserve">(3), pp. 303–325. </w:t>
      </w:r>
      <w:hyperlink r:id="R7503ca9ddee24db1">
        <w:r w:rsidRPr="1102D1F0" w:rsidR="7A385E8F">
          <w:rPr>
            <w:rStyle w:val="Hyperlink"/>
            <w:rFonts w:ascii="Calibri" w:hAnsi="Calibri" w:eastAsia="Calibri" w:cs="Calibri"/>
            <w:noProof w:val="0"/>
            <w:sz w:val="22"/>
            <w:szCs w:val="22"/>
            <w:lang w:val="en-GB"/>
          </w:rPr>
          <w:t>https://doi.org/10.1177/1098611116652850</w:t>
        </w:r>
      </w:hyperlink>
      <w:r w:rsidRPr="1102D1F0" w:rsidR="7A385E8F">
        <w:rPr>
          <w:rFonts w:ascii="Calibri" w:hAnsi="Calibri" w:eastAsia="Calibri" w:cs="Calibri"/>
          <w:noProof w:val="0"/>
          <w:color w:val="333333"/>
          <w:sz w:val="22"/>
          <w:szCs w:val="22"/>
          <w:lang w:val="en-GB"/>
        </w:rPr>
        <w:t xml:space="preserve">. </w:t>
      </w:r>
    </w:p>
    <w:p w:rsidR="001C59E2" w:rsidP="1102D1F0" w:rsidRDefault="001C59E2" w14:paraId="2B2169BC" w14:textId="3AE01F0E">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National Police Chiefs Council, 2022. NPCC Body-Worn Video V1.0. Body- worn video guidance. </w:t>
      </w:r>
      <w:hyperlink r:id="Rd4094f41156042f0">
        <w:r w:rsidRPr="1102D1F0" w:rsidR="7A385E8F">
          <w:rPr>
            <w:rStyle w:val="Hyperlink"/>
            <w:rFonts w:ascii="Calibri" w:hAnsi="Calibri" w:eastAsia="Calibri" w:cs="Calibri"/>
            <w:noProof w:val="0"/>
            <w:sz w:val="22"/>
            <w:szCs w:val="22"/>
            <w:lang w:val="en-GB"/>
          </w:rPr>
          <w:t>United Kingdon College of Policing: Body Worn Video Guidance 2014</w:t>
        </w:r>
      </w:hyperlink>
      <w:r w:rsidRPr="1102D1F0" w:rsidR="7A385E8F">
        <w:rPr>
          <w:rFonts w:ascii="Calibri" w:hAnsi="Calibri" w:eastAsia="Calibri" w:cs="Calibri"/>
          <w:noProof w:val="0"/>
          <w:sz w:val="22"/>
          <w:szCs w:val="22"/>
          <w:lang w:val="en-GB"/>
        </w:rPr>
        <w:t xml:space="preserve"> </w:t>
      </w:r>
    </w:p>
    <w:p w:rsidR="001C59E2" w:rsidP="1102D1F0" w:rsidRDefault="001C59E2" w14:paraId="650269D9" w14:textId="69AE6960">
      <w:pPr>
        <w:pStyle w:val="ListParagraph"/>
        <w:numPr>
          <w:ilvl w:val="0"/>
          <w:numId w:val="7"/>
        </w:numPr>
        <w:spacing w:before="0" w:beforeAutospacing="off" w:after="0" w:afterAutospacing="off"/>
        <w:rPr>
          <w:rFonts w:ascii="Calibri" w:hAnsi="Calibri" w:eastAsia="Calibri" w:cs="Calibri"/>
          <w:noProof w:val="0"/>
          <w:color w:val="004B83"/>
          <w:sz w:val="22"/>
          <w:szCs w:val="22"/>
          <w:lang w:val="en-GB"/>
        </w:rPr>
      </w:pPr>
      <w:r w:rsidRPr="1102D1F0" w:rsidR="7A385E8F">
        <w:rPr>
          <w:rFonts w:ascii="Calibri" w:hAnsi="Calibri" w:eastAsia="Calibri" w:cs="Calibri"/>
          <w:noProof w:val="0"/>
          <w:color w:val="333333"/>
          <w:sz w:val="22"/>
          <w:szCs w:val="22"/>
          <w:lang w:val="en-GB"/>
        </w:rPr>
        <w:t xml:space="preserve">ODS Consulting (2011). </w:t>
      </w:r>
      <w:r w:rsidRPr="1102D1F0" w:rsidR="7A385E8F">
        <w:rPr>
          <w:rFonts w:ascii="Calibri" w:hAnsi="Calibri" w:eastAsia="Calibri" w:cs="Calibri"/>
          <w:i w:val="1"/>
          <w:iCs w:val="1"/>
          <w:noProof w:val="0"/>
          <w:color w:val="333333"/>
          <w:sz w:val="22"/>
          <w:szCs w:val="22"/>
          <w:lang w:val="en-GB"/>
        </w:rPr>
        <w:t>Body worn video projects in Paisley and Aberdeen, self- evaluation</w:t>
      </w:r>
      <w:r w:rsidRPr="1102D1F0" w:rsidR="7A385E8F">
        <w:rPr>
          <w:rFonts w:ascii="Calibri" w:hAnsi="Calibri" w:eastAsia="Calibri" w:cs="Calibri"/>
          <w:noProof w:val="0"/>
          <w:color w:val="333333"/>
          <w:sz w:val="22"/>
          <w:szCs w:val="22"/>
          <w:lang w:val="en-GB"/>
        </w:rPr>
        <w:t xml:space="preserve">. Retrieved from </w:t>
      </w:r>
      <w:hyperlink r:id="Rb3af337b9f0a4105">
        <w:r w:rsidRPr="1102D1F0" w:rsidR="7A385E8F">
          <w:rPr>
            <w:rStyle w:val="Hyperlink"/>
            <w:rFonts w:ascii="Calibri" w:hAnsi="Calibri" w:eastAsia="Calibri" w:cs="Calibri"/>
            <w:noProof w:val="0"/>
            <w:sz w:val="22"/>
            <w:szCs w:val="22"/>
            <w:lang w:val="en-GB"/>
          </w:rPr>
          <w:t>bwvsg.com/wp-content/uploads/2013/07/BWV-Scottish-Report.pdf</w:t>
        </w:r>
      </w:hyperlink>
    </w:p>
    <w:p w:rsidR="001C59E2" w:rsidP="1102D1F0" w:rsidRDefault="001C59E2" w14:paraId="7ADEDD39" w14:textId="2E85DEF3">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color w:val="333333"/>
          <w:sz w:val="22"/>
          <w:szCs w:val="22"/>
          <w:lang w:val="en-GB"/>
        </w:rPr>
        <w:t xml:space="preserve">Owens, C., Mann, D., &amp; Mckenna, R., 2014. </w:t>
      </w:r>
      <w:r w:rsidRPr="1102D1F0" w:rsidR="7A385E8F">
        <w:rPr>
          <w:rFonts w:ascii="Calibri" w:hAnsi="Calibri" w:eastAsia="Calibri" w:cs="Calibri"/>
          <w:i w:val="1"/>
          <w:iCs w:val="1"/>
          <w:noProof w:val="0"/>
          <w:color w:val="333333"/>
          <w:sz w:val="22"/>
          <w:szCs w:val="22"/>
          <w:lang w:val="en-GB"/>
        </w:rPr>
        <w:t>The Essex body worn video trial: The impact of body worn video on criminal justice outcomes of domestic abuse incidents</w:t>
      </w:r>
      <w:r w:rsidRPr="1102D1F0" w:rsidR="7A385E8F">
        <w:rPr>
          <w:rFonts w:ascii="Calibri" w:hAnsi="Calibri" w:eastAsia="Calibri" w:cs="Calibri"/>
          <w:noProof w:val="0"/>
          <w:color w:val="333333"/>
          <w:sz w:val="22"/>
          <w:szCs w:val="22"/>
          <w:lang w:val="en-GB"/>
        </w:rPr>
        <w:t xml:space="preserve">. Ryton-on-Dunsmore, Coventry, England: College of Policing. Retrieved from </w:t>
      </w:r>
      <w:hyperlink r:id="R5f1f4d9ad3b545cc">
        <w:r w:rsidRPr="1102D1F0" w:rsidR="7A385E8F">
          <w:rPr>
            <w:rStyle w:val="Hyperlink"/>
            <w:rFonts w:ascii="Calibri" w:hAnsi="Calibri" w:eastAsia="Calibri" w:cs="Calibri"/>
            <w:noProof w:val="0"/>
            <w:sz w:val="22"/>
            <w:szCs w:val="22"/>
            <w:lang w:val="en-GB"/>
          </w:rPr>
          <w:t>bwvsg.com/wp-content/uploads/2013/07/BWV_ReportEssTrial.pdf</w:t>
        </w:r>
      </w:hyperlink>
      <w:r w:rsidRPr="1102D1F0" w:rsidR="7A385E8F">
        <w:rPr>
          <w:rFonts w:ascii="Calibri" w:hAnsi="Calibri" w:eastAsia="Calibri" w:cs="Calibri"/>
          <w:noProof w:val="0"/>
          <w:sz w:val="22"/>
          <w:szCs w:val="22"/>
          <w:lang w:val="en-GB"/>
        </w:rPr>
        <w:t xml:space="preserve"> </w:t>
      </w:r>
    </w:p>
    <w:p w:rsidR="001C59E2" w:rsidP="1102D1F0" w:rsidRDefault="001C59E2" w14:paraId="6F96B4CA" w14:textId="58900C1A">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Petersen, K., Mouro, A., Papy, D., Castillo, N. and Ariel, B., 2021. Seeing is believing: The impact of body-worn cameras on court outcomes, a cluster- randomized controlled trial in Miami Beach. </w:t>
      </w:r>
      <w:r w:rsidRPr="1102D1F0" w:rsidR="7A385E8F">
        <w:rPr>
          <w:rFonts w:ascii="Calibri" w:hAnsi="Calibri" w:eastAsia="Calibri" w:cs="Calibri"/>
          <w:i w:val="1"/>
          <w:iCs w:val="1"/>
          <w:noProof w:val="0"/>
          <w:sz w:val="22"/>
          <w:szCs w:val="22"/>
          <w:lang w:val="en-GB"/>
        </w:rPr>
        <w:t>Journal of experimental criminology</w:t>
      </w:r>
      <w:r w:rsidRPr="1102D1F0" w:rsidR="7A385E8F">
        <w:rPr>
          <w:rFonts w:ascii="Calibri" w:hAnsi="Calibri" w:eastAsia="Calibri" w:cs="Calibri"/>
          <w:noProof w:val="0"/>
          <w:sz w:val="22"/>
          <w:szCs w:val="22"/>
          <w:lang w:val="en-GB"/>
        </w:rPr>
        <w:t xml:space="preserve">, pp. 1-21. </w:t>
      </w:r>
    </w:p>
    <w:p w:rsidR="001C59E2" w:rsidP="1102D1F0" w:rsidRDefault="001C59E2" w14:paraId="5E4754BB" w14:textId="0BD3821A">
      <w:pPr>
        <w:pStyle w:val="ListParagraph"/>
        <w:numPr>
          <w:ilvl w:val="0"/>
          <w:numId w:val="7"/>
        </w:numPr>
        <w:spacing w:before="0" w:beforeAutospacing="off" w:after="0" w:afterAutospacing="off"/>
        <w:rPr>
          <w:rFonts w:ascii="Georgia" w:hAnsi="Georgia" w:eastAsia="Georgia" w:cs="Georgia"/>
          <w:noProof w:val="0"/>
          <w:color w:val="333333"/>
          <w:sz w:val="27"/>
          <w:szCs w:val="27"/>
          <w:lang w:val="en-GB"/>
        </w:rPr>
      </w:pPr>
      <w:r w:rsidRPr="1102D1F0" w:rsidR="7A385E8F">
        <w:rPr>
          <w:rFonts w:ascii="Calibri" w:hAnsi="Calibri" w:eastAsia="Calibri" w:cs="Calibri"/>
          <w:noProof w:val="0"/>
          <w:color w:val="333333"/>
          <w:sz w:val="22"/>
          <w:szCs w:val="22"/>
          <w:lang w:val="en-GB"/>
        </w:rPr>
        <w:t xml:space="preserve">Taylor, E., 2016. Lights, camera, redaction… Police body-worn cameras; autonomy, discretion and accountability. </w:t>
      </w:r>
      <w:r w:rsidRPr="1102D1F0" w:rsidR="7A385E8F">
        <w:rPr>
          <w:rFonts w:ascii="Calibri" w:hAnsi="Calibri" w:eastAsia="Calibri" w:cs="Calibri"/>
          <w:i w:val="1"/>
          <w:iCs w:val="1"/>
          <w:noProof w:val="0"/>
          <w:color w:val="333333"/>
          <w:sz w:val="22"/>
          <w:szCs w:val="22"/>
          <w:lang w:val="en-GB"/>
        </w:rPr>
        <w:t>Surveillance and Society, 14</w:t>
      </w:r>
      <w:r w:rsidRPr="1102D1F0" w:rsidR="7A385E8F">
        <w:rPr>
          <w:rFonts w:ascii="Calibri" w:hAnsi="Calibri" w:eastAsia="Calibri" w:cs="Calibri"/>
          <w:noProof w:val="0"/>
          <w:color w:val="333333"/>
          <w:sz w:val="22"/>
          <w:szCs w:val="22"/>
          <w:lang w:val="en-GB"/>
        </w:rPr>
        <w:t>(1), pp. 128–132</w:t>
      </w:r>
      <w:r w:rsidRPr="1102D1F0" w:rsidR="7A385E8F">
        <w:rPr>
          <w:rFonts w:ascii="Georgia" w:hAnsi="Georgia" w:eastAsia="Georgia" w:cs="Georgia"/>
          <w:noProof w:val="0"/>
          <w:color w:val="333333"/>
          <w:sz w:val="27"/>
          <w:szCs w:val="27"/>
          <w:lang w:val="en-GB"/>
        </w:rPr>
        <w:t>.</w:t>
      </w:r>
    </w:p>
    <w:p w:rsidR="001C59E2" w:rsidP="1102D1F0" w:rsidRDefault="001C59E2" w14:paraId="3D726351" w14:textId="3E1117E6">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sz w:val="22"/>
          <w:szCs w:val="22"/>
          <w:lang w:val="en-GB"/>
        </w:rPr>
        <w:t xml:space="preserve">West Yorkshire Police, 2019. Body Worn Video Cameras We’ve something new to tell you. </w:t>
      </w:r>
      <w:hyperlink r:id="Red5b2e81c5e74d34">
        <w:r w:rsidRPr="1102D1F0" w:rsidR="7A385E8F">
          <w:rPr>
            <w:rStyle w:val="Hyperlink"/>
            <w:rFonts w:ascii="Calibri" w:hAnsi="Calibri" w:eastAsia="Calibri" w:cs="Calibri"/>
            <w:noProof w:val="0"/>
            <w:sz w:val="22"/>
            <w:szCs w:val="22"/>
            <w:lang w:val="en-GB"/>
          </w:rPr>
          <w:t>PowerPoint Presentation (westyorkshire.police.uk)</w:t>
        </w:r>
      </w:hyperlink>
      <w:r w:rsidRPr="1102D1F0" w:rsidR="7A385E8F">
        <w:rPr>
          <w:rFonts w:ascii="Calibri" w:hAnsi="Calibri" w:eastAsia="Calibri" w:cs="Calibri"/>
          <w:noProof w:val="0"/>
          <w:sz w:val="22"/>
          <w:szCs w:val="22"/>
          <w:lang w:val="en-GB"/>
        </w:rPr>
        <w:t xml:space="preserve"> </w:t>
      </w:r>
    </w:p>
    <w:p w:rsidR="001C59E2" w:rsidP="1102D1F0" w:rsidRDefault="001C59E2" w14:paraId="6273AB07" w14:textId="435B7E28">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White, M. D., 2014. </w:t>
      </w:r>
      <w:r w:rsidRPr="1102D1F0" w:rsidR="7A385E8F">
        <w:rPr>
          <w:rFonts w:ascii="Calibri" w:hAnsi="Calibri" w:eastAsia="Calibri" w:cs="Calibri"/>
          <w:i w:val="1"/>
          <w:iCs w:val="1"/>
          <w:noProof w:val="0"/>
          <w:color w:val="333333"/>
          <w:sz w:val="22"/>
          <w:szCs w:val="22"/>
          <w:lang w:val="en-GB"/>
        </w:rPr>
        <w:t>Police officer body-worn cameras: Assessing the evidence</w:t>
      </w:r>
      <w:r w:rsidRPr="1102D1F0" w:rsidR="7A385E8F">
        <w:rPr>
          <w:rFonts w:ascii="Calibri" w:hAnsi="Calibri" w:eastAsia="Calibri" w:cs="Calibri"/>
          <w:noProof w:val="0"/>
          <w:color w:val="333333"/>
          <w:sz w:val="22"/>
          <w:szCs w:val="22"/>
          <w:lang w:val="en-GB"/>
        </w:rPr>
        <w:t xml:space="preserve">. Washington , DC: Office of Justice Programs, US Department of Justice. </w:t>
      </w:r>
    </w:p>
    <w:p w:rsidR="001C59E2" w:rsidP="1102D1F0" w:rsidRDefault="001C59E2" w14:paraId="1DFE537A" w14:textId="014F0A30">
      <w:pPr>
        <w:pStyle w:val="ListParagraph"/>
        <w:numPr>
          <w:ilvl w:val="0"/>
          <w:numId w:val="7"/>
        </w:numPr>
        <w:spacing w:before="0" w:beforeAutospacing="off" w:after="0" w:afterAutospacing="off"/>
        <w:rPr>
          <w:rFonts w:ascii="Calibri" w:hAnsi="Calibri" w:eastAsia="Calibri" w:cs="Calibri"/>
          <w:noProof w:val="0"/>
          <w:sz w:val="22"/>
          <w:szCs w:val="22"/>
          <w:lang w:val="en-GB"/>
        </w:rPr>
      </w:pPr>
      <w:r w:rsidRPr="1102D1F0" w:rsidR="7A385E8F">
        <w:rPr>
          <w:rFonts w:ascii="Calibri" w:hAnsi="Calibri" w:eastAsia="Calibri" w:cs="Calibri"/>
          <w:noProof w:val="0"/>
          <w:color w:val="333333"/>
          <w:sz w:val="22"/>
          <w:szCs w:val="22"/>
          <w:lang w:val="en-GB"/>
        </w:rPr>
        <w:t xml:space="preserve">White, M. D., Gaub, J. E., Malm, A., &amp; Padilla, K. E., 2019. Implicate or exonerate? The impact of police body-worn cameras on the adjudication of drug and alcohol cases. </w:t>
      </w:r>
      <w:r w:rsidRPr="1102D1F0" w:rsidR="7A385E8F">
        <w:rPr>
          <w:rFonts w:ascii="Calibri" w:hAnsi="Calibri" w:eastAsia="Calibri" w:cs="Calibri"/>
          <w:i w:val="1"/>
          <w:iCs w:val="1"/>
          <w:noProof w:val="0"/>
          <w:color w:val="333333"/>
          <w:sz w:val="22"/>
          <w:szCs w:val="22"/>
          <w:lang w:val="en-GB"/>
        </w:rPr>
        <w:t>Policing: A Journal of Policy and Practice</w:t>
      </w:r>
      <w:r w:rsidRPr="1102D1F0" w:rsidR="7A385E8F">
        <w:rPr>
          <w:rFonts w:ascii="Calibri" w:hAnsi="Calibri" w:eastAsia="Calibri" w:cs="Calibri"/>
          <w:noProof w:val="0"/>
          <w:color w:val="333333"/>
          <w:sz w:val="22"/>
          <w:szCs w:val="22"/>
          <w:lang w:val="en-GB"/>
        </w:rPr>
        <w:t xml:space="preserve">. </w:t>
      </w:r>
      <w:hyperlink r:id="Rc14e94311dad4bc0">
        <w:r w:rsidRPr="1102D1F0" w:rsidR="7A385E8F">
          <w:rPr>
            <w:rStyle w:val="Hyperlink"/>
            <w:rFonts w:ascii="Calibri" w:hAnsi="Calibri" w:eastAsia="Calibri" w:cs="Calibri"/>
            <w:noProof w:val="0"/>
            <w:sz w:val="22"/>
            <w:szCs w:val="22"/>
            <w:lang w:val="en-GB"/>
          </w:rPr>
          <w:t>https://doi.org/10.1093/police/paz043</w:t>
        </w:r>
      </w:hyperlink>
      <w:r w:rsidRPr="1102D1F0" w:rsidR="7A385E8F">
        <w:rPr>
          <w:rFonts w:ascii="Calibri" w:hAnsi="Calibri" w:eastAsia="Calibri" w:cs="Calibri"/>
          <w:noProof w:val="0"/>
          <w:sz w:val="22"/>
          <w:szCs w:val="22"/>
          <w:lang w:val="en-GB"/>
        </w:rPr>
        <w:t xml:space="preserve"> </w:t>
      </w:r>
    </w:p>
    <w:p w:rsidR="001C59E2" w:rsidP="1102D1F0" w:rsidRDefault="001C59E2" w14:paraId="1338078F" w14:textId="7DF9CD1E">
      <w:pPr>
        <w:pStyle w:val="ListParagraph"/>
        <w:numPr>
          <w:ilvl w:val="0"/>
          <w:numId w:val="7"/>
        </w:numPr>
        <w:spacing w:before="0" w:beforeAutospacing="off" w:after="0" w:afterAutospacing="off"/>
        <w:rPr>
          <w:rFonts w:ascii="Calibri" w:hAnsi="Calibri" w:eastAsia="Calibri" w:cs="Calibri"/>
          <w:noProof w:val="0"/>
          <w:color w:val="333333"/>
          <w:sz w:val="22"/>
          <w:szCs w:val="22"/>
          <w:lang w:val="en-GB"/>
        </w:rPr>
      </w:pPr>
      <w:r w:rsidRPr="1102D1F0" w:rsidR="7A385E8F">
        <w:rPr>
          <w:rFonts w:ascii="Calibri" w:hAnsi="Calibri" w:eastAsia="Calibri" w:cs="Calibri"/>
          <w:noProof w:val="0"/>
          <w:color w:val="333333"/>
          <w:sz w:val="22"/>
          <w:szCs w:val="22"/>
          <w:lang w:val="en-GB"/>
        </w:rPr>
        <w:t xml:space="preserve">White, M. D., &amp; Malm, A., 2020. </w:t>
      </w:r>
      <w:r w:rsidRPr="1102D1F0" w:rsidR="7A385E8F">
        <w:rPr>
          <w:rFonts w:ascii="Calibri" w:hAnsi="Calibri" w:eastAsia="Calibri" w:cs="Calibri"/>
          <w:i w:val="1"/>
          <w:iCs w:val="1"/>
          <w:noProof w:val="0"/>
          <w:color w:val="333333"/>
          <w:sz w:val="22"/>
          <w:szCs w:val="22"/>
          <w:lang w:val="en-GB"/>
        </w:rPr>
        <w:t>Cops, cameras, and crisis: The potential and the perils of police body-worn cameras</w:t>
      </w:r>
      <w:r w:rsidRPr="1102D1F0" w:rsidR="7A385E8F">
        <w:rPr>
          <w:rFonts w:ascii="Calibri" w:hAnsi="Calibri" w:eastAsia="Calibri" w:cs="Calibri"/>
          <w:noProof w:val="0"/>
          <w:color w:val="333333"/>
          <w:sz w:val="22"/>
          <w:szCs w:val="22"/>
          <w:lang w:val="en-GB"/>
        </w:rPr>
        <w:t xml:space="preserve">. NYU Press. </w:t>
      </w:r>
    </w:p>
    <w:p w:rsidR="001C59E2" w:rsidP="1102D1F0" w:rsidRDefault="001C59E2" w14:paraId="577316CE" w14:textId="34FD7BBB">
      <w:pPr>
        <w:spacing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1FA7FEC1" w14:textId="3C416F65">
      <w:pPr>
        <w:spacing w:after="160" w:afterAutospacing="off" w:line="257" w:lineRule="auto"/>
      </w:pPr>
      <w:r w:rsidRPr="1102D1F0" w:rsidR="7A385E8F">
        <w:rPr>
          <w:rFonts w:ascii="Calibri" w:hAnsi="Calibri" w:eastAsia="Calibri" w:cs="Calibri"/>
          <w:noProof w:val="0"/>
          <w:sz w:val="22"/>
          <w:szCs w:val="22"/>
          <w:lang w:val="en-GB"/>
        </w:rPr>
        <w:t xml:space="preserve"> </w:t>
      </w:r>
    </w:p>
    <w:p w:rsidR="001C59E2" w:rsidP="1102D1F0" w:rsidRDefault="001C59E2" w14:paraId="6582303A" w14:textId="0C50DFC5">
      <w:pPr>
        <w:spacing w:after="160" w:afterAutospacing="off" w:line="257" w:lineRule="auto"/>
      </w:pPr>
      <w:r w:rsidRPr="1102D1F0" w:rsidR="7A385E8F">
        <w:rPr>
          <w:rFonts w:ascii="Calibri" w:hAnsi="Calibri" w:eastAsia="Calibri" w:cs="Calibri"/>
          <w:noProof w:val="0"/>
          <w:sz w:val="22"/>
          <w:szCs w:val="22"/>
          <w:lang w:val="en-GB"/>
        </w:rPr>
        <w:t>Anna Sorea, student number 2242166</w:t>
      </w:r>
    </w:p>
    <w:p w:rsidR="001C59E2" w:rsidP="1102D1F0" w:rsidRDefault="001C59E2" w14:paraId="6A4356AA" w14:textId="455AFF57">
      <w:pPr>
        <w:pStyle w:val="Normal"/>
      </w:pPr>
    </w:p>
    <w:p w:rsidR="001C59E2" w:rsidP="001C59E2" w:rsidRDefault="001C59E2" w14:paraId="7CA3B3DD" w14:textId="77777777"/>
    <w:p w:rsidR="001C59E2" w:rsidP="001C59E2" w:rsidRDefault="001C59E2" w14:paraId="512EC084" w14:textId="77777777"/>
    <w:p w:rsidR="001C59E2" w:rsidP="001C59E2" w:rsidRDefault="001C59E2" w14:paraId="4FDC14DB" w14:textId="77777777"/>
    <w:p w:rsidR="001C59E2" w:rsidP="001C59E2" w:rsidRDefault="001C59E2" w14:paraId="5EC43548" w14:textId="77777777"/>
    <w:p w:rsidR="001C59E2" w:rsidP="1102D1F0" w:rsidRDefault="001C59E2" w14:paraId="4054D706" w14:textId="5CDEB191">
      <w:pPr>
        <w:pStyle w:val="Normal"/>
      </w:pPr>
    </w:p>
    <w:p w:rsidR="001C59E2" w:rsidP="001C59E2" w:rsidRDefault="001C59E2" w14:paraId="511D78BF" w14:textId="440722FF"/>
    <w:p w:rsidR="001C59E2" w:rsidP="001C59E2" w:rsidRDefault="001C59E2" w14:paraId="7E772458" w14:textId="77777777"/>
    <w:p w:rsidR="001C59E2" w:rsidP="001C59E2" w:rsidRDefault="001C59E2" w14:paraId="70D3C063" w14:textId="77777777"/>
    <w:p w:rsidR="001C59E2" w:rsidP="001C59E2" w:rsidRDefault="001C59E2" w14:paraId="40B96429" w14:textId="77777777"/>
    <w:p w:rsidR="001C59E2" w:rsidP="001C59E2" w:rsidRDefault="001C59E2" w14:paraId="0CE501F7" w14:textId="77777777"/>
    <w:p w:rsidR="001C59E2" w:rsidP="001C59E2" w:rsidRDefault="001C59E2" w14:paraId="456E107B" w14:textId="77777777"/>
    <w:p w:rsidR="001C59E2" w:rsidP="1102D1F0" w:rsidRDefault="001C59E2" w14:paraId="400A7DED" w14:textId="6D4F681B">
      <w:pPr>
        <w:pStyle w:val="Normal"/>
      </w:pPr>
    </w:p>
    <w:p w:rsidR="001C59E2" w:rsidP="001C59E2" w:rsidRDefault="001C59E2" w14:paraId="6A16DD27" w14:textId="77777777"/>
    <w:p w:rsidR="001C59E2" w:rsidP="001C59E2" w:rsidRDefault="001C59E2" w14:paraId="33BD820D" w14:textId="77777777"/>
    <w:p w:rsidRPr="001C59E2" w:rsidR="001C59E2" w:rsidP="1102D1F0" w:rsidRDefault="001C59E2" w14:paraId="495756C4" w14:textId="62947A38">
      <w:pPr>
        <w:pStyle w:val="Normal"/>
      </w:pPr>
    </w:p>
    <w:p w:rsidR="00BB053A" w:rsidP="006A0868" w:rsidRDefault="00BB053A" w14:paraId="1CA8B3AD" w14:textId="77777777"/>
    <w:p w:rsidR="00BB053A" w:rsidP="00BC063B" w:rsidRDefault="00BB053A" w14:paraId="500F2F35" w14:textId="77777777">
      <w:pPr>
        <w:pStyle w:val="Title"/>
        <w:rPr>
          <w:rFonts w:ascii="Arial" w:hAnsi="Arial" w:cs="Arial"/>
        </w:rPr>
      </w:pPr>
    </w:p>
    <w:p w:rsidR="00BB053A" w:rsidP="00BC063B" w:rsidRDefault="00BB053A" w14:paraId="09AB8A4B" w14:textId="77777777">
      <w:pPr>
        <w:pStyle w:val="Title"/>
        <w:rPr>
          <w:rFonts w:ascii="Arial" w:hAnsi="Arial" w:cs="Arial"/>
        </w:rPr>
      </w:pPr>
    </w:p>
    <w:p w:rsidR="00BB053A" w:rsidP="00BC063B" w:rsidRDefault="00BB053A" w14:paraId="348783CF" w14:textId="77777777">
      <w:pPr>
        <w:pStyle w:val="Title"/>
        <w:rPr>
          <w:rFonts w:ascii="Arial" w:hAnsi="Arial" w:cs="Arial"/>
        </w:rPr>
      </w:pPr>
    </w:p>
    <w:p w:rsidR="00BB053A" w:rsidP="00BC063B" w:rsidRDefault="00BB053A" w14:paraId="031B7BFC" w14:textId="77777777">
      <w:pPr>
        <w:pStyle w:val="Title"/>
        <w:rPr>
          <w:rFonts w:ascii="Arial" w:hAnsi="Arial" w:cs="Arial"/>
        </w:rPr>
      </w:pPr>
    </w:p>
    <w:p w:rsidR="00BB053A" w:rsidP="00BC063B" w:rsidRDefault="00BB053A" w14:paraId="76A6A5EC" w14:textId="77777777">
      <w:pPr>
        <w:pStyle w:val="Title"/>
        <w:rPr>
          <w:rFonts w:ascii="Arial" w:hAnsi="Arial" w:cs="Arial"/>
        </w:rPr>
      </w:pPr>
    </w:p>
    <w:p w:rsidR="00BB053A" w:rsidP="00BC063B" w:rsidRDefault="00BB053A" w14:paraId="76896FBA" w14:textId="77777777">
      <w:pPr>
        <w:pStyle w:val="Title"/>
        <w:rPr>
          <w:rFonts w:ascii="Arial" w:hAnsi="Arial" w:cs="Arial"/>
        </w:rPr>
      </w:pPr>
    </w:p>
    <w:p w:rsidR="00BB053A" w:rsidP="00BC063B" w:rsidRDefault="00BB053A" w14:paraId="60A5CDF5" w14:textId="77777777">
      <w:pPr>
        <w:pStyle w:val="Title"/>
        <w:rPr>
          <w:rFonts w:ascii="Arial" w:hAnsi="Arial" w:cs="Arial"/>
        </w:rPr>
      </w:pPr>
    </w:p>
    <w:p w:rsidR="00BB053A" w:rsidP="00BC063B" w:rsidRDefault="00BB053A" w14:paraId="14E49758" w14:textId="73D44A40">
      <w:pPr>
        <w:pStyle w:val="Title"/>
        <w:rPr>
          <w:rFonts w:ascii="Arial" w:hAnsi="Arial" w:cs="Arial"/>
        </w:rPr>
      </w:pPr>
    </w:p>
    <w:p w:rsidR="00BB053A" w:rsidP="00BC063B" w:rsidRDefault="00BB053A" w14:paraId="1E1BD960" w14:textId="77777777">
      <w:pPr>
        <w:pStyle w:val="Title"/>
        <w:rPr>
          <w:rFonts w:ascii="Arial" w:hAnsi="Arial" w:cs="Arial"/>
        </w:rPr>
      </w:pPr>
    </w:p>
    <w:p w:rsidR="000C6331" w:rsidP="00BC063B" w:rsidRDefault="000C6331" w14:paraId="1541584A" w14:textId="32317A94">
      <w:pPr>
        <w:pStyle w:val="Title"/>
        <w:rPr>
          <w:rFonts w:ascii="Arial" w:hAnsi="Arial" w:cs="Arial"/>
        </w:rPr>
        <w:sectPr w:rsidR="000C6331" w:rsidSect="003C1DD6">
          <w:pgSz w:w="11906" w:h="16838" w:orient="portrait"/>
          <w:pgMar w:top="1440" w:right="1440" w:bottom="1440" w:left="1440" w:header="708" w:footer="708" w:gutter="0"/>
          <w:pgNumType w:start="0"/>
          <w:cols w:space="708"/>
          <w:titlePg/>
          <w:docGrid w:linePitch="360"/>
        </w:sectPr>
      </w:pPr>
    </w:p>
    <w:p w:rsidR="004A4D09" w:rsidP="004A4D09" w:rsidRDefault="004A4D09" w14:paraId="515F1E97" w14:textId="77777777"/>
    <w:p w:rsidRPr="004A4D09" w:rsidR="001C59E2" w:rsidP="004A4D09" w:rsidRDefault="001C59E2" w14:paraId="6C803AFE" w14:textId="174A8464">
      <w:pPr>
        <w:sectPr w:rsidR="001C59E2" w:rsidSect="004E634D">
          <w:pgSz w:w="16838" w:h="11906" w:orient="landscape"/>
          <w:pgMar w:top="1440" w:right="1440" w:bottom="1440" w:left="1440" w:header="708" w:footer="708" w:gutter="0"/>
          <w:cols w:space="708"/>
          <w:docGrid w:linePitch="360"/>
        </w:sectPr>
      </w:pPr>
    </w:p>
    <w:p w:rsidRPr="001C59E2" w:rsidR="001C59E2" w:rsidP="1102D1F0" w:rsidRDefault="001C59E2" w14:paraId="7FA2D1D7" w14:textId="77A74538">
      <w:pPr>
        <w:pStyle w:val="Normal"/>
      </w:pPr>
    </w:p>
    <w:p w:rsidRPr="00294AA2" w:rsidR="00294AA2" w:rsidP="00294AA2" w:rsidRDefault="00294AA2" w14:paraId="0063F486" w14:textId="77777777"/>
    <w:sectPr w:rsidRPr="00294AA2" w:rsidR="00294AA2" w:rsidSect="00294AA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4128" w:rsidP="004E333B" w:rsidRDefault="001C4128" w14:paraId="52D58534" w14:textId="77777777">
      <w:pPr>
        <w:spacing w:after="0" w:line="240" w:lineRule="auto"/>
      </w:pPr>
      <w:r>
        <w:separator/>
      </w:r>
    </w:p>
  </w:endnote>
  <w:endnote w:type="continuationSeparator" w:id="0">
    <w:p w:rsidR="001C4128" w:rsidP="004E333B" w:rsidRDefault="001C4128" w14:paraId="6DDBEA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4128" w:rsidP="004E333B" w:rsidRDefault="001C4128" w14:paraId="5610444C" w14:textId="77777777">
      <w:pPr>
        <w:spacing w:after="0" w:line="240" w:lineRule="auto"/>
      </w:pPr>
      <w:r>
        <w:separator/>
      </w:r>
    </w:p>
  </w:footnote>
  <w:footnote w:type="continuationSeparator" w:id="0">
    <w:p w:rsidR="001C4128" w:rsidP="004E333B" w:rsidRDefault="001C4128" w14:paraId="5E6949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4">
    <w:nsid w:val="66d91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4e4e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4ad89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88e53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62a6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666ac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2041c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12e6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c6f7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9a2f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ad1f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fd63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0947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1602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953e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6ab83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4e7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7e85b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9f3c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d77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f98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a8da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804c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a97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ef2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5ff2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597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f91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f71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D92FCE"/>
    <w:multiLevelType w:val="hybridMultilevel"/>
    <w:tmpl w:val="2878E334"/>
    <w:lvl w:ilvl="0" w:tplc="34C007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A58B4"/>
    <w:multiLevelType w:val="hybridMultilevel"/>
    <w:tmpl w:val="8DD0F4FE"/>
    <w:lvl w:ilvl="0" w:tplc="6C3EE616">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C4243B"/>
    <w:multiLevelType w:val="hybridMultilevel"/>
    <w:tmpl w:val="B1C68ED8"/>
    <w:lvl w:ilvl="0" w:tplc="D480F0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895AC0"/>
    <w:multiLevelType w:val="hybridMultilevel"/>
    <w:tmpl w:val="3198F436"/>
    <w:lvl w:ilvl="0" w:tplc="841E0CE0">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C577672"/>
    <w:multiLevelType w:val="hybridMultilevel"/>
    <w:tmpl w:val="0316D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16cid:durableId="2013100322">
    <w:abstractNumId w:val="4"/>
  </w:num>
  <w:num w:numId="2" w16cid:durableId="493301747">
    <w:abstractNumId w:val="1"/>
  </w:num>
  <w:num w:numId="3" w16cid:durableId="648556564">
    <w:abstractNumId w:val="0"/>
  </w:num>
  <w:num w:numId="4" w16cid:durableId="1144010277">
    <w:abstractNumId w:val="2"/>
  </w:num>
  <w:num w:numId="5" w16cid:durableId="473791436">
    <w:abstractNumId w:val="5"/>
  </w:num>
  <w:num w:numId="6" w16cid:durableId="8315315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DisplayPageBoundarie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07331"/>
    <w:rsid w:val="000121F0"/>
    <w:rsid w:val="000123A4"/>
    <w:rsid w:val="0002356F"/>
    <w:rsid w:val="00026385"/>
    <w:rsid w:val="00034E29"/>
    <w:rsid w:val="00044627"/>
    <w:rsid w:val="0006009C"/>
    <w:rsid w:val="0006184B"/>
    <w:rsid w:val="000767EF"/>
    <w:rsid w:val="000803A2"/>
    <w:rsid w:val="000863D3"/>
    <w:rsid w:val="000941CC"/>
    <w:rsid w:val="00097393"/>
    <w:rsid w:val="000A1194"/>
    <w:rsid w:val="000A1797"/>
    <w:rsid w:val="000A5405"/>
    <w:rsid w:val="000A6859"/>
    <w:rsid w:val="000B02DA"/>
    <w:rsid w:val="000C6331"/>
    <w:rsid w:val="000D4F7A"/>
    <w:rsid w:val="000E41DC"/>
    <w:rsid w:val="000E5816"/>
    <w:rsid w:val="000F5F62"/>
    <w:rsid w:val="000F6EEE"/>
    <w:rsid w:val="00103C7B"/>
    <w:rsid w:val="00112652"/>
    <w:rsid w:val="00120A6D"/>
    <w:rsid w:val="001247E5"/>
    <w:rsid w:val="00131F54"/>
    <w:rsid w:val="0013722F"/>
    <w:rsid w:val="00141925"/>
    <w:rsid w:val="00143525"/>
    <w:rsid w:val="001456ED"/>
    <w:rsid w:val="001610EB"/>
    <w:rsid w:val="00161D49"/>
    <w:rsid w:val="00166C52"/>
    <w:rsid w:val="00172468"/>
    <w:rsid w:val="00174A6F"/>
    <w:rsid w:val="00175513"/>
    <w:rsid w:val="00176B94"/>
    <w:rsid w:val="00180AFD"/>
    <w:rsid w:val="00191596"/>
    <w:rsid w:val="00193818"/>
    <w:rsid w:val="001B29A5"/>
    <w:rsid w:val="001B43B5"/>
    <w:rsid w:val="001B7BAA"/>
    <w:rsid w:val="001B7CCB"/>
    <w:rsid w:val="001C4128"/>
    <w:rsid w:val="001C59E2"/>
    <w:rsid w:val="001C6DCA"/>
    <w:rsid w:val="001D0C3B"/>
    <w:rsid w:val="001D3983"/>
    <w:rsid w:val="001E1FB4"/>
    <w:rsid w:val="001E737F"/>
    <w:rsid w:val="00210AD4"/>
    <w:rsid w:val="002310C5"/>
    <w:rsid w:val="0025623D"/>
    <w:rsid w:val="002577B3"/>
    <w:rsid w:val="00260276"/>
    <w:rsid w:val="0026221E"/>
    <w:rsid w:val="0026266E"/>
    <w:rsid w:val="002716EC"/>
    <w:rsid w:val="00274323"/>
    <w:rsid w:val="002820EE"/>
    <w:rsid w:val="0028225C"/>
    <w:rsid w:val="00285DDE"/>
    <w:rsid w:val="00292B14"/>
    <w:rsid w:val="00294AA2"/>
    <w:rsid w:val="00297082"/>
    <w:rsid w:val="002B7532"/>
    <w:rsid w:val="002C5173"/>
    <w:rsid w:val="002C569F"/>
    <w:rsid w:val="002D02D9"/>
    <w:rsid w:val="002D3502"/>
    <w:rsid w:val="002E46EC"/>
    <w:rsid w:val="002F1796"/>
    <w:rsid w:val="002F3F46"/>
    <w:rsid w:val="002F4B8F"/>
    <w:rsid w:val="0030171E"/>
    <w:rsid w:val="00306EFA"/>
    <w:rsid w:val="00312D56"/>
    <w:rsid w:val="00324663"/>
    <w:rsid w:val="00335202"/>
    <w:rsid w:val="00341029"/>
    <w:rsid w:val="00341FE3"/>
    <w:rsid w:val="00345261"/>
    <w:rsid w:val="003454C0"/>
    <w:rsid w:val="00350510"/>
    <w:rsid w:val="0035721B"/>
    <w:rsid w:val="00371AC6"/>
    <w:rsid w:val="00372BFD"/>
    <w:rsid w:val="003864F3"/>
    <w:rsid w:val="003932E9"/>
    <w:rsid w:val="003A2116"/>
    <w:rsid w:val="003A36D9"/>
    <w:rsid w:val="003A65EE"/>
    <w:rsid w:val="003B1E2E"/>
    <w:rsid w:val="003B2DF9"/>
    <w:rsid w:val="003C1DD6"/>
    <w:rsid w:val="003D6904"/>
    <w:rsid w:val="003E356E"/>
    <w:rsid w:val="003F11B7"/>
    <w:rsid w:val="003F31CA"/>
    <w:rsid w:val="00400BE2"/>
    <w:rsid w:val="00414482"/>
    <w:rsid w:val="00430D3D"/>
    <w:rsid w:val="004421CE"/>
    <w:rsid w:val="0044614B"/>
    <w:rsid w:val="0045130E"/>
    <w:rsid w:val="004633CC"/>
    <w:rsid w:val="00466287"/>
    <w:rsid w:val="00471446"/>
    <w:rsid w:val="00475363"/>
    <w:rsid w:val="0047690B"/>
    <w:rsid w:val="00480ED0"/>
    <w:rsid w:val="00485930"/>
    <w:rsid w:val="00492069"/>
    <w:rsid w:val="00492617"/>
    <w:rsid w:val="00494312"/>
    <w:rsid w:val="00495826"/>
    <w:rsid w:val="0049753F"/>
    <w:rsid w:val="004A0DFB"/>
    <w:rsid w:val="004A4D09"/>
    <w:rsid w:val="004A50A8"/>
    <w:rsid w:val="004A546A"/>
    <w:rsid w:val="004B1A6C"/>
    <w:rsid w:val="004B48E4"/>
    <w:rsid w:val="004B7886"/>
    <w:rsid w:val="004C34F3"/>
    <w:rsid w:val="004C7C4B"/>
    <w:rsid w:val="004D28BC"/>
    <w:rsid w:val="004D3483"/>
    <w:rsid w:val="004D6009"/>
    <w:rsid w:val="004E0688"/>
    <w:rsid w:val="004E333B"/>
    <w:rsid w:val="004E634D"/>
    <w:rsid w:val="004F2662"/>
    <w:rsid w:val="004F3C4F"/>
    <w:rsid w:val="004F4C33"/>
    <w:rsid w:val="004F5959"/>
    <w:rsid w:val="00503DBA"/>
    <w:rsid w:val="00507FE5"/>
    <w:rsid w:val="00514DD9"/>
    <w:rsid w:val="00520FD6"/>
    <w:rsid w:val="005214E7"/>
    <w:rsid w:val="00527117"/>
    <w:rsid w:val="00531267"/>
    <w:rsid w:val="0053573B"/>
    <w:rsid w:val="005424CA"/>
    <w:rsid w:val="00550DEC"/>
    <w:rsid w:val="005518A8"/>
    <w:rsid w:val="00554233"/>
    <w:rsid w:val="00557D6E"/>
    <w:rsid w:val="0056403D"/>
    <w:rsid w:val="00564D15"/>
    <w:rsid w:val="0058038D"/>
    <w:rsid w:val="005B2157"/>
    <w:rsid w:val="005B444E"/>
    <w:rsid w:val="005C30F7"/>
    <w:rsid w:val="005D0A17"/>
    <w:rsid w:val="005D0BB9"/>
    <w:rsid w:val="005E7A37"/>
    <w:rsid w:val="005F35FC"/>
    <w:rsid w:val="005F63B1"/>
    <w:rsid w:val="006044C0"/>
    <w:rsid w:val="00604D0F"/>
    <w:rsid w:val="00620B67"/>
    <w:rsid w:val="00630E1D"/>
    <w:rsid w:val="00651538"/>
    <w:rsid w:val="00652F53"/>
    <w:rsid w:val="00656B91"/>
    <w:rsid w:val="00676A00"/>
    <w:rsid w:val="0069686D"/>
    <w:rsid w:val="006A0868"/>
    <w:rsid w:val="006A0AA1"/>
    <w:rsid w:val="006A3449"/>
    <w:rsid w:val="006A3E89"/>
    <w:rsid w:val="006F3E49"/>
    <w:rsid w:val="00703F7B"/>
    <w:rsid w:val="007107F1"/>
    <w:rsid w:val="00715316"/>
    <w:rsid w:val="007170A2"/>
    <w:rsid w:val="00733F36"/>
    <w:rsid w:val="007342C4"/>
    <w:rsid w:val="00741961"/>
    <w:rsid w:val="00744941"/>
    <w:rsid w:val="00746DC0"/>
    <w:rsid w:val="00750B29"/>
    <w:rsid w:val="00753907"/>
    <w:rsid w:val="00763EB6"/>
    <w:rsid w:val="007641FA"/>
    <w:rsid w:val="0076603F"/>
    <w:rsid w:val="0077330E"/>
    <w:rsid w:val="007747BA"/>
    <w:rsid w:val="007861B9"/>
    <w:rsid w:val="0079563B"/>
    <w:rsid w:val="007975E7"/>
    <w:rsid w:val="007B7824"/>
    <w:rsid w:val="007D1A7D"/>
    <w:rsid w:val="007D1D2E"/>
    <w:rsid w:val="007D5225"/>
    <w:rsid w:val="007D5C45"/>
    <w:rsid w:val="007E0771"/>
    <w:rsid w:val="007E5169"/>
    <w:rsid w:val="007F1DC2"/>
    <w:rsid w:val="007F2671"/>
    <w:rsid w:val="00810578"/>
    <w:rsid w:val="00811605"/>
    <w:rsid w:val="00811EB5"/>
    <w:rsid w:val="00820922"/>
    <w:rsid w:val="00824E72"/>
    <w:rsid w:val="00835F85"/>
    <w:rsid w:val="00842A42"/>
    <w:rsid w:val="00843031"/>
    <w:rsid w:val="0084362C"/>
    <w:rsid w:val="00844123"/>
    <w:rsid w:val="00854F88"/>
    <w:rsid w:val="0085684C"/>
    <w:rsid w:val="00861F55"/>
    <w:rsid w:val="0087179B"/>
    <w:rsid w:val="00874D88"/>
    <w:rsid w:val="00875149"/>
    <w:rsid w:val="00881028"/>
    <w:rsid w:val="00884468"/>
    <w:rsid w:val="00897412"/>
    <w:rsid w:val="008A64CB"/>
    <w:rsid w:val="008A7549"/>
    <w:rsid w:val="008A77D4"/>
    <w:rsid w:val="008C1CBE"/>
    <w:rsid w:val="008E5361"/>
    <w:rsid w:val="00911175"/>
    <w:rsid w:val="009149AC"/>
    <w:rsid w:val="00922B59"/>
    <w:rsid w:val="00924807"/>
    <w:rsid w:val="00940A91"/>
    <w:rsid w:val="00946E1A"/>
    <w:rsid w:val="009501F8"/>
    <w:rsid w:val="0095169C"/>
    <w:rsid w:val="0095431F"/>
    <w:rsid w:val="00956893"/>
    <w:rsid w:val="00967106"/>
    <w:rsid w:val="00993556"/>
    <w:rsid w:val="00997982"/>
    <w:rsid w:val="009A1B89"/>
    <w:rsid w:val="009A33DE"/>
    <w:rsid w:val="009A5971"/>
    <w:rsid w:val="009C0992"/>
    <w:rsid w:val="009C0DC1"/>
    <w:rsid w:val="009C1E86"/>
    <w:rsid w:val="009C291C"/>
    <w:rsid w:val="009C34F0"/>
    <w:rsid w:val="009D190B"/>
    <w:rsid w:val="009D5466"/>
    <w:rsid w:val="009D5AB5"/>
    <w:rsid w:val="009E1520"/>
    <w:rsid w:val="009E5009"/>
    <w:rsid w:val="009F32ED"/>
    <w:rsid w:val="00A02A65"/>
    <w:rsid w:val="00A02FE4"/>
    <w:rsid w:val="00A0730F"/>
    <w:rsid w:val="00A1136A"/>
    <w:rsid w:val="00A15477"/>
    <w:rsid w:val="00A26F5D"/>
    <w:rsid w:val="00A405A7"/>
    <w:rsid w:val="00A44B45"/>
    <w:rsid w:val="00A45640"/>
    <w:rsid w:val="00A4663C"/>
    <w:rsid w:val="00A547B8"/>
    <w:rsid w:val="00A60725"/>
    <w:rsid w:val="00A63BD3"/>
    <w:rsid w:val="00A64B43"/>
    <w:rsid w:val="00A66151"/>
    <w:rsid w:val="00A74701"/>
    <w:rsid w:val="00A7555E"/>
    <w:rsid w:val="00A765BB"/>
    <w:rsid w:val="00AB2485"/>
    <w:rsid w:val="00AB5B5D"/>
    <w:rsid w:val="00AB7068"/>
    <w:rsid w:val="00AC023E"/>
    <w:rsid w:val="00AD5F85"/>
    <w:rsid w:val="00AE434C"/>
    <w:rsid w:val="00B032CC"/>
    <w:rsid w:val="00B1225B"/>
    <w:rsid w:val="00B24401"/>
    <w:rsid w:val="00B428E4"/>
    <w:rsid w:val="00B50F75"/>
    <w:rsid w:val="00B611DE"/>
    <w:rsid w:val="00B905A2"/>
    <w:rsid w:val="00BA182A"/>
    <w:rsid w:val="00BA2AF2"/>
    <w:rsid w:val="00BB053A"/>
    <w:rsid w:val="00BB446F"/>
    <w:rsid w:val="00BC063B"/>
    <w:rsid w:val="00BC434F"/>
    <w:rsid w:val="00BD6EA7"/>
    <w:rsid w:val="00BD703C"/>
    <w:rsid w:val="00BE5E59"/>
    <w:rsid w:val="00C021F3"/>
    <w:rsid w:val="00C11374"/>
    <w:rsid w:val="00C12F98"/>
    <w:rsid w:val="00C215D4"/>
    <w:rsid w:val="00C26198"/>
    <w:rsid w:val="00C3310A"/>
    <w:rsid w:val="00C33F8A"/>
    <w:rsid w:val="00C35839"/>
    <w:rsid w:val="00C3649D"/>
    <w:rsid w:val="00C51D4C"/>
    <w:rsid w:val="00C637D5"/>
    <w:rsid w:val="00C73950"/>
    <w:rsid w:val="00C74A12"/>
    <w:rsid w:val="00C757E1"/>
    <w:rsid w:val="00C76DEA"/>
    <w:rsid w:val="00C8075F"/>
    <w:rsid w:val="00C8394C"/>
    <w:rsid w:val="00C86BDB"/>
    <w:rsid w:val="00C91BAE"/>
    <w:rsid w:val="00C95544"/>
    <w:rsid w:val="00CB7D7B"/>
    <w:rsid w:val="00CD1342"/>
    <w:rsid w:val="00CD28DC"/>
    <w:rsid w:val="00CE1769"/>
    <w:rsid w:val="00D02601"/>
    <w:rsid w:val="00D041EB"/>
    <w:rsid w:val="00D26025"/>
    <w:rsid w:val="00D26A25"/>
    <w:rsid w:val="00D3219C"/>
    <w:rsid w:val="00D425D0"/>
    <w:rsid w:val="00D4446B"/>
    <w:rsid w:val="00D5532F"/>
    <w:rsid w:val="00D566A2"/>
    <w:rsid w:val="00D65EC6"/>
    <w:rsid w:val="00D67947"/>
    <w:rsid w:val="00D75DE8"/>
    <w:rsid w:val="00D80BAB"/>
    <w:rsid w:val="00D91C90"/>
    <w:rsid w:val="00DA4EB1"/>
    <w:rsid w:val="00DA647F"/>
    <w:rsid w:val="00DA7569"/>
    <w:rsid w:val="00DB4F5B"/>
    <w:rsid w:val="00DD1EA4"/>
    <w:rsid w:val="00DD375D"/>
    <w:rsid w:val="00DE4649"/>
    <w:rsid w:val="00DE589D"/>
    <w:rsid w:val="00DF21BC"/>
    <w:rsid w:val="00DF77B3"/>
    <w:rsid w:val="00E145FD"/>
    <w:rsid w:val="00E17ED1"/>
    <w:rsid w:val="00E2234C"/>
    <w:rsid w:val="00E22CE7"/>
    <w:rsid w:val="00E26994"/>
    <w:rsid w:val="00E272A2"/>
    <w:rsid w:val="00E31F46"/>
    <w:rsid w:val="00E34ED0"/>
    <w:rsid w:val="00E36ADD"/>
    <w:rsid w:val="00E40C73"/>
    <w:rsid w:val="00E60783"/>
    <w:rsid w:val="00E64A2F"/>
    <w:rsid w:val="00E66D79"/>
    <w:rsid w:val="00E7426F"/>
    <w:rsid w:val="00E75BDA"/>
    <w:rsid w:val="00E862E1"/>
    <w:rsid w:val="00E91BDB"/>
    <w:rsid w:val="00E954D2"/>
    <w:rsid w:val="00E97F28"/>
    <w:rsid w:val="00EA228E"/>
    <w:rsid w:val="00EA5F13"/>
    <w:rsid w:val="00ED2BF8"/>
    <w:rsid w:val="00ED5F75"/>
    <w:rsid w:val="00EE2E8F"/>
    <w:rsid w:val="00EE5C9F"/>
    <w:rsid w:val="00EE76AA"/>
    <w:rsid w:val="00EF3AAF"/>
    <w:rsid w:val="00EF4CB3"/>
    <w:rsid w:val="00F12475"/>
    <w:rsid w:val="00F22EF6"/>
    <w:rsid w:val="00F426C2"/>
    <w:rsid w:val="00F50D50"/>
    <w:rsid w:val="00F514F7"/>
    <w:rsid w:val="00F6262E"/>
    <w:rsid w:val="00F772F1"/>
    <w:rsid w:val="00F82C87"/>
    <w:rsid w:val="00F8465E"/>
    <w:rsid w:val="00FA6405"/>
    <w:rsid w:val="00FA6427"/>
    <w:rsid w:val="00FB4E7B"/>
    <w:rsid w:val="00FC2AF9"/>
    <w:rsid w:val="00FD2A25"/>
    <w:rsid w:val="00FE1954"/>
    <w:rsid w:val="00FE344C"/>
    <w:rsid w:val="00FE59D3"/>
    <w:rsid w:val="00FF21DC"/>
    <w:rsid w:val="00FF2FEB"/>
    <w:rsid w:val="00FF561C"/>
    <w:rsid w:val="01662A7B"/>
    <w:rsid w:val="0301FADC"/>
    <w:rsid w:val="09713C60"/>
    <w:rsid w:val="0E86B015"/>
    <w:rsid w:val="1102D1F0"/>
    <w:rsid w:val="1C069F35"/>
    <w:rsid w:val="1C3AD585"/>
    <w:rsid w:val="1CC6EE72"/>
    <w:rsid w:val="1FFE8F34"/>
    <w:rsid w:val="219A5F95"/>
    <w:rsid w:val="21FF1443"/>
    <w:rsid w:val="27E0D131"/>
    <w:rsid w:val="28BFA067"/>
    <w:rsid w:val="3276AD5D"/>
    <w:rsid w:val="359B8402"/>
    <w:rsid w:val="388C6717"/>
    <w:rsid w:val="39FDF6FF"/>
    <w:rsid w:val="3A283778"/>
    <w:rsid w:val="41ACBDA8"/>
    <w:rsid w:val="47DBA4AD"/>
    <w:rsid w:val="48C81BBE"/>
    <w:rsid w:val="48C9FA0D"/>
    <w:rsid w:val="49F0AD7F"/>
    <w:rsid w:val="4C21D8DD"/>
    <w:rsid w:val="6179AED6"/>
    <w:rsid w:val="6395557B"/>
    <w:rsid w:val="6DD9D2CF"/>
    <w:rsid w:val="73AD803E"/>
    <w:rsid w:val="7548DD3D"/>
    <w:rsid w:val="757CFDFC"/>
    <w:rsid w:val="7A385E8F"/>
    <w:rsid w:val="7AF052F1"/>
    <w:rsid w:val="7F8692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jpg" Id="Rea5a2e4d6cfa496c" /><Relationship Type="http://schemas.openxmlformats.org/officeDocument/2006/relationships/image" Target="/media/image2.jpg" Id="R7bc79a1347f04b53" /><Relationship Type="http://schemas.openxmlformats.org/officeDocument/2006/relationships/hyperlink" Target="https://doi.org/10.1007/s10940-014-9236-3" TargetMode="External" Id="Ra17de466d4c74825" /><Relationship Type="http://schemas.openxmlformats.org/officeDocument/2006/relationships/hyperlink" Target="https://doi.org/10.1177/0093854816668218" TargetMode="External" Id="R87817165db5141d7" /><Relationship Type="http://schemas.openxmlformats.org/officeDocument/2006/relationships/hyperlink" Target="https://www.college.police.uk/research/crime-reduction-toolkit/body-worn-cameras" TargetMode="External" Id="Rb1b56bc1d7de4367" /><Relationship Type="http://schemas.openxmlformats.org/officeDocument/2006/relationships/hyperlink" Target="https://www.cps.gov.uk/legal-guidance/exhibits" TargetMode="External" Id="Rea7cafd40ae34ef9" /><Relationship Type="http://schemas.openxmlformats.org/officeDocument/2006/relationships/hyperlink" Target="http://www.dtssolutions/" TargetMode="External" Id="Reaf15ea6881a4a94" /><Relationship Type="http://schemas.openxmlformats.org/officeDocument/2006/relationships/hyperlink" Target="http://www.theatlantic.com/international/archive/2014/12/do-police-body-cameraswork-ferguson/383323/" TargetMode="External" Id="R85111e30582d4abf" /><Relationship Type="http://schemas.openxmlformats.org/officeDocument/2006/relationships/hyperlink" Target="http://library.college.police.uk/" TargetMode="External" Id="R264eab708edc4284" /><Relationship Type="http://schemas.openxmlformats.org/officeDocument/2006/relationships/hyperlink" Target="https://www.policeforum.org/assets/BWCCostBenefit.pdf" TargetMode="External" Id="Rc3159f887b51445d" /><Relationship Type="http://schemas.openxmlformats.org/officeDocument/2006/relationships/hyperlink" Target="https://doi.org/10.1016/j.jcrimjus.2015.10.003" TargetMode="External" Id="Rb358796327a04e92" /><Relationship Type="http://schemas.openxmlformats.org/officeDocument/2006/relationships/hyperlink" Target="https://doi.org/10.1108/PIJPSM-03-2017-0032" TargetMode="External" Id="Rbbe05fc1484c4430" /><Relationship Type="http://schemas.openxmlformats.org/officeDocument/2006/relationships/hyperlink" Target="https://www.met.police.uk/advice/advice-and-information/bwv/body-worn-video-bwv/how-and-when-bwv-cameras-are-used/" TargetMode="External" Id="R06a6a7c611914c23" /><Relationship Type="http://schemas.openxmlformats.org/officeDocument/2006/relationships/hyperlink" Target="https://www.theguardian.com/education/2020/feb/07/schools-trial-body-cameras-to-aid-safety-and-monitor-behaviour" TargetMode="External" Id="Rcf2ac7c262634899" /><Relationship Type="http://schemas.openxmlformats.org/officeDocument/2006/relationships/hyperlink" Target="https://doi.org/10.1177/1098611116652850" TargetMode="External" Id="R7503ca9ddee24db1" /><Relationship Type="http://schemas.openxmlformats.org/officeDocument/2006/relationships/hyperlink" Target="https://library.college.police.uk/docs/NPCC/Body-worn-video-2022.pdf" TargetMode="External" Id="Rd4094f41156042f0" /><Relationship Type="http://schemas.openxmlformats.org/officeDocument/2006/relationships/hyperlink" Target="http://bwvsg.com/wp-content/uploads/2013/07/BWV-Scottish-Report.pdf" TargetMode="External" Id="Rb3af337b9f0a4105" /><Relationship Type="http://schemas.openxmlformats.org/officeDocument/2006/relationships/hyperlink" Target="http://bwvsg.com/wp-content/uploads/2013/07/BWV_ReportEssTrial.pdf" TargetMode="External" Id="R5f1f4d9ad3b545cc" /><Relationship Type="http://schemas.openxmlformats.org/officeDocument/2006/relationships/hyperlink" Target="https://www.westyorkshire.police.uk/sites/default/files/2019-08/easy_read_body_worn_video.pdf" TargetMode="External" Id="Red5b2e81c5e74d34" /><Relationship Type="http://schemas.openxmlformats.org/officeDocument/2006/relationships/hyperlink" Target="https://doi.org/10.1093/police/paz043" TargetMode="External" Id="Rc14e94311dad4bc0" /><Relationship Type="http://schemas.openxmlformats.org/officeDocument/2006/relationships/glossaryDocument" Target="glossary/document.xml" Id="R3b0366d43aae4c4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563bfbf-ce3f-436e-b342-651e607c010a}"/>
      </w:docPartPr>
      <w:docPartBody>
        <w:p w14:paraId="0BE2D59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11" ma:contentTypeDescription="Create a new document." ma:contentTypeScope="" ma:versionID="20beeff6b8dcaddfc6699e7e8e71a471">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464c52a0a035b2a0f16edeaa8b0eeaf4"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6194F8-4B1C-4791-B03F-E1DC14AE9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22E253-B0A3-4A5F-8A78-807D8F9F8FD3}">
  <ds:schemaRefs>
    <ds:schemaRef ds:uri="http://schemas.microsoft.com/sharepoint/v3/contenttype/forms"/>
  </ds:schemaRefs>
</ds:datastoreItem>
</file>

<file path=customXml/itemProps4.xml><?xml version="1.0" encoding="utf-8"?>
<ds:datastoreItem xmlns:ds="http://schemas.openxmlformats.org/officeDocument/2006/customXml" ds:itemID="{E626D2F6-8A70-4CF5-80A8-A23738750129}">
  <ds:schemaRefs>
    <ds:schemaRef ds:uri="http://schemas.microsoft.com/office/2006/metadata/properties"/>
    <ds:schemaRef ds:uri="http://schemas.microsoft.com/office/infopath/2007/PartnerControls"/>
    <ds:schemaRef ds:uri="f44b670a-3a67-4b3c-bc07-2aa1bbea4ee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
 E portfolio</dc:title>
  <dc:subject>Learning in the Digital Era – BMPL4007</dc:subject>
  <dc:creator>Name</dc:creator>
  <keywords/>
  <dc:description/>
  <lastModifiedBy>Anna Sorea (2242166)</lastModifiedBy>
  <revision>136</revision>
  <dcterms:created xsi:type="dcterms:W3CDTF">2023-07-01T09:11:00.0000000Z</dcterms:created>
  <dcterms:modified xsi:type="dcterms:W3CDTF">2023-07-28T19:04:17.0266239Z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