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14:paraId="36ED1114" wp14:textId="77777777">
      <w:pPr>
        <w:pStyle w:val="Title"/>
        <w:jc w:val="center"/>
      </w:pPr>
      <w:r>
        <w:t>Ashford Community Care Service</w:t>
      </w:r>
    </w:p>
    <w:p xmlns:wp14="http://schemas.microsoft.com/office/word/2010/wordml" w14:paraId="5F293FEC" wp14:textId="77777777">
      <w:pPr>
        <w:jc w:val="center"/>
      </w:pPr>
      <w:r>
        <w:t>Whole-group presentation speaking script</w:t>
      </w:r>
    </w:p>
    <w:p xmlns:wp14="http://schemas.microsoft.com/office/word/2010/wordml" w14:paraId="7304B994" wp14:textId="77777777">
      <w:pPr>
        <w:jc w:val="center"/>
      </w:pPr>
      <w:r>
        <w:t>Topic: Writing care-related documents / care records using Microsoft Word</w:t>
      </w:r>
    </w:p>
    <w:p xmlns:wp14="http://schemas.microsoft.com/office/word/2010/wordml" w14:paraId="5DE2654D" wp14:textId="77777777">
      <w:r>
        <w:t>Suggested structure: 3 presenters × approximately 5 minutes each, followed by 5 minutes of questions and answers. Adjust names and timings to suit your group.</w:t>
      </w:r>
    </w:p>
    <w:p xmlns:wp14="http://schemas.microsoft.com/office/word/2010/wordml" w14:paraId="6408A43F" wp14:textId="4F210DDA">
      <w:pPr>
        <w:pStyle w:val="Heading1"/>
      </w:pPr>
      <w:r w:rsidR="3A397E1C">
        <w:rPr/>
        <w:t>Sohail Raja  – Case study and why care records matter (Slides 1–4; about 5 minutes)</w:t>
      </w:r>
    </w:p>
    <w:p xmlns:wp14="http://schemas.microsoft.com/office/word/2010/wordml" w14:paraId="212532AD" wp14:textId="77777777">
      <w:r>
        <w:t>Hello everyone. Our presentation looks at how Microsoft Word could support writing care-related documents and care records at Ashford Community Care Service.</w:t>
      </w:r>
      <w:r>
        <w:br/>
      </w:r>
      <w:r>
        <w:br/>
      </w:r>
      <w:r>
        <w:t>The Ashford case study describes a service that supports adults with physical disabilities and long-term care needs. Staff provide daily care, medication reminders, appointment support and wellbeing checks. They work across service users’ homes, supported-living settings and the main office.</w:t>
      </w:r>
      <w:r>
        <w:br/>
      </w:r>
      <w:r>
        <w:br/>
      </w:r>
      <w:r>
        <w:t>The case study identifies several problems: missed updates, duplicated work, inconsistent records and inefficient ways of working. These issues matter because staff need to understand what care has already been provided, what has changed and whether any follow-up is needed. If information is incomplete or difficult to find, communication between workers can become less reliable.</w:t>
      </w:r>
      <w:r>
        <w:br/>
      </w:r>
      <w:r>
        <w:br/>
      </w:r>
      <w:r>
        <w:t>Our selected workplace task is writing care-related documents and care records. These may include daily care notes, wellbeing checks, records of concerns and summaries of actions taken. The purpose is not simply to complete paperwork. Records help staff communicate, provide continuity and show what happened and when.</w:t>
      </w:r>
      <w:r>
        <w:br/>
      </w:r>
      <w:r>
        <w:br/>
      </w:r>
      <w:r>
        <w:t>NHS England’s Records Management Code of Practice provides guidance for managing health and social care records, including how records are organised, stored, retained and managed. The Nursing and Midwifery Council’s Code also sets expectations for clear and accurate records for nurses and nursing associates. The NMC Code does not apply to every Ashford role, but its principles demonstrate the importance of reliable documentation.</w:t>
      </w:r>
      <w:r>
        <w:br/>
      </w:r>
      <w:r>
        <w:br/>
      </w:r>
      <w:r>
        <w:t>Our chosen Microsoft 365 tool is Word. We chose it because staff can create a standard template with headings, tables and prompts. For example, the template could have a section for the date and time, the care provided, observations, concerns, action taken and follow-up needed.</w:t>
      </w:r>
      <w:r>
        <w:br/>
      </w:r>
      <w:r>
        <w:br/>
      </w:r>
      <w:r>
        <w:t>A key point is that Word is a document-creation tool, not a specialist electronic care-record system. Ashford would need to use its approved system and policies for storing official records. Word could support the process if management approves it and staff know where documents must be saved.</w:t>
      </w:r>
      <w:r>
        <w:br/>
      </w:r>
      <w:r>
        <w:br/>
      </w:r>
      <w:r>
        <w:t>I will now hand over to Presenter 2, who will explain how a standard template could improve efficiency and communication.</w:t>
      </w:r>
    </w:p>
    <w:p xmlns:wp14="http://schemas.microsoft.com/office/word/2010/wordml" w14:paraId="54F51980" wp14:textId="5B6F5EA8">
      <w:pPr>
        <w:pStyle w:val="Heading1"/>
      </w:pPr>
      <w:r w:rsidR="1D72E1BA">
        <w:rPr/>
        <w:t>Farhan Ramzan</w:t>
      </w:r>
      <w:r w:rsidR="3F94AB10">
        <w:rPr/>
        <w:t xml:space="preserve"> – Word, </w:t>
      </w:r>
      <w:r w:rsidR="3F94AB10">
        <w:rPr/>
        <w:t>efficiency</w:t>
      </w:r>
      <w:r w:rsidR="3F94AB10">
        <w:rPr/>
        <w:t xml:space="preserve"> and communication (Slides 5–7; about 5 minutes)</w:t>
      </w:r>
    </w:p>
    <w:p xmlns:wp14="http://schemas.microsoft.com/office/word/2010/wordml" w14:paraId="17A2A9F5" wp14:textId="77777777">
      <w:r>
        <w:t>One practical recommendation is for Ashford to create one standard care-record template in Word. It should prompt staff to include only relevant information and to record it clearly.</w:t>
      </w:r>
      <w:r>
        <w:br/>
      </w:r>
      <w:r>
        <w:br/>
      </w:r>
      <w:r>
        <w:t>For example, the template could include the service user’s approved identifier, date and time, care or support provided, objective observations, any concerns, action taken, who was informed and whether follow-up is needed. Staff should separate what they directly observed from what someone else reported. They should also record the person’s own views where relevant and follow their role boundaries and workplace procedures.</w:t>
      </w:r>
      <w:r>
        <w:br/>
      </w:r>
      <w:r>
        <w:br/>
      </w:r>
      <w:r>
        <w:t>A standard template may improve efficiency because staff would not have to start with a blank document each time. The same headings could be used by different workers, making it easier to locate key information. It may also reduce missing details and variations in the way records are written.</w:t>
      </w:r>
      <w:r>
        <w:br/>
      </w:r>
      <w:r>
        <w:br/>
      </w:r>
      <w:r>
        <w:t>However, we should not claim that digital documentation automatically saves time. Baumann, Baker and Elshaug’s 2018 systematic review found that implementation of electronic health records was associated with increased documentation time for hospital staff in the studies they reviewed. The authors noted that staff may need time to adapt and that longer-term effects were not fully established. Although Ashford is a community care service and Word is not a full electronic health record, this evidence is a useful warning: any new process needs to be tested.</w:t>
      </w:r>
      <w:r>
        <w:br/>
      </w:r>
      <w:r>
        <w:br/>
      </w:r>
      <w:r>
        <w:t>The template could also support communication between support workers, senior care workers, nurses, care coordinators and administrative staff. Robertson and colleagues’ 2022 systematic review examined how electronic health records affect interprofessional practice. It shows that the effect on teamwork and communication is complex and depends on how systems are used. A consistent document can help, but it does not replace proper handovers, direct communication or escalation when something urgent happens.</w:t>
      </w:r>
      <w:r>
        <w:br/>
      </w:r>
      <w:r>
        <w:br/>
      </w:r>
      <w:r>
        <w:t>It is also important to be realistic about Word’s limits. A document may be copied, saved in the wrong place or left out of date. Word does not automatically guarantee that all staff can see the latest information. Ashford therefore needs a clear process for naming, saving, updating and accessing records.</w:t>
      </w:r>
      <w:r>
        <w:br/>
      </w:r>
      <w:r>
        <w:br/>
      </w:r>
      <w:r>
        <w:t>The main point is that Word could help staff record information in a consistent format. The benefit should then be checked by looking at whether records are more complete and whether duplicated work and missed updates reduce.</w:t>
      </w:r>
      <w:r>
        <w:br/>
      </w:r>
      <w:r>
        <w:br/>
      </w:r>
      <w:r>
        <w:t>I will hand over to Presenter 3, who will cover the risks, recommendations and conclusion.</w:t>
      </w:r>
    </w:p>
    <w:p xmlns:wp14="http://schemas.microsoft.com/office/word/2010/wordml" w14:paraId="7C4B35DD" wp14:textId="003516C8">
      <w:pPr>
        <w:pStyle w:val="Heading1"/>
      </w:pPr>
      <w:r w:rsidR="583E9AD6">
        <w:rPr/>
        <w:t>Rabecca macmillan</w:t>
      </w:r>
      <w:r w:rsidR="3F94AB10">
        <w:rPr/>
        <w:t xml:space="preserve"> – Risks, recommendations and conclusion (Slides 8–12; about 5 minutes)</w:t>
      </w:r>
    </w:p>
    <w:p xmlns:wp14="http://schemas.microsoft.com/office/word/2010/wordml" w14:paraId="74699897" wp14:textId="77777777">
      <w:r>
        <w:t>There are benefits and limitations to using Word for care-related documents.</w:t>
      </w:r>
      <w:r>
        <w:br/>
      </w:r>
      <w:r>
        <w:br/>
      </w:r>
      <w:r>
        <w:t>The benefits include a consistent structure, readable documents, easier updates to the template and professional-looking records. A well-designed template may make it easier for staff to find important information and complete records in a similar way.</w:t>
      </w:r>
      <w:r>
        <w:br/>
      </w:r>
      <w:r>
        <w:br/>
      </w:r>
      <w:r>
        <w:t>However, there are risks. Word is not a specialist care-record system, and a template cannot guarantee that information is correct or entered on time. Park and colleagues’ 2024 systematic review found that poor usability of electronic health records can increase nurses’ workload, lead to workarounds and potentially threaten patient safety. This supports the need to keep the template simple and test it with the staff who will use it. Wahyuni and colleagues’ 2024 systematic review also highlights the importance of standardised and logically structured electronic nursing documentation.</w:t>
      </w:r>
      <w:r>
        <w:br/>
      </w:r>
      <w:r>
        <w:br/>
      </w:r>
      <w:r>
        <w:t>Confidentiality is another important issue. Care records contain sensitive personal information. Staff must use only Ashford-approved accounts and storage locations, follow access permissions, and never share records through personal email or unauthorised accounts. The organisation should follow its information-governance and retention policies. We should also avoid using identifiable service-user information in examples or training materials.</w:t>
      </w:r>
      <w:r>
        <w:br/>
      </w:r>
      <w:r>
        <w:br/>
      </w:r>
      <w:r>
        <w:t>Our recommendations are as follows. First, Ashford should ask staff what information needs to be recorded and agree a minimum standard. Second, it should create one approved template with clear prompts. Third, management should confirm where the template and completed records must be stored and who can access them. Fourth, staff should receive training in accurate recording, confidentiality and escalation. Fifth, the organisation should pilot the template with a small team before introducing it more widely.</w:t>
      </w:r>
      <w:r>
        <w:br/>
      </w:r>
      <w:r>
        <w:br/>
      </w:r>
      <w:r>
        <w:t>Finally, Ashford should evaluate whether the change has worked. It could compare a sample of records from before and after the pilot, checking completeness, accuracy, timeliness and consistency. It could also ask staff whether the template is practical and monitor duplicated entries, missing updates and time spent documenting. If the template creates extra work, it should be changed.</w:t>
      </w:r>
      <w:r>
        <w:br/>
      </w:r>
      <w:r>
        <w:br/>
      </w:r>
      <w:r>
        <w:t>In conclusion, Microsoft Word could help Ashford standardise care-related documents and make records easier to follow. This directly addresses the case-study problems of inconsistent records, duplicated work and missed updates. However, the benefits depend on training, secure handling, clear procedures and evaluation. We recommend piloting a standard template while continuing to follow Ashford’s formal record-keeping system.</w:t>
      </w:r>
      <w:r>
        <w:br/>
      </w:r>
      <w:r>
        <w:br/>
      </w:r>
      <w:r>
        <w:t>Thank you for listening. We are happy to answer any questions.</w:t>
      </w:r>
    </w:p>
    <w:p xmlns:wp14="http://schemas.microsoft.com/office/word/2010/wordml" w14:paraId="1C2ECEFE" wp14:textId="77777777">
      <w:pPr>
        <w:pStyle w:val="Heading1"/>
      </w:pPr>
      <w:r>
        <w:t>Possible Q&amp;A questions and suggested answers</w:t>
      </w:r>
    </w:p>
    <w:p xmlns:wp14="http://schemas.microsoft.com/office/word/2010/wordml" w14:paraId="2FF05C38" wp14:textId="77777777">
      <w:pPr>
        <w:pStyle w:val="Heading2"/>
      </w:pPr>
      <w:r>
        <w:t>Why did you choose Word rather than Teams or Excel?</w:t>
      </w:r>
    </w:p>
    <w:p xmlns:wp14="http://schemas.microsoft.com/office/word/2010/wordml" w14:paraId="7233D383" wp14:textId="77777777">
      <w:r>
        <w:t>Our task is creating care-related documents. Word is designed for structured written documents and templates. Teams may support conversations and meetings, while Excel is better suited to tabular data and rotas. Word is the closest match to the task, provided Ashford stores official records in its approved system.</w:t>
      </w:r>
    </w:p>
    <w:p xmlns:wp14="http://schemas.microsoft.com/office/word/2010/wordml" w14:paraId="16DD2D19" wp14:textId="77777777">
      <w:pPr>
        <w:pStyle w:val="Heading2"/>
      </w:pPr>
      <w:r>
        <w:t>Is Word secure enough for confidential care records?</w:t>
      </w:r>
    </w:p>
    <w:p xmlns:wp14="http://schemas.microsoft.com/office/word/2010/wordml" w14:paraId="2761C0DC" wp14:textId="77777777">
      <w:r>
        <w:t>Security depends on Ashford’s approved setup, account permissions and storage policies. Staff should not save or share confidential records through personal accounts. Word itself does not replace the organisation’s information-governance requirements.</w:t>
      </w:r>
    </w:p>
    <w:p xmlns:wp14="http://schemas.microsoft.com/office/word/2010/wordml" w14:paraId="73AADBA0" wp14:textId="77777777">
      <w:pPr>
        <w:pStyle w:val="Heading2"/>
      </w:pPr>
      <w:r>
        <w:t>Will Word definitely save staff time?</w:t>
      </w:r>
    </w:p>
    <w:p xmlns:wp14="http://schemas.microsoft.com/office/word/2010/wordml" w14:paraId="780F85F3" wp14:textId="77777777">
      <w:r>
        <w:t>No. It may reduce repeated formatting and missing information, but research shows digital documentation can initially increase workload. Ashford should pilot the template and measure the time and quality of records.</w:t>
      </w:r>
    </w:p>
    <w:p xmlns:wp14="http://schemas.microsoft.com/office/word/2010/wordml" w14:paraId="00CD3FBA" wp14:textId="77777777">
      <w:pPr>
        <w:pStyle w:val="Heading2"/>
      </w:pPr>
      <w:r>
        <w:t>What should a good care record include?</w:t>
      </w:r>
    </w:p>
    <w:p xmlns:wp14="http://schemas.microsoft.com/office/word/2010/wordml" w14:paraId="5E743AA2" wp14:textId="77777777">
      <w:r>
        <w:t>Relevant facts, date and time, care provided, observations, concerns, action taken, who was informed and any follow-up needed. Staff should follow Ashford’s policies and only record information appropriate to their role.</w:t>
      </w:r>
    </w:p>
    <w:p xmlns:wp14="http://schemas.microsoft.com/office/word/2010/wordml" w14:paraId="46D61F0C" wp14:textId="77777777">
      <w:pPr>
        <w:pStyle w:val="Heading2"/>
      </w:pPr>
      <w:r>
        <w:t>How would you know if the recommendation works?</w:t>
      </w:r>
    </w:p>
    <w:p xmlns:wp14="http://schemas.microsoft.com/office/word/2010/wordml" w14:paraId="7FD0DEBD" wp14:textId="77777777">
      <w:r>
        <w:t>Compare records before and after the pilot, check completeness and timeliness, ask staff for feedback and monitor duplicated work or missed updates.</w:t>
      </w:r>
    </w:p>
    <w:p xmlns:wp14="http://schemas.microsoft.com/office/word/2010/wordml" w14:paraId="5771928A" wp14:textId="77777777">
      <w:pPr>
        <w:pStyle w:val="Heading1"/>
      </w:pPr>
      <w:r>
        <w:t>Harvard reference list</w:t>
      </w:r>
    </w:p>
    <w:p xmlns:wp14="http://schemas.microsoft.com/office/word/2010/wordml" w14:paraId="2BC4E34E" wp14:textId="77777777">
      <w:pPr>
        <w:spacing w:after="120"/>
        <w:ind w:left="360" w:hanging="360"/>
      </w:pPr>
      <w:r>
        <w:t>Baumann, L.A., Baker, J. and Elshaug, A.G. (2018) ‘The impact of electronic health record systems on clinical documentation times: A systematic review’, Health Policy, 122(8), pp. 827–836. Available at: https://doi.org/10.1016/j.healthpol.2018.05.014.</w:t>
      </w:r>
    </w:p>
    <w:p xmlns:wp14="http://schemas.microsoft.com/office/word/2010/wordml" w14:paraId="3B609E04" wp14:textId="77777777">
      <w:pPr>
        <w:spacing w:after="120"/>
        <w:ind w:left="360" w:hanging="360"/>
      </w:pPr>
      <w:r>
        <w:t>NHS England (2021) Records Management Code of Practice for Health and Social Care. Available at: https://digital.nhs.uk/data-and-information/information-governance/guidance/records-management-code-of-practice (Accessed: 9 October 2026).</w:t>
      </w:r>
    </w:p>
    <w:p xmlns:wp14="http://schemas.microsoft.com/office/word/2010/wordml" w14:paraId="39FC39E1" wp14:textId="77777777">
      <w:pPr>
        <w:spacing w:after="120"/>
        <w:ind w:left="360" w:hanging="360"/>
      </w:pPr>
      <w:r>
        <w:t>Nursing and Midwifery Council (NMC) (2018) The Code: Professional standards of practice and behaviour for nurses, midwives and nursing associates. Available at: https://www.nmc.org.uk/standards/code/ (Accessed: 9 October 2026).</w:t>
      </w:r>
    </w:p>
    <w:p xmlns:wp14="http://schemas.microsoft.com/office/word/2010/wordml" w14:paraId="085562F3" wp14:textId="77777777">
      <w:pPr>
        <w:spacing w:after="120"/>
        <w:ind w:left="360" w:hanging="360"/>
      </w:pPr>
      <w:r>
        <w:t>Park, S., Marquard, J., Austin, R.R., Pieczkiewicz, D., Jantraporn, R. and Delaney, C.W. (2024) ‘A systematic review of nurses’ perceptions of electronic health record usability based on the human factor goals of satisfaction, performance, and safety’, CIN: Computers, Informatics, Nursing, 42(3), pp. 168–175. Available at: https://doi.org/10.1097/CIN.0000000000001084.</w:t>
      </w:r>
    </w:p>
    <w:p xmlns:wp14="http://schemas.microsoft.com/office/word/2010/wordml" w14:paraId="3A20C350" wp14:textId="77777777">
      <w:pPr>
        <w:spacing w:after="120"/>
        <w:ind w:left="360" w:hanging="360"/>
      </w:pPr>
      <w:r>
        <w:t>Robertson, S.T., Rosbergen, I.C.M., Burton-Jones, A., Grimley, R.S. and Brauer, S.G. (2022) ‘The effect of the electronic health record on interprofessional practice: A systematic review’, Applied Clinical Informatics, 13(3), pp. 541–559. Available at: https://doi.org/10.1055/s-0042-1748855.</w:t>
      </w:r>
    </w:p>
    <w:p xmlns:wp14="http://schemas.microsoft.com/office/word/2010/wordml" w14:paraId="39E336E4" wp14:textId="77777777">
      <w:pPr>
        <w:spacing w:after="120"/>
        <w:ind w:left="360" w:hanging="360"/>
      </w:pPr>
      <w:r>
        <w:t>Wahyuni, E.D., Nursalam, Dewi, Y.S., Arifin, H. and Benjamin, L.S. (2024) ‘Electronic nursing documentation for patient safety, quality of nursing care, and documentation: A systematic review’, Journal of the Pakistan Medical Association, 74(9), pp. 1669–1677. Available at: https://doi.org/10.47391/JPMA.9996.</w:t>
      </w:r>
    </w:p>
    <w:p xmlns:wp14="http://schemas.microsoft.com/office/word/2010/wordml" w14:paraId="584725DD" wp14:textId="77777777">
      <w:pPr>
        <w:spacing w:after="120"/>
        <w:ind w:left="360" w:hanging="360"/>
      </w:pPr>
      <w:r>
        <w:t>Microsoft (n.d.) Microsoft Word. Available at: https://www.microsoft.com/en-gb/microsoft-365/word (Accessed: 9 October 2026).</w:t>
      </w:r>
    </w:p>
    <w:p xmlns:wp14="http://schemas.microsoft.com/office/word/2010/wordml" w14:paraId="18D897C8" wp14:textId="77777777">
      <w:pPr>
        <w:pStyle w:val="Heading1"/>
      </w:pPr>
      <w:r>
        <w:t>Harvard referencing reminder</w:t>
      </w:r>
    </w:p>
    <w:p xmlns:wp14="http://schemas.microsoft.com/office/word/2010/wordml" w14:paraId="174E5E45" wp14:textId="77777777">
      <w:r>
        <w:t>Use author and year in the presentation, for example (Baumann, Baker and Elshaug, 2018). For three or more authors, your university’s Harvard guide may allow ‘et al.’ in-text, for example (Robertson et al., 2022). Include the full source details in the reference list. Check your university’s specific Harvard guide because small formatting differences exist.</w:t>
      </w: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5B0AEC7"/>
    <w:rsid w:val="1D72E1BA"/>
    <w:rsid w:val="3A397E1C"/>
    <w:rsid w:val="3F94AB10"/>
    <w:rsid w:val="583E9AD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52251C72-9093-49C1-9635-0A410F9F9C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Aptos" w:hAnsi="Aptos"/>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Farhan Ramzan (2614818)</lastModifiedBy>
  <revision>2</revision>
  <dcterms:created xsi:type="dcterms:W3CDTF">2013-12-23T23:15:00.0000000Z</dcterms:created>
  <dcterms:modified xsi:type="dcterms:W3CDTF">2026-10-09T14:41:47.7684957Z</dcterms:modified>
  <category/>
</coreProperties>
</file>