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2CAC9" w14:textId="724A3027" w:rsidR="00455896" w:rsidRPr="00670286" w:rsidRDefault="00670286" w:rsidP="00670286">
      <w:pPr>
        <w:spacing w:before="120"/>
        <w:rPr>
          <w:rFonts w:ascii="Arial" w:hAnsi="Arial" w:cs="Arial"/>
          <w:sz w:val="32"/>
          <w:szCs w:val="32"/>
        </w:rPr>
        <w:sectPr w:rsidR="00455896" w:rsidRPr="00670286" w:rsidSect="00455896">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9264" behindDoc="0" locked="0" layoutInCell="1" allowOverlap="1" wp14:anchorId="07B85D4F" wp14:editId="5F9C5574">
                <wp:simplePos x="0" y="0"/>
                <wp:positionH relativeFrom="margin">
                  <wp:posOffset>298450</wp:posOffset>
                </wp:positionH>
                <wp:positionV relativeFrom="margin">
                  <wp:align>top</wp:align>
                </wp:positionV>
                <wp:extent cx="5151120" cy="4705350"/>
                <wp:effectExtent l="57150" t="38100" r="49530" b="76200"/>
                <wp:wrapSquare wrapText="bothSides"/>
                <wp:docPr id="1" name="Text Box 30"/>
                <wp:cNvGraphicFramePr/>
                <a:graphic xmlns:a="http://schemas.openxmlformats.org/drawingml/2006/main">
                  <a:graphicData uri="http://schemas.microsoft.com/office/word/2010/wordprocessingShape">
                    <wps:wsp>
                      <wps:cNvSpPr txBox="1"/>
                      <wps:spPr>
                        <a:xfrm>
                          <a:off x="0" y="0"/>
                          <a:ext cx="5151120" cy="4705916"/>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1AA532FD" w14:textId="77777777" w:rsidR="00670286" w:rsidRPr="00E968BB" w:rsidRDefault="00670286" w:rsidP="00670286">
                            <w:pPr>
                              <w:pStyle w:val="NoSpacing"/>
                              <w:rPr>
                                <w:rFonts w:asciiTheme="majorHAnsi" w:eastAsiaTheme="majorEastAsia" w:hAnsiTheme="majorHAnsi" w:cstheme="majorBidi"/>
                                <w:color w:val="262626" w:themeColor="text1" w:themeTint="D9"/>
                                <w:sz w:val="56"/>
                                <w:szCs w:val="56"/>
                              </w:rPr>
                            </w:pPr>
                            <w:sdt>
                              <w:sdtPr>
                                <w:rPr>
                                  <w:rFonts w:ascii="Arial" w:hAnsi="Arial" w:cs="Arial"/>
                                  <w:b/>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56"/>
                                    <w:szCs w:val="56"/>
                                  </w:rPr>
                                  <w:t xml:space="preserve">     </w:t>
                                </w:r>
                              </w:sdtContent>
                            </w:sdt>
                          </w:p>
                          <w:p w14:paraId="4EA1E535" w14:textId="77777777" w:rsidR="00670286" w:rsidRDefault="00670286" w:rsidP="00670286">
                            <w:pPr>
                              <w:spacing w:before="120"/>
                              <w:rPr>
                                <w:color w:val="404040" w:themeColor="text1" w:themeTint="BF"/>
                                <w:sz w:val="36"/>
                                <w:szCs w:val="36"/>
                              </w:rPr>
                            </w:pPr>
                          </w:p>
                          <w:p w14:paraId="33E2FF2B" w14:textId="1B8E479B" w:rsidR="00670286" w:rsidRPr="000D1423" w:rsidRDefault="00670286" w:rsidP="000D1423">
                            <w:pPr>
                              <w:spacing w:before="120"/>
                              <w:jc w:val="center"/>
                              <w:rPr>
                                <w:rFonts w:ascii="Arial" w:hAnsi="Arial" w:cs="Arial"/>
                                <w:b/>
                                <w:bCs/>
                                <w:color w:val="FFFFFF" w:themeColor="background1"/>
                                <w:sz w:val="32"/>
                                <w:szCs w:val="32"/>
                              </w:rPr>
                            </w:pPr>
                            <w:r w:rsidRPr="000D1423">
                              <w:rPr>
                                <w:rFonts w:ascii="Arial" w:hAnsi="Arial" w:cs="Arial"/>
                                <w:b/>
                                <w:bCs/>
                                <w:color w:val="FFFFFF" w:themeColor="background1"/>
                                <w:sz w:val="32"/>
                                <w:szCs w:val="32"/>
                              </w:rPr>
                              <w:t xml:space="preserve">MODULE TITLE: </w:t>
                            </w:r>
                            <w:r w:rsidR="000D1423" w:rsidRPr="000D1423">
                              <w:rPr>
                                <w:rFonts w:ascii="Arial" w:hAnsi="Arial" w:cs="Arial"/>
                                <w:color w:val="FFFFFF" w:themeColor="background1"/>
                                <w:sz w:val="32"/>
                                <w:szCs w:val="32"/>
                              </w:rPr>
                              <w:t>Introduction to Health and Social Care</w:t>
                            </w:r>
                          </w:p>
                          <w:p w14:paraId="2663D117" w14:textId="7BA72346" w:rsidR="00670286" w:rsidRPr="000D1423" w:rsidRDefault="00670286" w:rsidP="000D1423">
                            <w:pPr>
                              <w:spacing w:before="120"/>
                              <w:jc w:val="center"/>
                              <w:rPr>
                                <w:rFonts w:ascii="Arial" w:hAnsi="Arial" w:cs="Arial"/>
                                <w:color w:val="FFFFFF" w:themeColor="background1"/>
                                <w:sz w:val="32"/>
                                <w:szCs w:val="32"/>
                                <w:lang w:val="en-GB"/>
                              </w:rPr>
                            </w:pPr>
                            <w:r w:rsidRPr="000D1423">
                              <w:rPr>
                                <w:rFonts w:ascii="Arial" w:hAnsi="Arial" w:cs="Arial"/>
                                <w:b/>
                                <w:bCs/>
                                <w:color w:val="FFFFFF" w:themeColor="background1"/>
                                <w:sz w:val="32"/>
                                <w:szCs w:val="32"/>
                              </w:rPr>
                              <w:t xml:space="preserve">MODULE CODE: </w:t>
                            </w:r>
                            <w:r w:rsidR="000D1423" w:rsidRPr="000D1423">
                              <w:rPr>
                                <w:rFonts w:ascii="Arial" w:hAnsi="Arial" w:cs="Arial"/>
                                <w:color w:val="FFFFFF" w:themeColor="background1"/>
                                <w:sz w:val="32"/>
                                <w:szCs w:val="32"/>
                                <w:lang w:val="en-GB"/>
                              </w:rPr>
                              <w:t>LCHS4003</w:t>
                            </w:r>
                          </w:p>
                          <w:p w14:paraId="5E59293C" w14:textId="77777777" w:rsidR="00670286" w:rsidRPr="00670286" w:rsidRDefault="00670286" w:rsidP="004A6E67">
                            <w:pPr>
                              <w:spacing w:before="120"/>
                              <w:jc w:val="center"/>
                              <w:rPr>
                                <w:rFonts w:ascii="Arial" w:hAnsi="Arial" w:cs="Arial"/>
                                <w:color w:val="FFFFFF" w:themeColor="background1"/>
                                <w:sz w:val="32"/>
                                <w:szCs w:val="32"/>
                              </w:rPr>
                            </w:pPr>
                          </w:p>
                          <w:p w14:paraId="1D8FC062" w14:textId="77777777" w:rsidR="00670286" w:rsidRPr="00670286" w:rsidRDefault="00670286" w:rsidP="004A6E67">
                            <w:pPr>
                              <w:spacing w:before="120"/>
                              <w:jc w:val="center"/>
                              <w:rPr>
                                <w:rFonts w:ascii="Arial" w:hAnsi="Arial" w:cs="Arial"/>
                                <w:color w:val="FFFFFF" w:themeColor="background1"/>
                                <w:sz w:val="32"/>
                                <w:szCs w:val="32"/>
                              </w:rPr>
                            </w:pPr>
                          </w:p>
                          <w:p w14:paraId="2ED4446C" w14:textId="5FEDF7FD" w:rsidR="00670286" w:rsidRPr="00670286" w:rsidRDefault="00670286" w:rsidP="004A6E67">
                            <w:pPr>
                              <w:spacing w:before="120"/>
                              <w:jc w:val="center"/>
                              <w:rPr>
                                <w:rFonts w:ascii="Arial" w:hAnsi="Arial" w:cs="Arial"/>
                                <w:color w:val="FFFFFF" w:themeColor="background1"/>
                                <w:sz w:val="32"/>
                                <w:szCs w:val="32"/>
                              </w:rPr>
                            </w:pPr>
                            <w:r w:rsidRPr="00670286">
                              <w:rPr>
                                <w:rFonts w:ascii="Arial" w:hAnsi="Arial" w:cs="Arial"/>
                                <w:color w:val="FFFFFF" w:themeColor="background1"/>
                                <w:sz w:val="32"/>
                                <w:szCs w:val="32"/>
                              </w:rPr>
                              <w:t>STUDENT NAME: MAJDA OSMAN</w:t>
                            </w:r>
                          </w:p>
                          <w:p w14:paraId="2051AE64" w14:textId="51D7E53D" w:rsidR="00670286" w:rsidRPr="00670286" w:rsidRDefault="00670286" w:rsidP="004A6E67">
                            <w:pPr>
                              <w:spacing w:before="120"/>
                              <w:jc w:val="center"/>
                              <w:rPr>
                                <w:rFonts w:ascii="Arial" w:hAnsi="Arial" w:cs="Arial"/>
                                <w:color w:val="FFFFFF" w:themeColor="background1"/>
                                <w:sz w:val="32"/>
                                <w:szCs w:val="32"/>
                              </w:rPr>
                            </w:pPr>
                            <w:r w:rsidRPr="00670286">
                              <w:rPr>
                                <w:rFonts w:ascii="Arial" w:hAnsi="Arial" w:cs="Arial"/>
                                <w:color w:val="FFFFFF" w:themeColor="background1"/>
                                <w:sz w:val="32"/>
                                <w:szCs w:val="32"/>
                              </w:rPr>
                              <w:t>STUDENT NUMBER: 2422432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7B85D4F" id="_x0000_t202" coordsize="21600,21600" o:spt="202" path="m,l,21600r21600,l21600,xe">
                <v:stroke joinstyle="miter"/>
                <v:path gradientshapeok="t" o:connecttype="rect"/>
              </v:shapetype>
              <v:shape id="Text Box 30" o:spid="_x0000_s1026" type="#_x0000_t202" style="position:absolute;margin-left:23.5pt;margin-top:0;width:405.6pt;height:370.5pt;z-index:25165926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" fillcolor="#10aae5 [3031]" stroked="f">
                <v:fill color2="#0f9bd2 [3175]" rotate="t" colors="0 #47aadf;.5 #05a2df;1 #0094ce" focus="100%" type="gradient">
                  <o:fill v:ext="view" type="gradientUnscaled"/>
                </v:fill>
                <v:shadow on="t" color="black" opacity="41287f" offset="0,1.5pt"/>
                <v:textbox inset="0,0,0,0">
                  <w:txbxContent>
                    <w:p w14:paraId="1AA532FD" w14:textId="77777777" w:rsidR="00670286" w:rsidRPr="00E968BB" w:rsidRDefault="00670286" w:rsidP="00670286">
                      <w:pPr>
                        <w:pStyle w:val="NoSpacing"/>
                        <w:rPr>
                          <w:rFonts w:asciiTheme="majorHAnsi" w:eastAsiaTheme="majorEastAsia" w:hAnsiTheme="majorHAnsi" w:cstheme="majorBidi"/>
                          <w:color w:val="262626" w:themeColor="text1" w:themeTint="D9"/>
                          <w:sz w:val="56"/>
                          <w:szCs w:val="56"/>
                        </w:rPr>
                      </w:pPr>
                      <w:sdt>
                        <w:sdtPr>
                          <w:rPr>
                            <w:rFonts w:ascii="Arial" w:hAnsi="Arial" w:cs="Arial"/>
                            <w:b/>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56"/>
                              <w:szCs w:val="56"/>
                            </w:rPr>
                            <w:t xml:space="preserve">     </w:t>
                          </w:r>
                        </w:sdtContent>
                      </w:sdt>
                    </w:p>
                    <w:p w14:paraId="4EA1E535" w14:textId="77777777" w:rsidR="00670286" w:rsidRDefault="00670286" w:rsidP="00670286">
                      <w:pPr>
                        <w:spacing w:before="120"/>
                        <w:rPr>
                          <w:color w:val="404040" w:themeColor="text1" w:themeTint="BF"/>
                          <w:sz w:val="36"/>
                          <w:szCs w:val="36"/>
                        </w:rPr>
                      </w:pPr>
                    </w:p>
                    <w:p w14:paraId="33E2FF2B" w14:textId="1B8E479B" w:rsidR="00670286" w:rsidRPr="000D1423" w:rsidRDefault="00670286" w:rsidP="000D1423">
                      <w:pPr>
                        <w:spacing w:before="120"/>
                        <w:jc w:val="center"/>
                        <w:rPr>
                          <w:rFonts w:ascii="Arial" w:hAnsi="Arial" w:cs="Arial"/>
                          <w:b/>
                          <w:bCs/>
                          <w:color w:val="FFFFFF" w:themeColor="background1"/>
                          <w:sz w:val="32"/>
                          <w:szCs w:val="32"/>
                        </w:rPr>
                      </w:pPr>
                      <w:r w:rsidRPr="000D1423">
                        <w:rPr>
                          <w:rFonts w:ascii="Arial" w:hAnsi="Arial" w:cs="Arial"/>
                          <w:b/>
                          <w:bCs/>
                          <w:color w:val="FFFFFF" w:themeColor="background1"/>
                          <w:sz w:val="32"/>
                          <w:szCs w:val="32"/>
                        </w:rPr>
                        <w:t xml:space="preserve">MODULE TITLE: </w:t>
                      </w:r>
                      <w:r w:rsidR="000D1423" w:rsidRPr="000D1423">
                        <w:rPr>
                          <w:rFonts w:ascii="Arial" w:hAnsi="Arial" w:cs="Arial"/>
                          <w:color w:val="FFFFFF" w:themeColor="background1"/>
                          <w:sz w:val="32"/>
                          <w:szCs w:val="32"/>
                        </w:rPr>
                        <w:t>Introduction to Health and Social Care</w:t>
                      </w:r>
                    </w:p>
                    <w:p w14:paraId="2663D117" w14:textId="7BA72346" w:rsidR="00670286" w:rsidRPr="000D1423" w:rsidRDefault="00670286" w:rsidP="000D1423">
                      <w:pPr>
                        <w:spacing w:before="120"/>
                        <w:jc w:val="center"/>
                        <w:rPr>
                          <w:rFonts w:ascii="Arial" w:hAnsi="Arial" w:cs="Arial"/>
                          <w:color w:val="FFFFFF" w:themeColor="background1"/>
                          <w:sz w:val="32"/>
                          <w:szCs w:val="32"/>
                          <w:lang w:val="en-GB"/>
                        </w:rPr>
                      </w:pPr>
                      <w:r w:rsidRPr="000D1423">
                        <w:rPr>
                          <w:rFonts w:ascii="Arial" w:hAnsi="Arial" w:cs="Arial"/>
                          <w:b/>
                          <w:bCs/>
                          <w:color w:val="FFFFFF" w:themeColor="background1"/>
                          <w:sz w:val="32"/>
                          <w:szCs w:val="32"/>
                        </w:rPr>
                        <w:t xml:space="preserve">MODULE CODE: </w:t>
                      </w:r>
                      <w:r w:rsidR="000D1423" w:rsidRPr="000D1423">
                        <w:rPr>
                          <w:rFonts w:ascii="Arial" w:hAnsi="Arial" w:cs="Arial"/>
                          <w:color w:val="FFFFFF" w:themeColor="background1"/>
                          <w:sz w:val="32"/>
                          <w:szCs w:val="32"/>
                          <w:lang w:val="en-GB"/>
                        </w:rPr>
                        <w:t>LCHS4003</w:t>
                      </w:r>
                    </w:p>
                    <w:p w14:paraId="5E59293C" w14:textId="77777777" w:rsidR="00670286" w:rsidRPr="00670286" w:rsidRDefault="00670286" w:rsidP="004A6E67">
                      <w:pPr>
                        <w:spacing w:before="120"/>
                        <w:jc w:val="center"/>
                        <w:rPr>
                          <w:rFonts w:ascii="Arial" w:hAnsi="Arial" w:cs="Arial"/>
                          <w:color w:val="FFFFFF" w:themeColor="background1"/>
                          <w:sz w:val="32"/>
                          <w:szCs w:val="32"/>
                        </w:rPr>
                      </w:pPr>
                    </w:p>
                    <w:p w14:paraId="1D8FC062" w14:textId="77777777" w:rsidR="00670286" w:rsidRPr="00670286" w:rsidRDefault="00670286" w:rsidP="004A6E67">
                      <w:pPr>
                        <w:spacing w:before="120"/>
                        <w:jc w:val="center"/>
                        <w:rPr>
                          <w:rFonts w:ascii="Arial" w:hAnsi="Arial" w:cs="Arial"/>
                          <w:color w:val="FFFFFF" w:themeColor="background1"/>
                          <w:sz w:val="32"/>
                          <w:szCs w:val="32"/>
                        </w:rPr>
                      </w:pPr>
                    </w:p>
                    <w:p w14:paraId="2ED4446C" w14:textId="5FEDF7FD" w:rsidR="00670286" w:rsidRPr="00670286" w:rsidRDefault="00670286" w:rsidP="004A6E67">
                      <w:pPr>
                        <w:spacing w:before="120"/>
                        <w:jc w:val="center"/>
                        <w:rPr>
                          <w:rFonts w:ascii="Arial" w:hAnsi="Arial" w:cs="Arial"/>
                          <w:color w:val="FFFFFF" w:themeColor="background1"/>
                          <w:sz w:val="32"/>
                          <w:szCs w:val="32"/>
                        </w:rPr>
                      </w:pPr>
                      <w:r w:rsidRPr="00670286">
                        <w:rPr>
                          <w:rFonts w:ascii="Arial" w:hAnsi="Arial" w:cs="Arial"/>
                          <w:color w:val="FFFFFF" w:themeColor="background1"/>
                          <w:sz w:val="32"/>
                          <w:szCs w:val="32"/>
                        </w:rPr>
                        <w:t>STUDENT NAME: MAJDA OSMAN</w:t>
                      </w:r>
                    </w:p>
                    <w:p w14:paraId="2051AE64" w14:textId="51D7E53D" w:rsidR="00670286" w:rsidRPr="00670286" w:rsidRDefault="00670286" w:rsidP="004A6E67">
                      <w:pPr>
                        <w:spacing w:before="120"/>
                        <w:jc w:val="center"/>
                        <w:rPr>
                          <w:rFonts w:ascii="Arial" w:hAnsi="Arial" w:cs="Arial"/>
                          <w:color w:val="FFFFFF" w:themeColor="background1"/>
                          <w:sz w:val="32"/>
                          <w:szCs w:val="32"/>
                        </w:rPr>
                      </w:pPr>
                      <w:r w:rsidRPr="00670286">
                        <w:rPr>
                          <w:rFonts w:ascii="Arial" w:hAnsi="Arial" w:cs="Arial"/>
                          <w:color w:val="FFFFFF" w:themeColor="background1"/>
                          <w:sz w:val="32"/>
                          <w:szCs w:val="32"/>
                        </w:rPr>
                        <w:t>STUDENT NUMBER: 2422432</w:t>
                      </w:r>
                    </w:p>
                  </w:txbxContent>
                </v:textbox>
                <w10:wrap type="square" anchorx="margin" anchory="margin"/>
              </v:shape>
            </w:pict>
          </mc:Fallback>
        </mc:AlternateContent>
      </w:r>
    </w:p>
    <w:p w14:paraId="757A2ECC" w14:textId="46C0471E" w:rsidR="00455896" w:rsidRDefault="004A6E67">
      <w:pPr>
        <w:sectPr w:rsidR="00455896" w:rsidSect="00455896">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61312" behindDoc="0" locked="0" layoutInCell="1" allowOverlap="1" wp14:anchorId="59753605" wp14:editId="29C4D888">
            <wp:simplePos x="0" y="0"/>
            <wp:positionH relativeFrom="margin">
              <wp:align>center</wp:align>
            </wp:positionH>
            <wp:positionV relativeFrom="margin">
              <wp:align>center</wp:align>
            </wp:positionV>
            <wp:extent cx="9753600" cy="7315391"/>
            <wp:effectExtent l="0" t="0" r="0" b="0"/>
            <wp:wrapSquare wrapText="bothSides"/>
            <wp:docPr id="7884504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50489" name=""/>
                    <pic:cNvPicPr/>
                  </pic:nvPicPr>
                  <pic:blipFill>
                    <a:blip r:embed="rId5">
                      <a:extLst>
                        <a:ext uri="{96DAC541-7B7A-43D3-8B79-37D633B846F1}">
                          <asvg:svgBlip xmlns:asvg="http://schemas.microsoft.com/office/drawing/2016/SVG/main" r:embed="rId6"/>
                        </a:ext>
                      </a:extLst>
                    </a:blip>
                    <a:stretch>
                      <a:fillRect/>
                    </a:stretch>
                  </pic:blipFill>
                  <pic:spPr>
                    <a:xfrm>
                      <a:off x="0" y="0"/>
                      <a:ext cx="9753600" cy="7315391"/>
                    </a:xfrm>
                    <a:prstGeom prst="rect">
                      <a:avLst/>
                    </a:prstGeom>
                  </pic:spPr>
                </pic:pic>
              </a:graphicData>
            </a:graphic>
            <wp14:sizeRelH relativeFrom="margin">
              <wp14:pctWidth>0</wp14:pctWidth>
            </wp14:sizeRelH>
            <wp14:sizeRelV relativeFrom="margin">
              <wp14:pctHeight>0</wp14:pctHeight>
            </wp14:sizeRelV>
          </wp:anchor>
        </w:drawing>
      </w:r>
    </w:p>
    <w:p w14:paraId="448F17ED" w14:textId="4095A72E" w:rsidR="000D1423" w:rsidRPr="000D1423" w:rsidRDefault="000D1423" w:rsidP="004A6E67">
      <w:pPr>
        <w:spacing w:line="360" w:lineRule="auto"/>
        <w:rPr>
          <w:rFonts w:asciiTheme="minorBidi" w:hAnsiTheme="minorBidi"/>
          <w:b/>
          <w:bCs/>
        </w:rPr>
      </w:pPr>
      <w:r w:rsidRPr="000D1423">
        <w:rPr>
          <w:rFonts w:asciiTheme="minorBidi" w:hAnsiTheme="minorBidi"/>
          <w:b/>
          <w:bCs/>
        </w:rPr>
        <w:lastRenderedPageBreak/>
        <w:t xml:space="preserve">THE ESSAY </w:t>
      </w:r>
    </w:p>
    <w:p w14:paraId="7A872ADF" w14:textId="479BF191"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The NHS: How It Got There, What It Stands For, and Where It Is Heading</w:t>
      </w:r>
    </w:p>
    <w:p w14:paraId="2E84B41C"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The (NHS) is the UK’s biggest legacy of commitment to welfare. Based on the principle that everyone should receive care no matter how much (or little) we earn, the NHS represents fairness and social justice. Since its inception, it has mirrored the social and political changes of society, enduring constant reform and criticism.</w:t>
      </w:r>
    </w:p>
    <w:p w14:paraId="33FE5CD5"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Historical Context and Origins</w:t>
      </w:r>
    </w:p>
    <w:p w14:paraId="403C15DF" w14:textId="2B0A0515"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xml:space="preserve">The NHS was established in 1948 as a response to the suffering of World War II and the poverty of the interwar years. The postwar </w:t>
      </w:r>
      <w:r w:rsidRPr="004A6E67">
        <w:rPr>
          <w:rFonts w:asciiTheme="minorBidi" w:hAnsiTheme="minorBidi"/>
          <w:sz w:val="22"/>
          <w:szCs w:val="22"/>
        </w:rPr>
        <w:t>Labor</w:t>
      </w:r>
      <w:r w:rsidRPr="004A6E67">
        <w:rPr>
          <w:rFonts w:asciiTheme="minorBidi" w:hAnsiTheme="minorBidi"/>
          <w:sz w:val="22"/>
          <w:szCs w:val="22"/>
        </w:rPr>
        <w:t xml:space="preserve"> government, under Clement Attlee sought a system to enable national recovery and diminish social inequality. The Beveridge Report of 1942, written by </w:t>
      </w:r>
      <w:proofErr w:type="gramStart"/>
      <w:r w:rsidRPr="004A6E67">
        <w:rPr>
          <w:rFonts w:asciiTheme="minorBidi" w:hAnsiTheme="minorBidi"/>
          <w:sz w:val="22"/>
          <w:szCs w:val="22"/>
        </w:rPr>
        <w:t>sir</w:t>
      </w:r>
      <w:proofErr w:type="gramEnd"/>
      <w:r w:rsidRPr="004A6E67">
        <w:rPr>
          <w:rFonts w:asciiTheme="minorBidi" w:hAnsiTheme="minorBidi"/>
          <w:sz w:val="22"/>
          <w:szCs w:val="22"/>
        </w:rPr>
        <w:t xml:space="preserve"> William Beveridge, identified five “giant evils”: Want, Disease, Ignorance, Squalor and Idleness. Its recommendations led to the creation of a comprehensive healthcare service which would look after all its citizens “from the cradle to the grave”.</w:t>
      </w:r>
    </w:p>
    <w:p w14:paraId="5C1FD238"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The founding principles of the NHS were radical:</w:t>
      </w:r>
    </w:p>
    <w:p w14:paraId="4BD08FC0"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xml:space="preserve">It </w:t>
      </w:r>
      <w:proofErr w:type="gramStart"/>
      <w:r w:rsidRPr="004A6E67">
        <w:rPr>
          <w:rFonts w:asciiTheme="minorBidi" w:hAnsiTheme="minorBidi"/>
          <w:sz w:val="22"/>
          <w:szCs w:val="22"/>
        </w:rPr>
        <w:t>has to</w:t>
      </w:r>
      <w:proofErr w:type="gramEnd"/>
      <w:r w:rsidRPr="004A6E67">
        <w:rPr>
          <w:rFonts w:asciiTheme="minorBidi" w:hAnsiTheme="minorBidi"/>
          <w:sz w:val="22"/>
          <w:szCs w:val="22"/>
        </w:rPr>
        <w:t xml:space="preserve"> meet everyone’s health care needs.</w:t>
      </w:r>
    </w:p>
    <w:p w14:paraId="1B2797B0"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xml:space="preserve">It </w:t>
      </w:r>
      <w:proofErr w:type="gramStart"/>
      <w:r w:rsidRPr="004A6E67">
        <w:rPr>
          <w:rFonts w:asciiTheme="minorBidi" w:hAnsiTheme="minorBidi"/>
          <w:sz w:val="22"/>
          <w:szCs w:val="22"/>
        </w:rPr>
        <w:t>has to</w:t>
      </w:r>
      <w:proofErr w:type="gramEnd"/>
      <w:r w:rsidRPr="004A6E67">
        <w:rPr>
          <w:rFonts w:asciiTheme="minorBidi" w:hAnsiTheme="minorBidi"/>
          <w:sz w:val="22"/>
          <w:szCs w:val="22"/>
        </w:rPr>
        <w:t xml:space="preserve"> be free at the point of delivery.</w:t>
      </w:r>
    </w:p>
    <w:p w14:paraId="58F2F3BB"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Access should be based on clinical need, not financial ability to pay.</w:t>
      </w:r>
    </w:p>
    <w:p w14:paraId="7B7D40FF"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These tenets revolutionized the interaction between government and citizens, becoming a model for other countries to follow. From the start, the NHS depended on a diverse workforce, including international recruits, to keep pace with increasing patient needs.</w:t>
      </w:r>
    </w:p>
    <w:p w14:paraId="0F335E57"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Core Principles and Values</w:t>
      </w:r>
    </w:p>
    <w:p w14:paraId="45715470" w14:textId="285E0DC5" w:rsidR="004A6E67" w:rsidRPr="004A6E67" w:rsidRDefault="004A6E67" w:rsidP="0025499D">
      <w:pPr>
        <w:spacing w:line="360" w:lineRule="auto"/>
        <w:rPr>
          <w:rFonts w:asciiTheme="minorBidi" w:hAnsiTheme="minorBidi"/>
          <w:sz w:val="22"/>
          <w:szCs w:val="22"/>
        </w:rPr>
      </w:pPr>
      <w:r w:rsidRPr="004A6E67">
        <w:rPr>
          <w:rFonts w:asciiTheme="minorBidi" w:hAnsiTheme="minorBidi"/>
          <w:sz w:val="22"/>
          <w:szCs w:val="22"/>
        </w:rPr>
        <w:t xml:space="preserve">The NHS is still mostly being true to its founding principles of universalism, comprehensiveness and </w:t>
      </w:r>
      <w:proofErr w:type="gramStart"/>
      <w:r w:rsidRPr="004A6E67">
        <w:rPr>
          <w:rFonts w:asciiTheme="minorBidi" w:hAnsiTheme="minorBidi"/>
          <w:sz w:val="22"/>
          <w:szCs w:val="22"/>
        </w:rPr>
        <w:t>free</w:t>
      </w:r>
      <w:proofErr w:type="gramEnd"/>
      <w:r w:rsidRPr="004A6E67">
        <w:rPr>
          <w:rFonts w:asciiTheme="minorBidi" w:hAnsiTheme="minorBidi"/>
          <w:sz w:val="22"/>
          <w:szCs w:val="22"/>
        </w:rPr>
        <w:t xml:space="preserve"> at the point of delivery. It waits to embrace openness and accountability to the people. These perennial ideas inform all discussions of policy and function as criteria for judging reforms.</w:t>
      </w:r>
    </w:p>
    <w:p w14:paraId="27C1137F"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w:t>
      </w:r>
    </w:p>
    <w:p w14:paraId="3515BB91"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 xml:space="preserve">Structure and </w:t>
      </w:r>
      <w:proofErr w:type="gramStart"/>
      <w:r w:rsidRPr="004A6E67">
        <w:rPr>
          <w:rFonts w:asciiTheme="minorBidi" w:hAnsiTheme="minorBidi"/>
          <w:b/>
          <w:bCs/>
          <w:sz w:val="22"/>
          <w:szCs w:val="22"/>
        </w:rPr>
        <w:t>Functioning</w:t>
      </w:r>
      <w:proofErr w:type="gramEnd"/>
      <w:r w:rsidRPr="004A6E67">
        <w:rPr>
          <w:rFonts w:asciiTheme="minorBidi" w:hAnsiTheme="minorBidi"/>
          <w:b/>
          <w:bCs/>
          <w:sz w:val="22"/>
          <w:szCs w:val="22"/>
        </w:rPr>
        <w:t xml:space="preserve"> in 2025</w:t>
      </w:r>
    </w:p>
    <w:p w14:paraId="1DC967A5"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xml:space="preserve">From a system built around hospitals and local authorities, the NHS has </w:t>
      </w:r>
      <w:proofErr w:type="gramStart"/>
      <w:r w:rsidRPr="004A6E67">
        <w:rPr>
          <w:rFonts w:asciiTheme="minorBidi" w:hAnsiTheme="minorBidi"/>
          <w:sz w:val="22"/>
          <w:szCs w:val="22"/>
        </w:rPr>
        <w:t>transformed</w:t>
      </w:r>
      <w:proofErr w:type="gramEnd"/>
      <w:r w:rsidRPr="004A6E67">
        <w:rPr>
          <w:rFonts w:asciiTheme="minorBidi" w:hAnsiTheme="minorBidi"/>
          <w:sz w:val="22"/>
          <w:szCs w:val="22"/>
        </w:rPr>
        <w:t xml:space="preserve"> into one which is more joined-up and data-driven. 2025 Its </w:t>
      </w:r>
      <w:proofErr w:type="gramStart"/>
      <w:r w:rsidRPr="004A6E67">
        <w:rPr>
          <w:rFonts w:asciiTheme="minorBidi" w:hAnsiTheme="minorBidi"/>
          <w:sz w:val="22"/>
          <w:szCs w:val="22"/>
        </w:rPr>
        <w:t>rule</w:t>
      </w:r>
      <w:proofErr w:type="gramEnd"/>
      <w:r w:rsidRPr="004A6E67">
        <w:rPr>
          <w:rFonts w:asciiTheme="minorBidi" w:hAnsiTheme="minorBidi"/>
          <w:sz w:val="22"/>
          <w:szCs w:val="22"/>
        </w:rPr>
        <w:t xml:space="preserve"> and composition are being transformed by a series of significant changes.</w:t>
      </w:r>
    </w:p>
    <w:p w14:paraId="5299E0BC"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lastRenderedPageBreak/>
        <w:t>Key changes include:</w:t>
      </w:r>
    </w:p>
    <w:p w14:paraId="744F642F" w14:textId="6D880EAF"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xml:space="preserve">The Secretary of State for Health and Social Care has increased oversight, bringing decisions into the </w:t>
      </w:r>
      <w:r w:rsidRPr="004A6E67">
        <w:rPr>
          <w:rFonts w:asciiTheme="minorBidi" w:hAnsiTheme="minorBidi"/>
          <w:sz w:val="22"/>
          <w:szCs w:val="22"/>
        </w:rPr>
        <w:t>center</w:t>
      </w:r>
      <w:r w:rsidRPr="004A6E67">
        <w:rPr>
          <w:rFonts w:asciiTheme="minorBidi" w:hAnsiTheme="minorBidi"/>
          <w:sz w:val="22"/>
          <w:szCs w:val="22"/>
        </w:rPr>
        <w:t xml:space="preserve"> of government.</w:t>
      </w:r>
    </w:p>
    <w:p w14:paraId="24C361C0"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NHS England, once responsible for commissioning and performance management, is to be abolished, with its duties 'becoming part of' the Department of Health and Social Care.</w:t>
      </w:r>
    </w:p>
    <w:p w14:paraId="7689D432"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The ICBs will replace the existing Clinical Commissioning Groups and will be accountable for local health strategies.</w:t>
      </w:r>
    </w:p>
    <w:p w14:paraId="209E6D04"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National guidance on clinical and cost effectiveness continues to be provided by the National Institute for Health and Care Excellence (NICE).</w:t>
      </w:r>
    </w:p>
    <w:p w14:paraId="78C8E6D3"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The 2025–26 operational model will seek to drive efficiency through digital reform, local control and preventative care. It is also to eliminate bureaucracy and support community-led health programs.</w:t>
      </w:r>
    </w:p>
    <w:p w14:paraId="4E4C2B95"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Challenges and Future Outlook</w:t>
      </w:r>
    </w:p>
    <w:p w14:paraId="5B30C194"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Yet in 2025, as successful as the NHS is, there are some significant challenges. Under-staffing alongside growing patient numbers, and a shortage of funds is putting the quality of services in jeopardy. Escalating expenses, pay bickering and inflation add to these problems. Public reporting systems, such as league tables, designed to enhance transparency are frequently criticized for oversimplifying complex performance data and reducing staff morale.</w:t>
      </w:r>
    </w:p>
    <w:p w14:paraId="787F2B6C" w14:textId="5163A358"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xml:space="preserve">Transformation is a fuzzy concept with lots of caveats, and widely welcomed reforms to promote prevention and </w:t>
      </w:r>
      <w:r w:rsidRPr="004A6E67">
        <w:rPr>
          <w:rFonts w:asciiTheme="minorBidi" w:hAnsiTheme="minorBidi"/>
          <w:sz w:val="22"/>
          <w:szCs w:val="22"/>
        </w:rPr>
        <w:t>digitalization</w:t>
      </w:r>
      <w:r w:rsidRPr="004A6E67">
        <w:rPr>
          <w:rFonts w:asciiTheme="minorBidi" w:hAnsiTheme="minorBidi"/>
          <w:sz w:val="22"/>
          <w:szCs w:val="22"/>
        </w:rPr>
        <w:t xml:space="preserve"> do not guarantee long-term sustainability or fairness. They say the NHS needs to focus on its people’s health, get better at governing itself and bring in members of the public more directly in making it fit for the future.</w:t>
      </w:r>
    </w:p>
    <w:p w14:paraId="41B1B436" w14:textId="687A097A"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And in the end, despite contemporary pressures, that old promise of a British health care for all universal and free at the point of delivery has not been broken.</w:t>
      </w:r>
    </w:p>
    <w:p w14:paraId="595B5DB2" w14:textId="77777777" w:rsidR="004A6E67" w:rsidRPr="004A6E67" w:rsidRDefault="004A6E67" w:rsidP="004A6E67">
      <w:pPr>
        <w:spacing w:line="360" w:lineRule="auto"/>
        <w:rPr>
          <w:rFonts w:asciiTheme="minorBidi" w:hAnsiTheme="minorBidi"/>
          <w:sz w:val="22"/>
          <w:szCs w:val="22"/>
          <w:rtl/>
        </w:rPr>
      </w:pPr>
      <w:r w:rsidRPr="004A6E67">
        <w:rPr>
          <w:rFonts w:asciiTheme="minorBidi" w:hAnsiTheme="minorBidi"/>
          <w:sz w:val="22"/>
          <w:szCs w:val="22"/>
        </w:rPr>
        <w:t> </w:t>
      </w:r>
    </w:p>
    <w:p w14:paraId="21266CF4" w14:textId="77777777" w:rsidR="004A6E67" w:rsidRPr="004A6E67" w:rsidRDefault="004A6E67" w:rsidP="004A6E67">
      <w:pPr>
        <w:spacing w:line="360" w:lineRule="auto"/>
        <w:rPr>
          <w:rFonts w:asciiTheme="minorBidi" w:hAnsiTheme="minorBidi"/>
          <w:sz w:val="22"/>
          <w:szCs w:val="22"/>
          <w:rtl/>
        </w:rPr>
      </w:pPr>
    </w:p>
    <w:p w14:paraId="5A2E86B5" w14:textId="77777777" w:rsidR="004A6E67" w:rsidRDefault="004A6E67" w:rsidP="004A6E67">
      <w:pPr>
        <w:spacing w:line="360" w:lineRule="auto"/>
        <w:rPr>
          <w:rFonts w:asciiTheme="minorBidi" w:hAnsiTheme="minorBidi"/>
          <w:sz w:val="22"/>
          <w:szCs w:val="22"/>
        </w:rPr>
      </w:pPr>
    </w:p>
    <w:p w14:paraId="06DE6288" w14:textId="77777777" w:rsidR="004A6E67" w:rsidRDefault="004A6E67" w:rsidP="004A6E67">
      <w:pPr>
        <w:spacing w:line="360" w:lineRule="auto"/>
        <w:rPr>
          <w:rFonts w:asciiTheme="minorBidi" w:hAnsiTheme="minorBidi"/>
          <w:sz w:val="22"/>
          <w:szCs w:val="22"/>
        </w:rPr>
      </w:pPr>
    </w:p>
    <w:p w14:paraId="17C442B0" w14:textId="77777777" w:rsidR="0025499D" w:rsidRDefault="0025499D" w:rsidP="004A6E67">
      <w:pPr>
        <w:spacing w:line="360" w:lineRule="auto"/>
        <w:rPr>
          <w:rFonts w:asciiTheme="minorBidi" w:hAnsiTheme="minorBidi"/>
          <w:sz w:val="22"/>
          <w:szCs w:val="22"/>
        </w:rPr>
      </w:pPr>
    </w:p>
    <w:p w14:paraId="0DB5E195" w14:textId="77777777" w:rsidR="004A6E67" w:rsidRPr="004A6E67" w:rsidRDefault="004A6E67" w:rsidP="004A6E67">
      <w:pPr>
        <w:spacing w:line="360" w:lineRule="auto"/>
        <w:rPr>
          <w:rFonts w:asciiTheme="minorBidi" w:hAnsiTheme="minorBidi"/>
          <w:sz w:val="22"/>
          <w:szCs w:val="22"/>
        </w:rPr>
      </w:pPr>
    </w:p>
    <w:p w14:paraId="45F2C531"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References:</w:t>
      </w:r>
    </w:p>
    <w:p w14:paraId="0D83B0CF"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sz w:val="22"/>
          <w:szCs w:val="22"/>
        </w:rPr>
        <w:t> </w:t>
      </w:r>
    </w:p>
    <w:p w14:paraId="1022BE08"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1. Department of Health and Social Care (2025)</w:t>
      </w:r>
      <w:r w:rsidRPr="004A6E67">
        <w:rPr>
          <w:rFonts w:asciiTheme="minorBidi" w:hAnsiTheme="minorBidi"/>
          <w:sz w:val="22"/>
          <w:szCs w:val="22"/>
        </w:rPr>
        <w:t> Road to recovery: the government’s 2025 mandate to NHS England.  </w:t>
      </w:r>
      <w:hyperlink r:id="rId7" w:tgtFrame="_blank" w:history="1">
        <w:r w:rsidRPr="004A6E67">
          <w:rPr>
            <w:rStyle w:val="Hyperlink"/>
            <w:rFonts w:asciiTheme="minorBidi" w:hAnsiTheme="minorBidi"/>
            <w:sz w:val="22"/>
            <w:szCs w:val="22"/>
          </w:rPr>
          <w:t>https://www.gov.uk/government/publications/road-to-recovery-the-governments-2025-mandate-to-nhs-england/road-to-recovery-the-governments-2025-mandate-to-nhs-england</w:t>
        </w:r>
      </w:hyperlink>
      <w:r w:rsidRPr="004A6E67">
        <w:rPr>
          <w:rFonts w:asciiTheme="minorBidi" w:hAnsiTheme="minorBidi"/>
          <w:sz w:val="22"/>
          <w:szCs w:val="22"/>
        </w:rPr>
        <w:t>  </w:t>
      </w:r>
    </w:p>
    <w:p w14:paraId="1FE101AA"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2. HFMA (2025)</w:t>
      </w:r>
      <w:r w:rsidRPr="004A6E67">
        <w:rPr>
          <w:rFonts w:asciiTheme="minorBidi" w:hAnsiTheme="minorBidi"/>
          <w:sz w:val="22"/>
          <w:szCs w:val="22"/>
        </w:rPr>
        <w:t> Working together in 2025/26 to lay the foundations of reform – summary. HFMA, April.  </w:t>
      </w:r>
      <w:hyperlink r:id="rId8" w:tgtFrame="_blank" w:history="1">
        <w:r w:rsidRPr="004A6E67">
          <w:rPr>
            <w:rStyle w:val="Hyperlink"/>
            <w:rFonts w:asciiTheme="minorBidi" w:hAnsiTheme="minorBidi"/>
            <w:sz w:val="22"/>
            <w:szCs w:val="22"/>
          </w:rPr>
          <w:t>https://www.hfma.org.uk/publications/working-together-202526-lay-foundations-reform-summary</w:t>
        </w:r>
      </w:hyperlink>
      <w:r w:rsidRPr="004A6E67">
        <w:rPr>
          <w:rFonts w:asciiTheme="minorBidi" w:hAnsiTheme="minorBidi"/>
          <w:sz w:val="22"/>
          <w:szCs w:val="22"/>
        </w:rPr>
        <w:t>  </w:t>
      </w:r>
    </w:p>
    <w:p w14:paraId="1609988C"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3. NHS Confederation (2025)</w:t>
      </w:r>
      <w:r w:rsidRPr="004A6E67">
        <w:rPr>
          <w:rFonts w:asciiTheme="minorBidi" w:hAnsiTheme="minorBidi"/>
          <w:sz w:val="22"/>
          <w:szCs w:val="22"/>
        </w:rPr>
        <w:t> A new operating model for health and care.  </w:t>
      </w:r>
      <w:hyperlink r:id="rId9" w:tgtFrame="_blank" w:history="1">
        <w:r w:rsidRPr="004A6E67">
          <w:rPr>
            <w:rStyle w:val="Hyperlink"/>
            <w:rFonts w:asciiTheme="minorBidi" w:hAnsiTheme="minorBidi"/>
            <w:sz w:val="22"/>
            <w:szCs w:val="22"/>
          </w:rPr>
          <w:t>https://www.nhsconfed.org/publications/new-operating-model-health-and-care</w:t>
        </w:r>
      </w:hyperlink>
      <w:r w:rsidRPr="004A6E67">
        <w:rPr>
          <w:rFonts w:asciiTheme="minorBidi" w:hAnsiTheme="minorBidi"/>
          <w:sz w:val="22"/>
          <w:szCs w:val="22"/>
        </w:rPr>
        <w:t>  </w:t>
      </w:r>
    </w:p>
    <w:p w14:paraId="092DF8C5"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4. NHS England (2025a)</w:t>
      </w:r>
      <w:r w:rsidRPr="004A6E67">
        <w:rPr>
          <w:rFonts w:asciiTheme="minorBidi" w:hAnsiTheme="minorBidi"/>
          <w:sz w:val="22"/>
          <w:szCs w:val="22"/>
        </w:rPr>
        <w:t> Update on the draft Model ICB Blueprint and progress on the future NHS operating model.  </w:t>
      </w:r>
      <w:hyperlink r:id="rId10" w:tgtFrame="_blank" w:history="1">
        <w:r w:rsidRPr="004A6E67">
          <w:rPr>
            <w:rStyle w:val="Hyperlink"/>
            <w:rFonts w:asciiTheme="minorBidi" w:hAnsiTheme="minorBidi"/>
            <w:sz w:val="22"/>
            <w:szCs w:val="22"/>
          </w:rPr>
          <w:t>https://www.england.nhs.uk/long-read/update-on-the-draft-model-icb-blueprint-and-progress-on-the-future-nhs-operating-model/</w:t>
        </w:r>
      </w:hyperlink>
      <w:r w:rsidRPr="004A6E67">
        <w:rPr>
          <w:rFonts w:asciiTheme="minorBidi" w:hAnsiTheme="minorBidi"/>
          <w:sz w:val="22"/>
          <w:szCs w:val="22"/>
        </w:rPr>
        <w:t>  </w:t>
      </w:r>
    </w:p>
    <w:p w14:paraId="43AD631A"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5. NHS England (2025b)</w:t>
      </w:r>
      <w:r w:rsidRPr="004A6E67">
        <w:rPr>
          <w:rFonts w:asciiTheme="minorBidi" w:hAnsiTheme="minorBidi"/>
          <w:sz w:val="22"/>
          <w:szCs w:val="22"/>
        </w:rPr>
        <w:t> Working together in 2025/26 to lay the foundations for reform. 1 April.  </w:t>
      </w:r>
      <w:hyperlink r:id="rId11" w:tgtFrame="_blank" w:history="1">
        <w:r w:rsidRPr="004A6E67">
          <w:rPr>
            <w:rStyle w:val="Hyperlink"/>
            <w:rFonts w:asciiTheme="minorBidi" w:hAnsiTheme="minorBidi"/>
            <w:sz w:val="22"/>
            <w:szCs w:val="22"/>
          </w:rPr>
          <w:t>https://www.england.nhs.uk/publication/working-together-in-2025-26-to-lay-the-foundations-for-reform/</w:t>
        </w:r>
      </w:hyperlink>
      <w:r w:rsidRPr="004A6E67">
        <w:rPr>
          <w:rFonts w:asciiTheme="minorBidi" w:hAnsiTheme="minorBidi"/>
          <w:sz w:val="22"/>
          <w:szCs w:val="22"/>
        </w:rPr>
        <w:t>  </w:t>
      </w:r>
    </w:p>
    <w:p w14:paraId="6DBFA57F" w14:textId="77777777" w:rsidR="004A6E67" w:rsidRPr="004A6E67" w:rsidRDefault="004A6E67" w:rsidP="004A6E67">
      <w:pPr>
        <w:spacing w:line="360" w:lineRule="auto"/>
        <w:rPr>
          <w:rFonts w:asciiTheme="minorBidi" w:hAnsiTheme="minorBidi"/>
          <w:sz w:val="22"/>
          <w:szCs w:val="22"/>
        </w:rPr>
      </w:pPr>
      <w:r w:rsidRPr="004A6E67">
        <w:rPr>
          <w:rFonts w:asciiTheme="minorBidi" w:hAnsiTheme="minorBidi"/>
          <w:b/>
          <w:bCs/>
          <w:sz w:val="22"/>
          <w:szCs w:val="22"/>
        </w:rPr>
        <w:t>6. Peart, L. (</w:t>
      </w:r>
      <w:proofErr w:type="gramStart"/>
      <w:r w:rsidRPr="004A6E67">
        <w:rPr>
          <w:rFonts w:asciiTheme="minorBidi" w:hAnsiTheme="minorBidi"/>
          <w:b/>
          <w:bCs/>
          <w:sz w:val="22"/>
          <w:szCs w:val="22"/>
        </w:rPr>
        <w:t>2025)</w:t>
      </w:r>
      <w:r w:rsidRPr="004A6E67">
        <w:rPr>
          <w:rFonts w:asciiTheme="minorBidi" w:hAnsiTheme="minorBidi"/>
          <w:sz w:val="22"/>
          <w:szCs w:val="22"/>
        </w:rPr>
        <w:t> ‘</w:t>
      </w:r>
      <w:proofErr w:type="gramEnd"/>
      <w:r w:rsidRPr="004A6E67">
        <w:rPr>
          <w:rFonts w:asciiTheme="minorBidi" w:hAnsiTheme="minorBidi"/>
          <w:sz w:val="22"/>
          <w:szCs w:val="22"/>
        </w:rPr>
        <w:t>Blueprint document sets out changes to ICB functions’, Healthcare Management UK, 7 May.  </w:t>
      </w:r>
      <w:hyperlink r:id="rId12" w:tgtFrame="_blank" w:history="1">
        <w:r w:rsidRPr="004A6E67">
          <w:rPr>
            <w:rStyle w:val="Hyperlink"/>
            <w:rFonts w:asciiTheme="minorBidi" w:hAnsiTheme="minorBidi"/>
            <w:sz w:val="22"/>
            <w:szCs w:val="22"/>
          </w:rPr>
          <w:t>https://www.healthcare-management.uk/blueprint-document-sets-changes-icb-functions</w:t>
        </w:r>
      </w:hyperlink>
      <w:r w:rsidRPr="004A6E67">
        <w:rPr>
          <w:rFonts w:asciiTheme="minorBidi" w:hAnsiTheme="minorBidi"/>
          <w:sz w:val="22"/>
          <w:szCs w:val="22"/>
        </w:rPr>
        <w:t>  </w:t>
      </w:r>
    </w:p>
    <w:p w14:paraId="6C3CFD28" w14:textId="77777777" w:rsidR="004A6E67" w:rsidRPr="004A6E67" w:rsidRDefault="004A6E67" w:rsidP="004A6E67">
      <w:pPr>
        <w:spacing w:line="360" w:lineRule="auto"/>
        <w:rPr>
          <w:rFonts w:asciiTheme="minorBidi" w:hAnsiTheme="minorBidi"/>
          <w:sz w:val="22"/>
          <w:szCs w:val="22"/>
        </w:rPr>
      </w:pPr>
    </w:p>
    <w:p w14:paraId="7AC8E9D4" w14:textId="77777777" w:rsidR="004A6E67" w:rsidRPr="004A6E67" w:rsidRDefault="004A6E67" w:rsidP="004A6E67">
      <w:pPr>
        <w:spacing w:line="360" w:lineRule="auto"/>
        <w:rPr>
          <w:rFonts w:asciiTheme="minorBidi" w:hAnsiTheme="minorBidi"/>
          <w:sz w:val="22"/>
          <w:szCs w:val="22"/>
        </w:rPr>
      </w:pPr>
      <w:proofErr w:type="gramStart"/>
      <w:r w:rsidRPr="004A6E67">
        <w:rPr>
          <w:rFonts w:asciiTheme="minorBidi" w:hAnsiTheme="minorBidi"/>
          <w:b/>
          <w:bCs/>
          <w:sz w:val="22"/>
          <w:szCs w:val="22"/>
        </w:rPr>
        <w:t>References :</w:t>
      </w:r>
      <w:proofErr w:type="gramEnd"/>
    </w:p>
    <w:p w14:paraId="08BF656D" w14:textId="77777777" w:rsidR="004A6E67" w:rsidRPr="004A6E67" w:rsidRDefault="004A6E67" w:rsidP="0025499D">
      <w:pPr>
        <w:pStyle w:val="ListParagraph"/>
        <w:numPr>
          <w:ilvl w:val="0"/>
          <w:numId w:val="2"/>
        </w:numPr>
        <w:spacing w:line="360" w:lineRule="auto"/>
        <w:ind w:left="0" w:firstLine="0"/>
        <w:rPr>
          <w:rFonts w:asciiTheme="minorBidi" w:hAnsiTheme="minorBidi"/>
          <w:sz w:val="22"/>
          <w:szCs w:val="22"/>
        </w:rPr>
      </w:pPr>
      <w:r w:rsidRPr="004A6E67">
        <w:rPr>
          <w:rFonts w:asciiTheme="minorBidi" w:hAnsiTheme="minorBidi"/>
          <w:b/>
          <w:bCs/>
          <w:sz w:val="22"/>
          <w:szCs w:val="22"/>
        </w:rPr>
        <w:t>Care Quality Commission</w:t>
      </w:r>
      <w:r w:rsidRPr="004A6E67">
        <w:rPr>
          <w:rFonts w:asciiTheme="minorBidi" w:hAnsiTheme="minorBidi"/>
          <w:sz w:val="22"/>
          <w:szCs w:val="22"/>
        </w:rPr>
        <w:t xml:space="preserve"> (2024) State of Care 2023/24: Access, secondary care and urgent and emergency services. London: CQC.  </w:t>
      </w:r>
      <w:hyperlink r:id="rId13" w:history="1">
        <w:r w:rsidRPr="004A6E67">
          <w:rPr>
            <w:rStyle w:val="Hyperlink"/>
            <w:rFonts w:asciiTheme="minorBidi" w:hAnsiTheme="minorBidi"/>
            <w:sz w:val="22"/>
            <w:szCs w:val="22"/>
          </w:rPr>
          <w:t>https://www.cqc.org.uk/publications/major-report/state-care/2023-2024/access/secondary</w:t>
        </w:r>
      </w:hyperlink>
      <w:r w:rsidRPr="004A6E67">
        <w:rPr>
          <w:rFonts w:asciiTheme="minorBidi" w:hAnsiTheme="minorBidi"/>
          <w:sz w:val="22"/>
          <w:szCs w:val="22"/>
        </w:rPr>
        <w:t xml:space="preserve">  </w:t>
      </w:r>
    </w:p>
    <w:p w14:paraId="31A2C05E" w14:textId="77777777" w:rsidR="004A6E67" w:rsidRPr="004A6E67" w:rsidRDefault="004A6E67" w:rsidP="004A6E67">
      <w:pPr>
        <w:spacing w:line="360" w:lineRule="auto"/>
        <w:rPr>
          <w:rFonts w:asciiTheme="minorBidi" w:hAnsiTheme="minorBidi"/>
          <w:sz w:val="22"/>
          <w:szCs w:val="22"/>
        </w:rPr>
      </w:pPr>
    </w:p>
    <w:p w14:paraId="4BBAB1B6" w14:textId="77777777" w:rsidR="004A6E67" w:rsidRPr="004A6E67" w:rsidRDefault="004A6E67" w:rsidP="0025499D">
      <w:pPr>
        <w:pStyle w:val="ListParagraph"/>
        <w:numPr>
          <w:ilvl w:val="0"/>
          <w:numId w:val="2"/>
        </w:numPr>
        <w:spacing w:line="360" w:lineRule="auto"/>
        <w:ind w:left="0" w:firstLine="0"/>
        <w:rPr>
          <w:rFonts w:asciiTheme="minorBidi" w:hAnsiTheme="minorBidi"/>
          <w:sz w:val="22"/>
          <w:szCs w:val="22"/>
        </w:rPr>
      </w:pPr>
      <w:r w:rsidRPr="004A6E67">
        <w:rPr>
          <w:rFonts w:asciiTheme="minorBidi" w:hAnsiTheme="minorBidi"/>
          <w:b/>
          <w:bCs/>
          <w:sz w:val="22"/>
          <w:szCs w:val="22"/>
        </w:rPr>
        <w:t>East of England Ambulance Service NHS Trust</w:t>
      </w:r>
      <w:r w:rsidRPr="004A6E67">
        <w:rPr>
          <w:rFonts w:asciiTheme="minorBidi" w:hAnsiTheme="minorBidi"/>
          <w:sz w:val="22"/>
          <w:szCs w:val="22"/>
        </w:rPr>
        <w:t xml:space="preserve"> (2025) About us.  </w:t>
      </w:r>
      <w:hyperlink r:id="rId14" w:history="1">
        <w:r w:rsidRPr="004A6E67">
          <w:rPr>
            <w:rStyle w:val="Hyperlink"/>
            <w:rFonts w:asciiTheme="minorBidi" w:hAnsiTheme="minorBidi"/>
            <w:sz w:val="22"/>
            <w:szCs w:val="22"/>
          </w:rPr>
          <w:t>https://www.eastamb.nhs.uk/about-us</w:t>
        </w:r>
      </w:hyperlink>
      <w:r w:rsidRPr="004A6E67">
        <w:rPr>
          <w:rFonts w:asciiTheme="minorBidi" w:hAnsiTheme="minorBidi"/>
          <w:sz w:val="22"/>
          <w:szCs w:val="22"/>
        </w:rPr>
        <w:t xml:space="preserve">  </w:t>
      </w:r>
    </w:p>
    <w:p w14:paraId="54406B9B" w14:textId="77777777" w:rsidR="004A6E67" w:rsidRPr="004A6E67" w:rsidRDefault="004A6E67" w:rsidP="004A6E67">
      <w:pPr>
        <w:pStyle w:val="ListParagraph"/>
        <w:spacing w:line="360" w:lineRule="auto"/>
        <w:rPr>
          <w:rFonts w:asciiTheme="minorBidi" w:hAnsiTheme="minorBidi"/>
          <w:sz w:val="22"/>
          <w:szCs w:val="22"/>
        </w:rPr>
      </w:pPr>
    </w:p>
    <w:p w14:paraId="466D0701" w14:textId="77777777" w:rsidR="004A6E67" w:rsidRPr="004A6E67" w:rsidRDefault="004A6E67" w:rsidP="004A6E67">
      <w:pPr>
        <w:spacing w:line="360" w:lineRule="auto"/>
        <w:ind w:left="720"/>
        <w:rPr>
          <w:rFonts w:asciiTheme="minorBidi" w:hAnsiTheme="minorBidi"/>
          <w:sz w:val="22"/>
          <w:szCs w:val="22"/>
        </w:rPr>
      </w:pPr>
    </w:p>
    <w:p w14:paraId="5FB28834" w14:textId="77777777" w:rsidR="004A6E67" w:rsidRPr="004A6E67" w:rsidRDefault="004A6E67" w:rsidP="0025499D">
      <w:pPr>
        <w:pStyle w:val="ListParagraph"/>
        <w:numPr>
          <w:ilvl w:val="0"/>
          <w:numId w:val="2"/>
        </w:numPr>
        <w:spacing w:line="360" w:lineRule="auto"/>
        <w:ind w:left="0" w:firstLine="0"/>
        <w:rPr>
          <w:rFonts w:asciiTheme="minorBidi" w:hAnsiTheme="minorBidi"/>
          <w:sz w:val="22"/>
          <w:szCs w:val="22"/>
        </w:rPr>
      </w:pPr>
      <w:r w:rsidRPr="004A6E67">
        <w:rPr>
          <w:rFonts w:asciiTheme="minorBidi" w:hAnsiTheme="minorBidi"/>
          <w:b/>
          <w:bCs/>
          <w:sz w:val="22"/>
          <w:szCs w:val="22"/>
        </w:rPr>
        <w:lastRenderedPageBreak/>
        <w:t>Hansard</w:t>
      </w:r>
      <w:r w:rsidRPr="004A6E67">
        <w:rPr>
          <w:rFonts w:asciiTheme="minorBidi" w:hAnsiTheme="minorBidi"/>
          <w:sz w:val="22"/>
          <w:szCs w:val="22"/>
        </w:rPr>
        <w:t xml:space="preserve"> (2025) Ambulance Response Times.  </w:t>
      </w:r>
      <w:hyperlink r:id="rId15" w:history="1">
        <w:r w:rsidRPr="004A6E67">
          <w:rPr>
            <w:rStyle w:val="Hyperlink"/>
            <w:rFonts w:asciiTheme="minorBidi" w:hAnsiTheme="minorBidi"/>
            <w:sz w:val="22"/>
            <w:szCs w:val="22"/>
          </w:rPr>
          <w:t>https://hansard.parliament.uk/Commons/2025-03-06/debates/984BB757-AE11-408C-8BA6-56885FB4A999/AmbulanceResponseTimes</w:t>
        </w:r>
      </w:hyperlink>
      <w:r w:rsidRPr="004A6E67">
        <w:rPr>
          <w:rFonts w:asciiTheme="minorBidi" w:hAnsiTheme="minorBidi"/>
          <w:sz w:val="22"/>
          <w:szCs w:val="22"/>
        </w:rPr>
        <w:t xml:space="preserve">  </w:t>
      </w:r>
    </w:p>
    <w:p w14:paraId="5F2020BC" w14:textId="77777777" w:rsidR="004A6E67" w:rsidRPr="004A6E67" w:rsidRDefault="004A6E67" w:rsidP="004A6E67">
      <w:pPr>
        <w:spacing w:line="360" w:lineRule="auto"/>
        <w:ind w:left="720"/>
        <w:rPr>
          <w:rFonts w:asciiTheme="minorBidi" w:hAnsiTheme="minorBidi"/>
          <w:sz w:val="22"/>
          <w:szCs w:val="22"/>
        </w:rPr>
      </w:pPr>
    </w:p>
    <w:p w14:paraId="6E94B113" w14:textId="77777777" w:rsidR="004A6E67" w:rsidRPr="004A6E67" w:rsidRDefault="004A6E67" w:rsidP="0025499D">
      <w:pPr>
        <w:pStyle w:val="ListParagraph"/>
        <w:numPr>
          <w:ilvl w:val="0"/>
          <w:numId w:val="2"/>
        </w:numPr>
        <w:spacing w:line="360" w:lineRule="auto"/>
        <w:ind w:left="0" w:firstLine="0"/>
        <w:rPr>
          <w:rFonts w:asciiTheme="minorBidi" w:hAnsiTheme="minorBidi"/>
          <w:sz w:val="22"/>
          <w:szCs w:val="22"/>
        </w:rPr>
      </w:pPr>
      <w:r w:rsidRPr="004A6E67">
        <w:rPr>
          <w:rFonts w:asciiTheme="minorBidi" w:hAnsiTheme="minorBidi"/>
          <w:b/>
          <w:bCs/>
          <w:sz w:val="22"/>
          <w:szCs w:val="22"/>
        </w:rPr>
        <w:t>London Ambulance Service NHS Trust</w:t>
      </w:r>
      <w:r w:rsidRPr="004A6E67">
        <w:rPr>
          <w:rFonts w:asciiTheme="minorBidi" w:hAnsiTheme="minorBidi"/>
          <w:sz w:val="22"/>
          <w:szCs w:val="22"/>
        </w:rPr>
        <w:t xml:space="preserve"> (n.d.) Our History – A timeline.  </w:t>
      </w:r>
      <w:hyperlink r:id="rId16" w:history="1">
        <w:r w:rsidRPr="004A6E67">
          <w:rPr>
            <w:rStyle w:val="Hyperlink"/>
            <w:rFonts w:asciiTheme="minorBidi" w:hAnsiTheme="minorBidi"/>
            <w:sz w:val="22"/>
            <w:szCs w:val="22"/>
          </w:rPr>
          <w:t>https://www.londonambulance.nhs.uk/about-us/our-history/our-history-a-timeline/</w:t>
        </w:r>
      </w:hyperlink>
      <w:r w:rsidRPr="004A6E67">
        <w:rPr>
          <w:rFonts w:asciiTheme="minorBidi" w:hAnsiTheme="minorBidi"/>
          <w:sz w:val="22"/>
          <w:szCs w:val="22"/>
        </w:rPr>
        <w:t xml:space="preserve">  </w:t>
      </w:r>
    </w:p>
    <w:p w14:paraId="595A0B81" w14:textId="77777777" w:rsidR="004A6E67" w:rsidRPr="004A6E67" w:rsidRDefault="004A6E67" w:rsidP="004A6E67">
      <w:pPr>
        <w:pStyle w:val="ListParagraph"/>
        <w:spacing w:line="360" w:lineRule="auto"/>
        <w:rPr>
          <w:rFonts w:asciiTheme="minorBidi" w:hAnsiTheme="minorBidi"/>
          <w:sz w:val="22"/>
          <w:szCs w:val="22"/>
        </w:rPr>
      </w:pPr>
    </w:p>
    <w:p w14:paraId="6E783963" w14:textId="77777777" w:rsidR="004A6E67" w:rsidRPr="004A6E67" w:rsidRDefault="004A6E67" w:rsidP="004A6E67">
      <w:pPr>
        <w:spacing w:line="360" w:lineRule="auto"/>
        <w:ind w:left="720"/>
        <w:rPr>
          <w:rFonts w:asciiTheme="minorBidi" w:hAnsiTheme="minorBidi"/>
          <w:sz w:val="22"/>
          <w:szCs w:val="22"/>
        </w:rPr>
      </w:pPr>
    </w:p>
    <w:p w14:paraId="153E8FE4" w14:textId="77777777" w:rsidR="004A6E67" w:rsidRPr="004A6E67" w:rsidRDefault="004A6E67" w:rsidP="0025499D">
      <w:pPr>
        <w:pStyle w:val="ListParagraph"/>
        <w:numPr>
          <w:ilvl w:val="0"/>
          <w:numId w:val="2"/>
        </w:numPr>
        <w:spacing w:line="360" w:lineRule="auto"/>
        <w:ind w:left="0" w:firstLine="0"/>
        <w:rPr>
          <w:rFonts w:asciiTheme="minorBidi" w:hAnsiTheme="minorBidi"/>
          <w:sz w:val="22"/>
          <w:szCs w:val="22"/>
        </w:rPr>
      </w:pPr>
      <w:r w:rsidRPr="004A6E67">
        <w:rPr>
          <w:rFonts w:asciiTheme="minorBidi" w:hAnsiTheme="minorBidi"/>
          <w:b/>
          <w:bCs/>
          <w:sz w:val="22"/>
          <w:szCs w:val="22"/>
        </w:rPr>
        <w:t>NHS England</w:t>
      </w:r>
      <w:r w:rsidRPr="004A6E67">
        <w:rPr>
          <w:rFonts w:asciiTheme="minorBidi" w:hAnsiTheme="minorBidi"/>
          <w:sz w:val="22"/>
          <w:szCs w:val="22"/>
        </w:rPr>
        <w:t xml:space="preserve"> (n.d.) Improving ambulance services.  </w:t>
      </w:r>
      <w:hyperlink r:id="rId17" w:history="1">
        <w:r w:rsidRPr="004A6E67">
          <w:rPr>
            <w:rStyle w:val="Hyperlink"/>
            <w:rFonts w:asciiTheme="minorBidi" w:hAnsiTheme="minorBidi"/>
            <w:sz w:val="22"/>
            <w:szCs w:val="22"/>
          </w:rPr>
          <w:t>https://www.england.nhs.uk/urgent-emergency-care/improving-ambulance-services/</w:t>
        </w:r>
      </w:hyperlink>
      <w:r w:rsidRPr="004A6E67">
        <w:rPr>
          <w:rFonts w:asciiTheme="minorBidi" w:hAnsiTheme="minorBidi"/>
          <w:sz w:val="22"/>
          <w:szCs w:val="22"/>
        </w:rPr>
        <w:t xml:space="preserve">  </w:t>
      </w:r>
    </w:p>
    <w:p w14:paraId="1C22DA4C" w14:textId="77777777" w:rsidR="004A6E67" w:rsidRPr="004A6E67" w:rsidRDefault="004A6E67" w:rsidP="0025499D">
      <w:pPr>
        <w:spacing w:line="360" w:lineRule="auto"/>
        <w:rPr>
          <w:rFonts w:asciiTheme="minorBidi" w:hAnsiTheme="minorBidi"/>
          <w:sz w:val="22"/>
          <w:szCs w:val="22"/>
        </w:rPr>
      </w:pPr>
    </w:p>
    <w:p w14:paraId="001D5F7E" w14:textId="77777777" w:rsidR="004A6E67" w:rsidRPr="004A6E67" w:rsidRDefault="004A6E67" w:rsidP="0025499D">
      <w:pPr>
        <w:pStyle w:val="ListParagraph"/>
        <w:numPr>
          <w:ilvl w:val="0"/>
          <w:numId w:val="2"/>
        </w:numPr>
        <w:spacing w:line="360" w:lineRule="auto"/>
        <w:ind w:left="0" w:firstLine="0"/>
        <w:rPr>
          <w:rFonts w:asciiTheme="minorBidi" w:hAnsiTheme="minorBidi"/>
          <w:sz w:val="22"/>
          <w:szCs w:val="22"/>
        </w:rPr>
      </w:pPr>
      <w:r w:rsidRPr="004A6E67">
        <w:rPr>
          <w:rFonts w:asciiTheme="minorBidi" w:hAnsiTheme="minorBidi"/>
          <w:b/>
          <w:bCs/>
          <w:sz w:val="22"/>
          <w:szCs w:val="22"/>
        </w:rPr>
        <w:t>NHS Providers</w:t>
      </w:r>
      <w:r w:rsidRPr="004A6E67">
        <w:rPr>
          <w:rFonts w:asciiTheme="minorBidi" w:hAnsiTheme="minorBidi"/>
          <w:sz w:val="22"/>
          <w:szCs w:val="22"/>
        </w:rPr>
        <w:t xml:space="preserve"> (2024) Ambulance sector — NHS Activity Tracker, December 2024.  </w:t>
      </w:r>
      <w:hyperlink r:id="rId18" w:history="1">
        <w:r w:rsidRPr="004A6E67">
          <w:rPr>
            <w:rStyle w:val="Hyperlink"/>
            <w:rFonts w:asciiTheme="minorBidi" w:hAnsiTheme="minorBidi"/>
            <w:sz w:val="22"/>
            <w:szCs w:val="22"/>
          </w:rPr>
          <w:t>https://nhsproviders.org/resources/nhs-activity-tracker-202425/december-2024/ambulance-sector/</w:t>
        </w:r>
      </w:hyperlink>
      <w:r w:rsidRPr="004A6E67">
        <w:rPr>
          <w:rFonts w:asciiTheme="minorBidi" w:hAnsiTheme="minorBidi"/>
          <w:sz w:val="22"/>
          <w:szCs w:val="22"/>
        </w:rPr>
        <w:t xml:space="preserve">  </w:t>
      </w:r>
    </w:p>
    <w:p w14:paraId="30E9F48C" w14:textId="76F83E62" w:rsidR="00455896" w:rsidRPr="004A6E67" w:rsidRDefault="00455896" w:rsidP="004A6E67">
      <w:pPr>
        <w:rPr>
          <w:rFonts w:asciiTheme="minorBidi" w:hAnsiTheme="minorBidi"/>
        </w:rPr>
      </w:pPr>
    </w:p>
    <w:sectPr w:rsidR="00455896" w:rsidRPr="004A6E67" w:rsidSect="00455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0733"/>
    <w:multiLevelType w:val="hybridMultilevel"/>
    <w:tmpl w:val="D1EAB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DE53FE"/>
    <w:multiLevelType w:val="multilevel"/>
    <w:tmpl w:val="E11C7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50896">
    <w:abstractNumId w:val="1"/>
  </w:num>
  <w:num w:numId="2" w16cid:durableId="1291978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14D"/>
    <w:rsid w:val="0000214D"/>
    <w:rsid w:val="000D1423"/>
    <w:rsid w:val="0025499D"/>
    <w:rsid w:val="00455896"/>
    <w:rsid w:val="004A6E67"/>
    <w:rsid w:val="00670286"/>
    <w:rsid w:val="00F944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E34F4"/>
  <w15:chartTrackingRefBased/>
  <w15:docId w15:val="{397A0DE1-6FFD-4FE2-B6F7-D7DBD3F1C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286"/>
    <w:rPr>
      <w:lang w:val="en-US"/>
    </w:rPr>
  </w:style>
  <w:style w:type="paragraph" w:styleId="Heading1">
    <w:name w:val="heading 1"/>
    <w:basedOn w:val="Normal"/>
    <w:next w:val="Normal"/>
    <w:link w:val="Heading1Char"/>
    <w:uiPriority w:val="9"/>
    <w:qFormat/>
    <w:rsid w:val="00002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1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021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1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1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1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1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021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1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14D"/>
    <w:rPr>
      <w:rFonts w:eastAsiaTheme="majorEastAsia" w:cstheme="majorBidi"/>
      <w:color w:val="272727" w:themeColor="text1" w:themeTint="D8"/>
    </w:rPr>
  </w:style>
  <w:style w:type="paragraph" w:styleId="Title">
    <w:name w:val="Title"/>
    <w:basedOn w:val="Normal"/>
    <w:next w:val="Normal"/>
    <w:link w:val="TitleChar"/>
    <w:uiPriority w:val="10"/>
    <w:qFormat/>
    <w:rsid w:val="00002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14D"/>
    <w:pPr>
      <w:spacing w:before="160"/>
      <w:jc w:val="center"/>
    </w:pPr>
    <w:rPr>
      <w:i/>
      <w:iCs/>
      <w:color w:val="404040" w:themeColor="text1" w:themeTint="BF"/>
    </w:rPr>
  </w:style>
  <w:style w:type="character" w:customStyle="1" w:styleId="QuoteChar">
    <w:name w:val="Quote Char"/>
    <w:basedOn w:val="DefaultParagraphFont"/>
    <w:link w:val="Quote"/>
    <w:uiPriority w:val="29"/>
    <w:rsid w:val="0000214D"/>
    <w:rPr>
      <w:i/>
      <w:iCs/>
      <w:color w:val="404040" w:themeColor="text1" w:themeTint="BF"/>
    </w:rPr>
  </w:style>
  <w:style w:type="paragraph" w:styleId="ListParagraph">
    <w:name w:val="List Paragraph"/>
    <w:basedOn w:val="Normal"/>
    <w:uiPriority w:val="34"/>
    <w:qFormat/>
    <w:rsid w:val="0000214D"/>
    <w:pPr>
      <w:ind w:left="720"/>
      <w:contextualSpacing/>
    </w:pPr>
  </w:style>
  <w:style w:type="character" w:styleId="IntenseEmphasis">
    <w:name w:val="Intense Emphasis"/>
    <w:basedOn w:val="DefaultParagraphFont"/>
    <w:uiPriority w:val="21"/>
    <w:qFormat/>
    <w:rsid w:val="0000214D"/>
    <w:rPr>
      <w:i/>
      <w:iCs/>
      <w:color w:val="0F4761" w:themeColor="accent1" w:themeShade="BF"/>
    </w:rPr>
  </w:style>
  <w:style w:type="paragraph" w:styleId="IntenseQuote">
    <w:name w:val="Intense Quote"/>
    <w:basedOn w:val="Normal"/>
    <w:next w:val="Normal"/>
    <w:link w:val="IntenseQuoteChar"/>
    <w:uiPriority w:val="30"/>
    <w:qFormat/>
    <w:rsid w:val="00002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14D"/>
    <w:rPr>
      <w:i/>
      <w:iCs/>
      <w:color w:val="0F4761" w:themeColor="accent1" w:themeShade="BF"/>
    </w:rPr>
  </w:style>
  <w:style w:type="character" w:styleId="IntenseReference">
    <w:name w:val="Intense Reference"/>
    <w:basedOn w:val="DefaultParagraphFont"/>
    <w:uiPriority w:val="32"/>
    <w:qFormat/>
    <w:rsid w:val="0000214D"/>
    <w:rPr>
      <w:b/>
      <w:bCs/>
      <w:smallCaps/>
      <w:color w:val="0F4761" w:themeColor="accent1" w:themeShade="BF"/>
      <w:spacing w:val="5"/>
    </w:rPr>
  </w:style>
  <w:style w:type="paragraph" w:styleId="NoSpacing">
    <w:name w:val="No Spacing"/>
    <w:link w:val="NoSpacingChar"/>
    <w:uiPriority w:val="1"/>
    <w:qFormat/>
    <w:rsid w:val="0067028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70286"/>
    <w:rPr>
      <w:rFonts w:eastAsiaTheme="minorEastAsia"/>
      <w:kern w:val="0"/>
      <w:sz w:val="22"/>
      <w:szCs w:val="22"/>
      <w:lang w:val="en-US"/>
      <w14:ligatures w14:val="none"/>
    </w:rPr>
  </w:style>
  <w:style w:type="character" w:styleId="Hyperlink">
    <w:name w:val="Hyperlink"/>
    <w:basedOn w:val="DefaultParagraphFont"/>
    <w:uiPriority w:val="99"/>
    <w:unhideWhenUsed/>
    <w:rsid w:val="004A6E6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fma.org.uk/publications/working-together-202526-lay-foundations-reform-summary" TargetMode="External"/><Relationship Id="rId13" Type="http://schemas.openxmlformats.org/officeDocument/2006/relationships/hyperlink" Target="https://www.cqc.org.uk/publications/major-report/state-care/2023-2024/access/secondary" TargetMode="External"/><Relationship Id="rId18" Type="http://schemas.openxmlformats.org/officeDocument/2006/relationships/hyperlink" Target="https://nhsproviders.org/resources/nhs-activity-tracker-202425/december-2024/ambulance-sector/" TargetMode="External"/><Relationship Id="rId3" Type="http://schemas.openxmlformats.org/officeDocument/2006/relationships/settings" Target="settings.xml"/><Relationship Id="rId7" Type="http://schemas.openxmlformats.org/officeDocument/2006/relationships/hyperlink" Target="https://www.gov.uk/government/publications/road-to-recovery-the-governments-2025-mandate-to-nhs-england/road-to-recovery-the-governments-2025-mandate-to-nhs-england" TargetMode="External"/><Relationship Id="rId12" Type="http://schemas.openxmlformats.org/officeDocument/2006/relationships/hyperlink" Target="https://www.healthcare-management.uk/blueprint-document-sets-changes-icb-functions" TargetMode="External"/><Relationship Id="rId17" Type="http://schemas.openxmlformats.org/officeDocument/2006/relationships/hyperlink" Target="https://www.england.nhs.uk/urgent-emergency-care/improving-ambulance-services/" TargetMode="External"/><Relationship Id="rId2" Type="http://schemas.openxmlformats.org/officeDocument/2006/relationships/styles" Target="styles.xml"/><Relationship Id="rId16" Type="http://schemas.openxmlformats.org/officeDocument/2006/relationships/hyperlink" Target="https://www.londonambulance.nhs.uk/about-us/our-history/our-history-a-timelin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www.england.nhs.uk/publication/working-together-in-2025-26-to-lay-the-foundations-for-reform/" TargetMode="External"/><Relationship Id="rId5" Type="http://schemas.openxmlformats.org/officeDocument/2006/relationships/image" Target="media/image1.png"/><Relationship Id="rId15" Type="http://schemas.openxmlformats.org/officeDocument/2006/relationships/hyperlink" Target="https://hansard.parliament.uk/Commons/2025-03-06/debates/984BB757-AE11-408C-8BA6-56885FB4A999/AmbulanceResponseTimes" TargetMode="External"/><Relationship Id="rId10" Type="http://schemas.openxmlformats.org/officeDocument/2006/relationships/hyperlink" Target="https://www.england.nhs.uk/long-read/update-on-the-draft-model-icb-blueprint-and-progress-on-the-future-nhs-operating-mode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confed.org/publications/new-operating-model-health-and-care" TargetMode="External"/><Relationship Id="rId14" Type="http://schemas.openxmlformats.org/officeDocument/2006/relationships/hyperlink" Target="https://www.eastamb.nhs.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1229</TotalTime>
  <Pages>6</Pages>
  <Words>1109</Words>
  <Characters>6324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Majda Osman</dc:creator>
  <cp:keywords/>
  <dc:description/>
  <cp:lastModifiedBy>Majda Osman</cp:lastModifiedBy>
  <cp:revision>3</cp:revision>
  <dcterms:created xsi:type="dcterms:W3CDTF">2025-10-17T22:52:00Z</dcterms:created>
  <dcterms:modified xsi:type="dcterms:W3CDTF">2025-10-18T19:24:00Z</dcterms:modified>
</cp:coreProperties>
</file>