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contextualSpacing/>
        <w:jc w:val="center"/>
        <w:rPr>
          <w:rFonts w:ascii="Times New Roman" w:hAnsi="Times New Roman" w:cs="Times New Roman"/>
          <w:sz w:val="24"/>
          <w:szCs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4274185</wp:posOffset>
                </wp:positionH>
                <wp:positionV relativeFrom="paragraph">
                  <wp:posOffset>-384175</wp:posOffset>
                </wp:positionV>
                <wp:extent cx="1959610" cy="392430"/>
                <wp:effectExtent l="4445" t="4445" r="17145" b="22225"/>
                <wp:wrapNone/>
                <wp:docPr id="7" name="文本框 7"/>
                <wp:cNvGraphicFramePr/>
                <a:graphic xmlns:a="http://schemas.openxmlformats.org/drawingml/2006/main">
                  <a:graphicData uri="http://schemas.microsoft.com/office/word/2010/wordprocessingShape">
                    <wps:wsp>
                      <wps:cNvSpPr txBox="1"/>
                      <wps:spPr>
                        <a:xfrm>
                          <a:off x="1762125" y="3155950"/>
                          <a:ext cx="1959610" cy="392430"/>
                        </a:xfrm>
                        <a:prstGeom prst="rect">
                          <a:avLst/>
                        </a:prstGeom>
                        <a:solidFill>
                          <a:schemeClr val="accent2">
                            <a:lumMod val="40000"/>
                            <a:lumOff val="6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480" w:lineRule="auto"/>
                              <w:contextualSpacing/>
                              <w:jc w:val="center"/>
                              <w:rPr>
                                <w:rFonts w:hint="eastAsia" w:ascii="Times New Roman" w:hAnsi="Times New Roman" w:cs="Times New Roman"/>
                                <w:b/>
                                <w:bCs/>
                                <w:sz w:val="24"/>
                                <w:szCs w:val="24"/>
                              </w:rPr>
                            </w:pPr>
                            <w:r>
                              <w:rPr>
                                <w:rFonts w:ascii="Times New Roman" w:hAnsi="Times New Roman" w:cs="Times New Roman"/>
                                <w:b/>
                                <w:bCs/>
                                <w:sz w:val="24"/>
                                <w:szCs w:val="24"/>
                              </w:rPr>
                              <w:t>Date:</w:t>
                            </w:r>
                            <w:r>
                              <w:rPr>
                                <w:rFonts w:hint="eastAsia" w:ascii="Times New Roman" w:hAnsi="Times New Roman" w:cs="Times New Roman"/>
                                <w:b/>
                                <w:bCs/>
                                <w:sz w:val="24"/>
                                <w:szCs w:val="24"/>
                              </w:rPr>
                              <w:t xml:space="preserve"> 4 May 2024</w:t>
                            </w:r>
                          </w:p>
                          <w:p>
                            <w:pPr>
                              <w:rPr>
                                <w:rFonts w:hint="eastAsia"/>
                                <w:lang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6.55pt;margin-top:-30.25pt;height:30.9pt;width:154.3pt;z-index:251662336;mso-width-relative:page;mso-height-relative:page;" fillcolor="#F8CBAD [1301]" filled="t" stroked="t" coordsize="21600,21600" o:gfxdata="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Qv9jLdkAAAAJAQAADwAAAAAAAAAB&#10;ACAAAAAiAAAAZHJzL2Rvd25yZXYueG1sUEsBAhQAFAAAAAgAh07iQI3HvFmBAgAA/AQAAA4AAAAA&#10;AAAAAQAgAAAAKAEAAGRycy9lMm9Eb2MueG1sUEsFBgAAAAAGAAYAWQEAABsGAAAAAA==&#10;">
                <v:fill on="t" focussize="0,0"/>
                <v:stroke weight="0.5pt" color="#000000 [3204]" joinstyle="round"/>
                <v:imagedata o:title=""/>
                <o:lock v:ext="edit" aspectratio="f"/>
                <v:textbox>
                  <w:txbxContent>
                    <w:p>
                      <w:pPr>
                        <w:spacing w:line="480" w:lineRule="auto"/>
                        <w:contextualSpacing/>
                        <w:jc w:val="center"/>
                        <w:rPr>
                          <w:rFonts w:hint="eastAsia" w:ascii="Times New Roman" w:hAnsi="Times New Roman" w:cs="Times New Roman"/>
                          <w:b/>
                          <w:bCs/>
                          <w:sz w:val="24"/>
                          <w:szCs w:val="24"/>
                        </w:rPr>
                      </w:pPr>
                      <w:r>
                        <w:rPr>
                          <w:rFonts w:ascii="Times New Roman" w:hAnsi="Times New Roman" w:cs="Times New Roman"/>
                          <w:b/>
                          <w:bCs/>
                          <w:sz w:val="24"/>
                          <w:szCs w:val="24"/>
                        </w:rPr>
                        <w:t>Date:</w:t>
                      </w:r>
                      <w:r>
                        <w:rPr>
                          <w:rFonts w:hint="eastAsia" w:ascii="Times New Roman" w:hAnsi="Times New Roman" w:cs="Times New Roman"/>
                          <w:b/>
                          <w:bCs/>
                          <w:sz w:val="24"/>
                          <w:szCs w:val="24"/>
                        </w:rPr>
                        <w:t xml:space="preserve"> 4 May 2024</w:t>
                      </w:r>
                    </w:p>
                    <w:p>
                      <w:pPr>
                        <w:rPr>
                          <w:rFonts w:hint="eastAsia"/>
                          <w:lang w:eastAsia="zh-CN"/>
                        </w:rPr>
                      </w:pPr>
                    </w:p>
                  </w:txbxContent>
                </v:textbox>
              </v:shape>
            </w:pict>
          </mc:Fallback>
        </mc:AlternateContent>
      </w:r>
      <w:r>
        <w:rPr>
          <w:sz w:val="21"/>
        </w:rPr>
        <mc:AlternateContent>
          <mc:Choice Requires="wps">
            <w:drawing>
              <wp:anchor distT="0" distB="0" distL="114300" distR="114300" simplePos="0" relativeHeight="251659264" behindDoc="1" locked="0" layoutInCell="1" allowOverlap="1">
                <wp:simplePos x="0" y="0"/>
                <wp:positionH relativeFrom="column">
                  <wp:posOffset>-945515</wp:posOffset>
                </wp:positionH>
                <wp:positionV relativeFrom="paragraph">
                  <wp:posOffset>-647065</wp:posOffset>
                </wp:positionV>
                <wp:extent cx="5154295" cy="10114280"/>
                <wp:effectExtent l="0" t="0" r="1905" b="7620"/>
                <wp:wrapNone/>
                <wp:docPr id="2" name="矩形 2"/>
                <wp:cNvGraphicFramePr/>
                <a:graphic xmlns:a="http://schemas.openxmlformats.org/drawingml/2006/main">
                  <a:graphicData uri="http://schemas.microsoft.com/office/word/2010/wordprocessingShape">
                    <wps:wsp>
                      <wps:cNvSpPr/>
                      <wps:spPr>
                        <a:xfrm>
                          <a:off x="0" y="0"/>
                          <a:ext cx="5154295" cy="10114280"/>
                        </a:xfrm>
                        <a:prstGeom prst="rect">
                          <a:avLst/>
                        </a:prstGeom>
                        <a:solidFill>
                          <a:srgbClr val="90A9D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4.45pt;margin-top:-50.95pt;height:796.4pt;width:405.85pt;z-index:-251657216;v-text-anchor:middle;mso-width-relative:page;mso-height-relative:page;" fillcolor="#90A9DC" filled="t" stroked="f" coordsize="21600,21600" o:gfxdata="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ByVKnrbAAAADgEAAA8AAAAAAAAAAQAgAAAAIgAAAGRycy9kb3du&#10;cmV2LnhtbFBLAQIUABQAAAAIAIdO4kD86AzJbgIAAM0EAAAOAAAAAAAAAAEAIAAAACoBAABkcnMv&#10;ZTJvRG9jLnhtbFBLBQYAAAAABgAGAFkBAAAKBgAAAAA=&#10;">
                <v:fill on="t" focussize="0,0"/>
                <v:stroke on="f" weight="1pt" miterlimit="8" joinstyle="miter"/>
                <v:imagedata o:title=""/>
                <o:lock v:ext="edit" aspectratio="f"/>
              </v:rect>
            </w:pict>
          </mc:Fallback>
        </mc:AlternateContent>
      </w:r>
    </w:p>
    <w:p>
      <w:pPr>
        <w:spacing w:line="360" w:lineRule="auto"/>
        <w:contextualSpacing/>
        <w:jc w:val="center"/>
        <w:rPr>
          <w:rFonts w:ascii="Times New Roman" w:hAnsi="Times New Roman" w:cs="Times New Roman"/>
          <w:sz w:val="24"/>
          <w:szCs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-527050</wp:posOffset>
                </wp:positionH>
                <wp:positionV relativeFrom="paragraph">
                  <wp:posOffset>107315</wp:posOffset>
                </wp:positionV>
                <wp:extent cx="4445000" cy="903605"/>
                <wp:effectExtent l="5080" t="4445" r="7620" b="6350"/>
                <wp:wrapNone/>
                <wp:docPr id="6" name="文本框 6"/>
                <wp:cNvGraphicFramePr/>
                <a:graphic xmlns:a="http://schemas.openxmlformats.org/drawingml/2006/main">
                  <a:graphicData uri="http://schemas.microsoft.com/office/word/2010/wordprocessingShape">
                    <wps:wsp>
                      <wps:cNvSpPr txBox="1"/>
                      <wps:spPr>
                        <a:xfrm>
                          <a:off x="657860" y="1710690"/>
                          <a:ext cx="4445000" cy="903605"/>
                        </a:xfrm>
                        <a:prstGeom prst="rect">
                          <a:avLst/>
                        </a:prstGeom>
                        <a:solidFill>
                          <a:schemeClr val="accent2">
                            <a:lumMod val="40000"/>
                            <a:lumOff val="6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480" w:lineRule="auto"/>
                              <w:contextualSpacing/>
                              <w:jc w:val="center"/>
                              <w:rPr>
                                <w:rFonts w:hint="eastAsia" w:ascii="Times New Roman" w:hAnsi="Times New Roman" w:cs="Times New Roman"/>
                                <w:b/>
                                <w:bCs/>
                                <w:sz w:val="36"/>
                                <w:szCs w:val="36"/>
                              </w:rPr>
                            </w:pPr>
                            <w:r>
                              <w:rPr>
                                <w:rFonts w:ascii="Times New Roman" w:hAnsi="Times New Roman" w:cs="Times New Roman"/>
                                <w:b/>
                                <w:bCs/>
                                <w:sz w:val="36"/>
                                <w:szCs w:val="36"/>
                              </w:rPr>
                              <w:t>Title:</w:t>
                            </w:r>
                            <w:r>
                              <w:rPr>
                                <w:rFonts w:hint="eastAsia" w:ascii="Times New Roman" w:hAnsi="Times New Roman" w:cs="Times New Roman"/>
                                <w:b/>
                                <w:bCs/>
                                <w:sz w:val="36"/>
                                <w:szCs w:val="36"/>
                              </w:rPr>
                              <w:t xml:space="preserve"> A marketing plan of </w:t>
                            </w:r>
                            <w:r>
                              <w:rPr>
                                <w:rFonts w:ascii="Times New Roman" w:hAnsi="Times New Roman" w:cs="Times New Roman"/>
                                <w:b/>
                                <w:bCs/>
                                <w:sz w:val="36"/>
                                <w:szCs w:val="36"/>
                              </w:rPr>
                              <w:t>Tesco Plc</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1.5pt;margin-top:8.45pt;height:71.15pt;width:350pt;z-index:251661312;mso-width-relative:page;mso-height-relative:page;" fillcolor="#F8CBAD [1301]" filled="t" stroked="t" coordsize="21600,21600" o:gfxdata="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NixdbHbAAAACgEAAA8AAAAAAAAA&#10;AQAgAAAAIgAAAGRycy9kb3ducmV2LnhtbFBLAQIUABQAAAAIAIdO4kAkg2hFgAIAAPsEAAAOAAAA&#10;AAAAAAEAIAAAACoBAABkcnMvZTJvRG9jLnhtbFBLBQYAAAAABgAGAFkBAAAcBgAAAAA=&#10;">
                <v:fill on="t" focussize="0,0"/>
                <v:stroke weight="0.5pt" color="#000000 [3204]" joinstyle="round"/>
                <v:imagedata o:title=""/>
                <o:lock v:ext="edit" aspectratio="f"/>
                <v:textbox>
                  <w:txbxContent>
                    <w:p>
                      <w:pPr>
                        <w:spacing w:line="480" w:lineRule="auto"/>
                        <w:contextualSpacing/>
                        <w:jc w:val="center"/>
                        <w:rPr>
                          <w:rFonts w:hint="eastAsia" w:ascii="Times New Roman" w:hAnsi="Times New Roman" w:cs="Times New Roman"/>
                          <w:b/>
                          <w:bCs/>
                          <w:sz w:val="36"/>
                          <w:szCs w:val="36"/>
                        </w:rPr>
                      </w:pPr>
                      <w:r>
                        <w:rPr>
                          <w:rFonts w:ascii="Times New Roman" w:hAnsi="Times New Roman" w:cs="Times New Roman"/>
                          <w:b/>
                          <w:bCs/>
                          <w:sz w:val="36"/>
                          <w:szCs w:val="36"/>
                        </w:rPr>
                        <w:t>Title:</w:t>
                      </w:r>
                      <w:r>
                        <w:rPr>
                          <w:rFonts w:hint="eastAsia" w:ascii="Times New Roman" w:hAnsi="Times New Roman" w:cs="Times New Roman"/>
                          <w:b/>
                          <w:bCs/>
                          <w:sz w:val="36"/>
                          <w:szCs w:val="36"/>
                        </w:rPr>
                        <w:t xml:space="preserve"> A marketing plan of </w:t>
                      </w:r>
                      <w:r>
                        <w:rPr>
                          <w:rFonts w:ascii="Times New Roman" w:hAnsi="Times New Roman" w:cs="Times New Roman"/>
                          <w:b/>
                          <w:bCs/>
                          <w:sz w:val="36"/>
                          <w:szCs w:val="36"/>
                        </w:rPr>
                        <w:t>Tesco Plc</w:t>
                      </w:r>
                    </w:p>
                    <w:p/>
                  </w:txbxContent>
                </v:textbox>
              </v:shape>
            </w:pict>
          </mc:Fallback>
        </mc:AlternateContent>
      </w:r>
    </w:p>
    <w:p>
      <w:pPr>
        <w:spacing w:line="360" w:lineRule="auto"/>
        <w:contextualSpacing/>
        <w:jc w:val="center"/>
        <w:rPr>
          <w:rFonts w:ascii="Times New Roman" w:hAnsi="Times New Roman" w:cs="Times New Roman"/>
          <w:sz w:val="24"/>
          <w:szCs w:val="24"/>
        </w:rPr>
      </w:pPr>
    </w:p>
    <w:p>
      <w:pPr>
        <w:spacing w:line="360" w:lineRule="auto"/>
        <w:contextualSpacing/>
        <w:jc w:val="center"/>
        <w:rPr>
          <w:rFonts w:ascii="Times New Roman" w:hAnsi="Times New Roman" w:cs="Times New Roman"/>
          <w:sz w:val="24"/>
          <w:szCs w:val="24"/>
        </w:rPr>
      </w:pPr>
    </w:p>
    <w:p>
      <w:pPr>
        <w:spacing w:line="360" w:lineRule="auto"/>
        <w:contextualSpacing/>
        <w:jc w:val="center"/>
        <w:rPr>
          <w:rFonts w:ascii="Times New Roman" w:hAnsi="Times New Roman" w:cs="Times New Roman"/>
          <w:sz w:val="24"/>
          <w:szCs w:val="24"/>
        </w:rPr>
      </w:pPr>
    </w:p>
    <w:p>
      <w:pPr>
        <w:spacing w:line="360" w:lineRule="auto"/>
        <w:contextualSpacing/>
        <w:jc w:val="center"/>
        <w:rPr>
          <w:rFonts w:ascii="Times New Roman" w:hAnsi="Times New Roman" w:cs="Times New Roman"/>
          <w:sz w:val="24"/>
          <w:szCs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707390</wp:posOffset>
                </wp:positionH>
                <wp:positionV relativeFrom="paragraph">
                  <wp:posOffset>8890</wp:posOffset>
                </wp:positionV>
                <wp:extent cx="1947545" cy="451485"/>
                <wp:effectExtent l="4445" t="4445" r="16510" b="13970"/>
                <wp:wrapNone/>
                <wp:docPr id="3" name="文本框 3"/>
                <wp:cNvGraphicFramePr/>
                <a:graphic xmlns:a="http://schemas.openxmlformats.org/drawingml/2006/main">
                  <a:graphicData uri="http://schemas.microsoft.com/office/word/2010/wordprocessingShape">
                    <wps:wsp>
                      <wps:cNvSpPr txBox="1"/>
                      <wps:spPr>
                        <a:xfrm>
                          <a:off x="5504815" y="1202690"/>
                          <a:ext cx="1947545" cy="451485"/>
                        </a:xfrm>
                        <a:prstGeom prst="rect">
                          <a:avLst/>
                        </a:prstGeom>
                        <a:solidFill>
                          <a:schemeClr val="accent2">
                            <a:lumMod val="40000"/>
                            <a:lumOff val="6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360" w:lineRule="auto"/>
                              <w:contextualSpacing/>
                              <w:jc w:val="center"/>
                              <w:rPr>
                                <w:rFonts w:hint="eastAsia" w:ascii="Times New Roman" w:hAnsi="Times New Roman" w:cs="Times New Roman"/>
                                <w:sz w:val="24"/>
                                <w:szCs w:val="24"/>
                              </w:rPr>
                            </w:pPr>
                            <w:r>
                              <w:rPr>
                                <w:rFonts w:ascii="Times New Roman" w:hAnsi="Times New Roman" w:cs="Times New Roman"/>
                                <w:b/>
                                <w:bCs/>
                                <w:sz w:val="24"/>
                                <w:szCs w:val="24"/>
                              </w:rPr>
                              <w:t>Module Code:</w:t>
                            </w:r>
                            <w:r>
                              <w:rPr>
                                <w:rFonts w:hint="eastAsia" w:ascii="Times New Roman" w:hAnsi="Times New Roman" w:cs="Times New Roman"/>
                                <w:b/>
                                <w:bCs/>
                                <w:sz w:val="24"/>
                                <w:szCs w:val="24"/>
                              </w:rPr>
                              <w:t xml:space="preserve"> </w:t>
                            </w:r>
                            <w:r>
                              <w:rPr>
                                <w:rFonts w:ascii="Times New Roman" w:hAnsi="Times New Roman" w:cs="Times New Roman"/>
                                <w:sz w:val="24"/>
                                <w:szCs w:val="24"/>
                              </w:rPr>
                              <w:t>BMBM6016</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7pt;margin-top:0.7pt;height:35.55pt;width:153.35pt;z-index:251660288;mso-width-relative:page;mso-height-relative:page;" fillcolor="#F8CBAD [1301]" filled="t" stroked="t" coordsize="21600,21600" o:gfxdata="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BVFn9x3AAAAAoBAAAPAAAA&#10;AAAAAAEAIAAAACIAAABkcnMvZG93bnJldi54bWxQSwECFAAUAAAACACHTuJAFl2rvoMCAAD8BAAA&#10;DgAAAAAAAAABACAAAAArAQAAZHJzL2Uyb0RvYy54bWxQSwUGAAAAAAYABgBZAQAAIAYAAAAA&#10;">
                <v:fill on="t" focussize="0,0"/>
                <v:stroke weight="0.5pt" color="#000000 [3204]" joinstyle="round"/>
                <v:imagedata o:title=""/>
                <o:lock v:ext="edit" aspectratio="f"/>
                <v:textbox>
                  <w:txbxContent>
                    <w:p>
                      <w:pPr>
                        <w:spacing w:line="360" w:lineRule="auto"/>
                        <w:contextualSpacing/>
                        <w:jc w:val="center"/>
                        <w:rPr>
                          <w:rFonts w:hint="eastAsia" w:ascii="Times New Roman" w:hAnsi="Times New Roman" w:cs="Times New Roman"/>
                          <w:sz w:val="24"/>
                          <w:szCs w:val="24"/>
                        </w:rPr>
                      </w:pPr>
                      <w:r>
                        <w:rPr>
                          <w:rFonts w:ascii="Times New Roman" w:hAnsi="Times New Roman" w:cs="Times New Roman"/>
                          <w:b/>
                          <w:bCs/>
                          <w:sz w:val="24"/>
                          <w:szCs w:val="24"/>
                        </w:rPr>
                        <w:t>Module Code:</w:t>
                      </w:r>
                      <w:r>
                        <w:rPr>
                          <w:rFonts w:hint="eastAsia" w:ascii="Times New Roman" w:hAnsi="Times New Roman" w:cs="Times New Roman"/>
                          <w:b/>
                          <w:bCs/>
                          <w:sz w:val="24"/>
                          <w:szCs w:val="24"/>
                        </w:rPr>
                        <w:t xml:space="preserve"> </w:t>
                      </w:r>
                      <w:r>
                        <w:rPr>
                          <w:rFonts w:ascii="Times New Roman" w:hAnsi="Times New Roman" w:cs="Times New Roman"/>
                          <w:sz w:val="24"/>
                          <w:szCs w:val="24"/>
                        </w:rPr>
                        <w:t>BMBM6016</w:t>
                      </w:r>
                    </w:p>
                    <w:p/>
                  </w:txbxContent>
                </v:textbox>
              </v:shape>
            </w:pict>
          </mc:Fallback>
        </mc:AlternateContent>
      </w:r>
    </w:p>
    <w:p>
      <w:pPr>
        <w:spacing w:line="360" w:lineRule="auto"/>
        <w:contextualSpacing/>
        <w:jc w:val="center"/>
        <w:rPr>
          <w:rFonts w:ascii="Times New Roman" w:hAnsi="Times New Roman" w:cs="Times New Roman"/>
          <w:sz w:val="24"/>
          <w:szCs w:val="24"/>
        </w:rPr>
      </w:pPr>
    </w:p>
    <w:p>
      <w:pPr>
        <w:spacing w:line="360" w:lineRule="auto"/>
        <w:contextualSpacing/>
        <w:jc w:val="center"/>
        <w:rPr>
          <w:rFonts w:ascii="Times New Roman" w:hAnsi="Times New Roman" w:cs="Times New Roman"/>
          <w:sz w:val="24"/>
          <w:szCs w:val="24"/>
        </w:rPr>
      </w:pPr>
    </w:p>
    <w:p>
      <w:pPr>
        <w:spacing w:line="360" w:lineRule="auto"/>
        <w:contextualSpacing/>
        <w:jc w:val="center"/>
        <w:rPr>
          <w:rFonts w:hint="eastAsia" w:ascii="Times New Roman" w:hAnsi="Times New Roman" w:cs="Times New Roman"/>
          <w:sz w:val="24"/>
          <w:szCs w:val="24"/>
        </w:rPr>
      </w:pPr>
    </w:p>
    <w:p>
      <w:pPr>
        <w:spacing w:line="360" w:lineRule="auto"/>
        <w:contextualSpacing/>
        <w:jc w:val="center"/>
        <w:rPr>
          <w:rFonts w:hint="eastAsia" w:ascii="Times New Roman" w:hAnsi="Times New Roman" w:cs="Times New Roman"/>
          <w:sz w:val="24"/>
          <w:szCs w:val="24"/>
        </w:rPr>
      </w:pPr>
    </w:p>
    <w:p>
      <w:pPr>
        <w:spacing w:line="360" w:lineRule="auto"/>
        <w:contextualSpacing/>
      </w:pPr>
    </w:p>
    <w:p>
      <w:pPr>
        <w:widowControl/>
        <w:jc w:val="left"/>
      </w:pPr>
      <w:r>
        <w:rPr>
          <w:sz w:val="21"/>
        </w:rPr>
        <mc:AlternateContent>
          <mc:Choice Requires="wps">
            <w:drawing>
              <wp:anchor distT="0" distB="0" distL="114300" distR="114300" simplePos="0" relativeHeight="251664384" behindDoc="0" locked="0" layoutInCell="1" allowOverlap="1">
                <wp:simplePos x="0" y="0"/>
                <wp:positionH relativeFrom="column">
                  <wp:posOffset>-672465</wp:posOffset>
                </wp:positionH>
                <wp:positionV relativeFrom="paragraph">
                  <wp:posOffset>4654550</wp:posOffset>
                </wp:positionV>
                <wp:extent cx="1926590" cy="380365"/>
                <wp:effectExtent l="4445" t="5080" r="12065" b="8255"/>
                <wp:wrapNone/>
                <wp:docPr id="11" name="文本框 11"/>
                <wp:cNvGraphicFramePr/>
                <a:graphic xmlns:a="http://schemas.openxmlformats.org/drawingml/2006/main">
                  <a:graphicData uri="http://schemas.microsoft.com/office/word/2010/wordprocessingShape">
                    <wps:wsp>
                      <wps:cNvSpPr txBox="1"/>
                      <wps:spPr>
                        <a:xfrm>
                          <a:off x="492125" y="8870950"/>
                          <a:ext cx="1926590" cy="380365"/>
                        </a:xfrm>
                        <a:prstGeom prst="rect">
                          <a:avLst/>
                        </a:prstGeom>
                        <a:solidFill>
                          <a:schemeClr val="accent2">
                            <a:lumMod val="40000"/>
                            <a:lumOff val="6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360" w:lineRule="auto"/>
                              <w:contextualSpacing/>
                              <w:jc w:val="center"/>
                              <w:rPr>
                                <w:rFonts w:hint="default" w:ascii="Times New Roman" w:hAnsi="Times New Roman" w:cs="Times New Roman" w:eastAsiaTheme="minorEastAsia"/>
                                <w:b/>
                                <w:bCs/>
                                <w:sz w:val="24"/>
                                <w:szCs w:val="24"/>
                                <w:lang w:val="en-US" w:eastAsia="zh-CN"/>
                              </w:rPr>
                            </w:pPr>
                            <w:r>
                              <w:rPr>
                                <w:rFonts w:ascii="Times New Roman" w:hAnsi="Times New Roman" w:cs="Times New Roman"/>
                                <w:b/>
                                <w:bCs/>
                                <w:sz w:val="24"/>
                                <w:szCs w:val="24"/>
                              </w:rPr>
                              <w:t>Student ID:</w:t>
                            </w:r>
                            <w:r>
                              <w:rPr>
                                <w:rFonts w:hint="eastAsia" w:ascii="Times New Roman" w:hAnsi="Times New Roman" w:cs="Times New Roman"/>
                                <w:b/>
                                <w:bCs/>
                                <w:sz w:val="24"/>
                                <w:szCs w:val="24"/>
                              </w:rPr>
                              <w:t xml:space="preserve"> </w:t>
                            </w:r>
                            <w:r>
                              <w:rPr>
                                <w:rFonts w:hint="eastAsia" w:ascii="Times New Roman" w:hAnsi="Times New Roman" w:cs="Times New Roman"/>
                                <w:b/>
                                <w:bCs/>
                                <w:sz w:val="24"/>
                                <w:szCs w:val="24"/>
                                <w:lang w:val="en-US" w:eastAsia="zh-CN"/>
                              </w:rPr>
                              <w:t>2300437</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2.95pt;margin-top:366.5pt;height:29.95pt;width:151.7pt;z-index:251664384;mso-width-relative:page;mso-height-relative:page;" fillcolor="#F8CBAD [1301]" filled="t" stroked="t" coordsize="21600,21600" o:gfxdata="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AZalxp3QAAAAwBAAAPAAAA&#10;AAAAAAEAIAAAACIAAABkcnMvZG93bnJldi54bWxQSwECFAAUAAAACACHTuJAHo3oO4ICAAD9BAAA&#10;DgAAAAAAAAABACAAAAAsAQAAZHJzL2Uyb0RvYy54bWxQSwUGAAAAAAYABgBZAQAAIAYAAAAA&#10;">
                <v:fill on="t" focussize="0,0"/>
                <v:stroke weight="0.5pt" color="#000000 [3204]" joinstyle="round"/>
                <v:imagedata o:title=""/>
                <o:lock v:ext="edit" aspectratio="f"/>
                <v:textbox>
                  <w:txbxContent>
                    <w:p>
                      <w:pPr>
                        <w:spacing w:line="360" w:lineRule="auto"/>
                        <w:contextualSpacing/>
                        <w:jc w:val="center"/>
                        <w:rPr>
                          <w:rFonts w:hint="default" w:ascii="Times New Roman" w:hAnsi="Times New Roman" w:cs="Times New Roman" w:eastAsiaTheme="minorEastAsia"/>
                          <w:b/>
                          <w:bCs/>
                          <w:sz w:val="24"/>
                          <w:szCs w:val="24"/>
                          <w:lang w:val="en-US" w:eastAsia="zh-CN"/>
                        </w:rPr>
                      </w:pPr>
                      <w:r>
                        <w:rPr>
                          <w:rFonts w:ascii="Times New Roman" w:hAnsi="Times New Roman" w:cs="Times New Roman"/>
                          <w:b/>
                          <w:bCs/>
                          <w:sz w:val="24"/>
                          <w:szCs w:val="24"/>
                        </w:rPr>
                        <w:t>Student ID:</w:t>
                      </w:r>
                      <w:r>
                        <w:rPr>
                          <w:rFonts w:hint="eastAsia" w:ascii="Times New Roman" w:hAnsi="Times New Roman" w:cs="Times New Roman"/>
                          <w:b/>
                          <w:bCs/>
                          <w:sz w:val="24"/>
                          <w:szCs w:val="24"/>
                        </w:rPr>
                        <w:t xml:space="preserve"> </w:t>
                      </w:r>
                      <w:r>
                        <w:rPr>
                          <w:rFonts w:hint="eastAsia" w:ascii="Times New Roman" w:hAnsi="Times New Roman" w:cs="Times New Roman"/>
                          <w:b/>
                          <w:bCs/>
                          <w:sz w:val="24"/>
                          <w:szCs w:val="24"/>
                          <w:lang w:val="en-US" w:eastAsia="zh-CN"/>
                        </w:rPr>
                        <w:t>2300437</w:t>
                      </w:r>
                    </w:p>
                    <w:p/>
                  </w:txbxContent>
                </v:textbox>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-643890</wp:posOffset>
                </wp:positionH>
                <wp:positionV relativeFrom="paragraph">
                  <wp:posOffset>3923665</wp:posOffset>
                </wp:positionV>
                <wp:extent cx="1926590" cy="394970"/>
                <wp:effectExtent l="4445" t="5080" r="12065" b="6350"/>
                <wp:wrapNone/>
                <wp:docPr id="9" name="文本框 9"/>
                <wp:cNvGraphicFramePr/>
                <a:graphic xmlns:a="http://schemas.openxmlformats.org/drawingml/2006/main">
                  <a:graphicData uri="http://schemas.microsoft.com/office/word/2010/wordprocessingShape">
                    <wps:wsp>
                      <wps:cNvSpPr txBox="1"/>
                      <wps:spPr>
                        <a:xfrm>
                          <a:off x="492125" y="8547100"/>
                          <a:ext cx="1926590" cy="394970"/>
                        </a:xfrm>
                        <a:prstGeom prst="rect">
                          <a:avLst/>
                        </a:prstGeom>
                        <a:solidFill>
                          <a:schemeClr val="accent2">
                            <a:lumMod val="40000"/>
                            <a:lumOff val="6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360" w:lineRule="auto"/>
                              <w:contextualSpacing/>
                              <w:jc w:val="center"/>
                              <w:rPr>
                                <w:rFonts w:hint="eastAsia" w:ascii="Times New Roman" w:hAnsi="Times New Roman" w:cs="Times New Roman"/>
                                <w:sz w:val="24"/>
                                <w:szCs w:val="24"/>
                              </w:rPr>
                            </w:pPr>
                            <w:r>
                              <w:rPr>
                                <w:rFonts w:ascii="Times New Roman" w:hAnsi="Times New Roman" w:cs="Times New Roman"/>
                                <w:b/>
                                <w:bCs/>
                                <w:sz w:val="24"/>
                                <w:szCs w:val="24"/>
                              </w:rPr>
                              <w:t>Student name:</w:t>
                            </w:r>
                            <w:r>
                              <w:rPr>
                                <w:rFonts w:hint="eastAsia" w:ascii="Times New Roman" w:hAnsi="Times New Roman" w:cs="Times New Roman"/>
                                <w:sz w:val="24"/>
                                <w:szCs w:val="24"/>
                              </w:rPr>
                              <w:t xml:space="preserve"> </w:t>
                            </w:r>
                            <w:r>
                              <w:rPr>
                                <w:rFonts w:ascii="Times New Roman" w:hAnsi="Times New Roman" w:cs="Times New Roman"/>
                                <w:sz w:val="24"/>
                                <w:szCs w:val="24"/>
                              </w:rPr>
                              <w:t>Yuxin Ren</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0.7pt;margin-top:308.95pt;height:31.1pt;width:151.7pt;z-index:251663360;mso-width-relative:page;mso-height-relative:page;" fillcolor="#F8CBAD [1301]" filled="t" stroked="t" coordsize="21600,21600" o:gfxdata="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xlrhXtwAAAAMAQAADwAA&#10;AAAAAAABACAAAAAiAAAAZHJzL2Rvd25yZXYueG1sUEsBAhQAFAAAAAgAh07iQNh+btOEAgAA+wQA&#10;AA4AAAAAAAAAAQAgAAAAKwEAAGRycy9lMm9Eb2MueG1sUEsFBgAAAAAGAAYAWQEAACEGAAAAAA==&#10;">
                <v:fill on="t" focussize="0,0"/>
                <v:stroke weight="0.5pt" color="#000000 [3204]" joinstyle="round"/>
                <v:imagedata o:title=""/>
                <o:lock v:ext="edit" aspectratio="f"/>
                <v:textbox>
                  <w:txbxContent>
                    <w:p>
                      <w:pPr>
                        <w:spacing w:line="360" w:lineRule="auto"/>
                        <w:contextualSpacing/>
                        <w:jc w:val="center"/>
                        <w:rPr>
                          <w:rFonts w:hint="eastAsia" w:ascii="Times New Roman" w:hAnsi="Times New Roman" w:cs="Times New Roman"/>
                          <w:sz w:val="24"/>
                          <w:szCs w:val="24"/>
                        </w:rPr>
                      </w:pPr>
                      <w:r>
                        <w:rPr>
                          <w:rFonts w:ascii="Times New Roman" w:hAnsi="Times New Roman" w:cs="Times New Roman"/>
                          <w:b/>
                          <w:bCs/>
                          <w:sz w:val="24"/>
                          <w:szCs w:val="24"/>
                        </w:rPr>
                        <w:t>Student name:</w:t>
                      </w:r>
                      <w:r>
                        <w:rPr>
                          <w:rFonts w:hint="eastAsia" w:ascii="Times New Roman" w:hAnsi="Times New Roman" w:cs="Times New Roman"/>
                          <w:sz w:val="24"/>
                          <w:szCs w:val="24"/>
                        </w:rPr>
                        <w:t xml:space="preserve"> </w:t>
                      </w:r>
                      <w:r>
                        <w:rPr>
                          <w:rFonts w:ascii="Times New Roman" w:hAnsi="Times New Roman" w:cs="Times New Roman"/>
                          <w:sz w:val="24"/>
                          <w:szCs w:val="24"/>
                        </w:rPr>
                        <w:t>Yuxin Ren</w:t>
                      </w:r>
                    </w:p>
                    <w:p/>
                  </w:txbxContent>
                </v:textbox>
              </v:shape>
            </w:pict>
          </mc:Fallback>
        </mc:AlternateContent>
      </w:r>
      <w:r>
        <w:rPr>
          <w:sz w:val="21"/>
        </w:rPr>
        <mc:AlternateContent>
          <mc:Choice Requires="wps">
            <w:drawing>
              <wp:anchor distT="0" distB="0" distL="114300" distR="114300" simplePos="0" relativeHeight="251665408" behindDoc="0" locked="0" layoutInCell="1" allowOverlap="1">
                <wp:simplePos x="0" y="0"/>
                <wp:positionH relativeFrom="column">
                  <wp:posOffset>4309745</wp:posOffset>
                </wp:positionH>
                <wp:positionV relativeFrom="paragraph">
                  <wp:posOffset>5102225</wp:posOffset>
                </wp:positionV>
                <wp:extent cx="2017395" cy="472440"/>
                <wp:effectExtent l="4445" t="4445" r="10160" b="5715"/>
                <wp:wrapNone/>
                <wp:docPr id="13" name="文本框 13"/>
                <wp:cNvGraphicFramePr/>
                <a:graphic xmlns:a="http://schemas.openxmlformats.org/drawingml/2006/main">
                  <a:graphicData uri="http://schemas.microsoft.com/office/word/2010/wordprocessingShape">
                    <wps:wsp>
                      <wps:cNvSpPr txBox="1"/>
                      <wps:spPr>
                        <a:xfrm>
                          <a:off x="5530215" y="9582785"/>
                          <a:ext cx="2017395" cy="472440"/>
                        </a:xfrm>
                        <a:prstGeom prst="rect">
                          <a:avLst/>
                        </a:prstGeom>
                        <a:solidFill>
                          <a:schemeClr val="accent2">
                            <a:lumMod val="40000"/>
                            <a:lumOff val="6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360" w:lineRule="auto"/>
                              <w:contextualSpacing/>
                              <w:jc w:val="center"/>
                              <w:rPr>
                                <w:rFonts w:hint="eastAsia" w:ascii="Times New Roman" w:hAnsi="Times New Roman" w:cs="Times New Roman"/>
                                <w:sz w:val="21"/>
                                <w:szCs w:val="21"/>
                              </w:rPr>
                            </w:pPr>
                            <w:r>
                              <w:rPr>
                                <w:rFonts w:ascii="Times New Roman" w:hAnsi="Times New Roman" w:cs="Times New Roman"/>
                                <w:b/>
                                <w:bCs/>
                                <w:sz w:val="21"/>
                                <w:szCs w:val="21"/>
                              </w:rPr>
                              <w:t>Lecturer name:</w:t>
                            </w:r>
                            <w:r>
                              <w:rPr>
                                <w:rFonts w:hint="eastAsia" w:ascii="Times New Roman" w:hAnsi="Times New Roman" w:cs="Times New Roman"/>
                                <w:sz w:val="21"/>
                                <w:szCs w:val="21"/>
                              </w:rPr>
                              <w:t xml:space="preserve"> </w:t>
                            </w:r>
                            <w:r>
                              <w:rPr>
                                <w:rFonts w:ascii="Times New Roman" w:hAnsi="Times New Roman" w:cs="Times New Roman"/>
                                <w:sz w:val="21"/>
                                <w:szCs w:val="21"/>
                              </w:rPr>
                              <w:t>Gwyneth Jones</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9.35pt;margin-top:401.75pt;height:37.2pt;width:158.85pt;z-index:251665408;mso-width-relative:page;mso-height-relative:page;" fillcolor="#F8CBAD [1301]" filled="t" stroked="t" coordsize="21600,21600" o:gfxdata="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CBR/1w3AAAAAsBAAAP&#10;AAAAAAAAAAEAIAAAACIAAABkcnMvZG93bnJldi54bWxQSwECFAAUAAAACACHTuJAB5db+4YCAAD+&#10;BAAADgAAAAAAAAABACAAAAArAQAAZHJzL2Uyb0RvYy54bWxQSwUGAAAAAAYABgBZAQAAIwYAAAAA&#10;">
                <v:fill on="t" focussize="0,0"/>
                <v:stroke weight="0.5pt" color="#000000 [3204]" joinstyle="round"/>
                <v:imagedata o:title=""/>
                <o:lock v:ext="edit" aspectratio="f"/>
                <v:textbox>
                  <w:txbxContent>
                    <w:p>
                      <w:pPr>
                        <w:spacing w:line="360" w:lineRule="auto"/>
                        <w:contextualSpacing/>
                        <w:jc w:val="center"/>
                        <w:rPr>
                          <w:rFonts w:hint="eastAsia" w:ascii="Times New Roman" w:hAnsi="Times New Roman" w:cs="Times New Roman"/>
                          <w:sz w:val="21"/>
                          <w:szCs w:val="21"/>
                        </w:rPr>
                      </w:pPr>
                      <w:r>
                        <w:rPr>
                          <w:rFonts w:ascii="Times New Roman" w:hAnsi="Times New Roman" w:cs="Times New Roman"/>
                          <w:b/>
                          <w:bCs/>
                          <w:sz w:val="21"/>
                          <w:szCs w:val="21"/>
                        </w:rPr>
                        <w:t>Lecturer name:</w:t>
                      </w:r>
                      <w:r>
                        <w:rPr>
                          <w:rFonts w:hint="eastAsia" w:ascii="Times New Roman" w:hAnsi="Times New Roman" w:cs="Times New Roman"/>
                          <w:sz w:val="21"/>
                          <w:szCs w:val="21"/>
                        </w:rPr>
                        <w:t xml:space="preserve"> </w:t>
                      </w:r>
                      <w:r>
                        <w:rPr>
                          <w:rFonts w:ascii="Times New Roman" w:hAnsi="Times New Roman" w:cs="Times New Roman"/>
                          <w:sz w:val="21"/>
                          <w:szCs w:val="21"/>
                        </w:rPr>
                        <w:t>Gwyneth Jones</w:t>
                      </w:r>
                    </w:p>
                    <w:p/>
                  </w:txbxContent>
                </v:textbox>
              </v:shape>
            </w:pict>
          </mc:Fallback>
        </mc:AlternateContent>
      </w:r>
      <w:r>
        <w:br w:type="page"/>
      </w:r>
    </w:p>
    <w:sdt>
      <w:sdtPr>
        <w:rPr>
          <w:lang w:val="en-GB"/>
        </w:rPr>
        <w:id w:val="-2105788648"/>
        <w:docPartObj>
          <w:docPartGallery w:val="Table of Contents"/>
          <w:docPartUnique/>
        </w:docPartObj>
      </w:sdtPr>
      <w:sdtEndPr>
        <w:rPr>
          <w:rFonts w:asciiTheme="minorHAnsi" w:hAnsiTheme="minorHAnsi" w:eastAsiaTheme="minorEastAsia" w:cstheme="minorBidi"/>
          <w:b/>
          <w:bCs/>
          <w:color w:val="auto"/>
          <w:kern w:val="2"/>
          <w:sz w:val="21"/>
          <w:szCs w:val="22"/>
          <w:lang w:val="en-GB"/>
        </w:rPr>
      </w:sdtEndPr>
      <w:sdtContent>
        <w:p>
          <w:pPr>
            <w:pStyle w:val="14"/>
            <w:spacing w:before="0" w:line="480" w:lineRule="auto"/>
            <w:contextualSpacing/>
            <w:jc w:val="center"/>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lang w:val="en-GB"/>
              <w14:textFill>
                <w14:solidFill>
                  <w14:schemeClr w14:val="tx1"/>
                </w14:solidFill>
              </w14:textFill>
            </w:rPr>
            <w:t>Table of Contents</w:t>
          </w:r>
        </w:p>
        <w:p>
          <w:pPr>
            <w:pStyle w:val="6"/>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TOC \o "1-3" \h \z \u </w:instrText>
          </w:r>
          <w:r>
            <w:rPr>
              <w:rFonts w:ascii="Times New Roman" w:hAnsi="Times New Roman" w:cs="Times New Roman"/>
              <w:color w:val="000000" w:themeColor="text1"/>
              <w:sz w:val="24"/>
              <w:szCs w:val="24"/>
              <w14:textFill>
                <w14:solidFill>
                  <w14:schemeClr w14:val="tx1"/>
                </w14:solidFill>
              </w14:textFill>
            </w:rPr>
            <w:fldChar w:fldCharType="separate"/>
          </w:r>
          <w:r>
            <w:fldChar w:fldCharType="begin"/>
          </w:r>
          <w:r>
            <w:instrText xml:space="preserve"> HYPERLINK \l "_Toc165748144"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Executive Summary</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_Toc165748144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6"/>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"_Toc165748145"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1. Introduction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_Toc165748145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6"/>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"_Toc165748146"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 Main findings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_Toc165748146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7"/>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"_Toc165748147"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2.1 Situation analysis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_Toc165748147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7"/>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"_Toc165748148"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2.2 Objectives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_Toc165748148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"_Toc165748149"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2.2.1 Definition and application of SMART goal</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_Toc165748149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"_Toc165748150"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2.2.2 Benefits of objectives on the Supermarket Chain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_Toc165748150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7"/>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"_Toc165748151"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2.3 Strategy</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_Toc165748151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"_Toc165748152"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2.3.1 Ansoff’s Growth Matrix</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_Toc165748152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"_Toc165748153"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2.3.2 Porter’s Generic Strategies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_Toc165748153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"_Toc165748154"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2.3.3 Segmentation, targeting and positioning strategy</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_Toc165748154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7"/>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"_Toc165748155"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2.4 Tactics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_Toc165748155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"_Toc165748156"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2.4.1 Product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_Toc165748156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"_Toc165748157"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2.4.2 Price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_Toc165748157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"_Toc165748158"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2.4.3 Place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_Toc165748158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"_Toc165748159"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2.4.4 Promotion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_Toc165748159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"_Toc165748160"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2.4.5 People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_Toc165748160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"_Toc165748161"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2.4.6 Process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_Toc165748161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5"/>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"_Toc165748162"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2.4.7 Physical evidence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_Toc165748162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7"/>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"_Toc165748163"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2.5 Actions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_Toc165748163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7"/>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"_Toc165748164"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2.6 Control</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_Toc165748164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6"/>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"_Toc165748165"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3. Recommendations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_Toc165748165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6"/>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"_Toc165748166"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4. Conclusions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_Toc165748166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6"/>
            <w:tabs>
              <w:tab w:val="right" w:leader="dot" w:pos="8296"/>
            </w:tabs>
            <w:spacing w:line="480" w:lineRule="auto"/>
            <w:contextualSpacing/>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"_Toc165748167" </w:instrText>
          </w:r>
          <w:r>
            <w:fldChar w:fldCharType="separate"/>
          </w:r>
          <w:r>
            <w:rPr>
              <w:rStyle w:val="11"/>
              <w:rFonts w:ascii="Times New Roman" w:hAnsi="Times New Roman" w:cs="Times New Roman"/>
              <w:color w:val="000000" w:themeColor="text1"/>
              <w:sz w:val="24"/>
              <w:szCs w:val="24"/>
              <w14:textFill>
                <w14:solidFill>
                  <w14:schemeClr w14:val="tx1"/>
                </w14:solidFill>
              </w14:textFill>
            </w:rPr>
            <w:t>References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_Toc165748167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spacing w:line="480" w:lineRule="auto"/>
            <w:contextualSpacing/>
          </w:pPr>
          <w:r>
            <w:rPr>
              <w:rFonts w:ascii="Times New Roman" w:hAnsi="Times New Roman" w:cs="Times New Roman"/>
              <w:b/>
              <w:bCs/>
              <w:color w:val="000000" w:themeColor="text1"/>
              <w:sz w:val="24"/>
              <w:szCs w:val="24"/>
              <w:lang w:val="en-GB"/>
              <w14:textFill>
                <w14:solidFill>
                  <w14:schemeClr w14:val="tx1"/>
                </w14:solidFill>
              </w14:textFill>
            </w:rPr>
            <w:fldChar w:fldCharType="end"/>
          </w:r>
        </w:p>
      </w:sdtContent>
    </w:sdt>
    <w:p>
      <w:pPr>
        <w:spacing w:line="480" w:lineRule="auto"/>
        <w:contextualSpacing/>
        <w:jc w:val="center"/>
        <w:rPr>
          <w:rFonts w:ascii="Times New Roman" w:hAnsi="Times New Roman" w:cs="Times New Roman"/>
          <w:sz w:val="24"/>
          <w:szCs w:val="24"/>
        </w:rPr>
      </w:pPr>
    </w:p>
    <w:p>
      <w:pPr>
        <w:widowControl/>
        <w:jc w:val="left"/>
        <w:rPr>
          <w:rFonts w:ascii="Times New Roman" w:hAnsi="Times New Roman" w:cs="Times New Roman"/>
          <w:sz w:val="24"/>
          <w:szCs w:val="24"/>
        </w:rPr>
      </w:pPr>
      <w:r>
        <w:rPr>
          <w:rFonts w:ascii="Times New Roman" w:hAnsi="Times New Roman" w:cs="Times New Roman"/>
          <w:sz w:val="24"/>
          <w:szCs w:val="24"/>
        </w:rPr>
        <w:br w:type="page"/>
      </w:r>
    </w:p>
    <w:p>
      <w:pPr>
        <w:pStyle w:val="2"/>
        <w:spacing w:line="480" w:lineRule="auto"/>
        <w:jc w:val="center"/>
      </w:pPr>
      <w:bookmarkStart w:id="0" w:name="_Toc165748144"/>
      <w:r>
        <w:t>Executive</w:t>
      </w:r>
      <w:r>
        <w:rPr>
          <w:rFonts w:hint="eastAsia"/>
        </w:rPr>
        <w:t xml:space="preserve"> Summary</w:t>
      </w:r>
      <w:bookmarkEnd w:id="0"/>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This report </w:t>
      </w:r>
      <w:r>
        <w:rPr>
          <w:rFonts w:hint="eastAsia" w:ascii="Times New Roman" w:hAnsi="Times New Roman" w:cs="Times New Roman"/>
          <w:sz w:val="24"/>
          <w:szCs w:val="24"/>
        </w:rPr>
        <w:t>focuses on</w:t>
      </w:r>
      <w:r>
        <w:rPr>
          <w:rFonts w:ascii="Times New Roman" w:hAnsi="Times New Roman" w:cs="Times New Roman"/>
          <w:sz w:val="24"/>
          <w:szCs w:val="24"/>
        </w:rPr>
        <w:t xml:space="preserve"> the challenges of plastic packaging environment faced by Tesco, and uses SOSTAC framework to conduct </w:t>
      </w:r>
      <w:r>
        <w:rPr>
          <w:rFonts w:hint="eastAsia" w:ascii="Times New Roman" w:hAnsi="Times New Roman" w:cs="Times New Roman"/>
          <w:sz w:val="24"/>
          <w:szCs w:val="24"/>
        </w:rPr>
        <w:t xml:space="preserve">a marketing plan </w:t>
      </w:r>
      <w:r>
        <w:rPr>
          <w:rFonts w:ascii="Times New Roman" w:hAnsi="Times New Roman" w:cs="Times New Roman"/>
          <w:sz w:val="24"/>
          <w:szCs w:val="24"/>
        </w:rPr>
        <w:t>cover</w:t>
      </w:r>
      <w:r>
        <w:rPr>
          <w:rFonts w:hint="eastAsia" w:ascii="Times New Roman" w:hAnsi="Times New Roman" w:cs="Times New Roman"/>
          <w:sz w:val="24"/>
          <w:szCs w:val="24"/>
        </w:rPr>
        <w:t>ing</w:t>
      </w:r>
      <w:r>
        <w:rPr>
          <w:rFonts w:ascii="Times New Roman" w:hAnsi="Times New Roman" w:cs="Times New Roman"/>
          <w:sz w:val="24"/>
          <w:szCs w:val="24"/>
        </w:rPr>
        <w:t xml:space="preserve"> a 12</w:t>
      </w:r>
      <w:r>
        <w:rPr>
          <w:rFonts w:hint="eastAsia" w:ascii="Times New Roman" w:hAnsi="Times New Roman" w:cs="Times New Roman"/>
          <w:sz w:val="24"/>
          <w:szCs w:val="24"/>
        </w:rPr>
        <w:t>-</w:t>
      </w:r>
      <w:r>
        <w:rPr>
          <w:rFonts w:ascii="Times New Roman" w:hAnsi="Times New Roman" w:cs="Times New Roman"/>
          <w:sz w:val="24"/>
          <w:szCs w:val="24"/>
        </w:rPr>
        <w:t>month period</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from September 2024 to August 2025. First, specific strategies are put forward through TOWS analysis. Subsequently, the specific </w:t>
      </w:r>
      <w:r>
        <w:rPr>
          <w:rFonts w:hint="eastAsia" w:ascii="Times New Roman" w:hAnsi="Times New Roman" w:cs="Times New Roman"/>
          <w:sz w:val="24"/>
          <w:szCs w:val="24"/>
        </w:rPr>
        <w:t>objectives</w:t>
      </w:r>
      <w:r>
        <w:rPr>
          <w:rFonts w:ascii="Times New Roman" w:hAnsi="Times New Roman" w:cs="Times New Roman"/>
          <w:sz w:val="24"/>
          <w:szCs w:val="24"/>
        </w:rPr>
        <w:t xml:space="preserve"> </w:t>
      </w:r>
      <w:r>
        <w:rPr>
          <w:rFonts w:hint="eastAsia" w:ascii="Times New Roman" w:hAnsi="Times New Roman" w:cs="Times New Roman"/>
          <w:sz w:val="24"/>
          <w:szCs w:val="24"/>
        </w:rPr>
        <w:t>which follows</w:t>
      </w:r>
      <w:r>
        <w:rPr>
          <w:rFonts w:ascii="Times New Roman" w:hAnsi="Times New Roman" w:cs="Times New Roman"/>
          <w:sz w:val="24"/>
          <w:szCs w:val="24"/>
        </w:rPr>
        <w:t xml:space="preserve"> SMART principle </w:t>
      </w:r>
      <w:r>
        <w:rPr>
          <w:rFonts w:hint="eastAsia" w:ascii="Times New Roman" w:hAnsi="Times New Roman" w:cs="Times New Roman"/>
          <w:sz w:val="24"/>
          <w:szCs w:val="24"/>
        </w:rPr>
        <w:t>are</w:t>
      </w:r>
      <w:r>
        <w:rPr>
          <w:rFonts w:ascii="Times New Roman" w:hAnsi="Times New Roman" w:cs="Times New Roman"/>
          <w:sz w:val="24"/>
          <w:szCs w:val="24"/>
        </w:rPr>
        <w:t xml:space="preserve"> established, aiming at significantly reducing the use of plastics and food waste within one year, responding to the global environmental protection trend, and tapping the financial growth potential. On the strategic level, Tesco </w:t>
      </w:r>
      <w:r>
        <w:rPr>
          <w:rFonts w:hint="eastAsia" w:ascii="Times New Roman" w:hAnsi="Times New Roman" w:cs="Times New Roman"/>
          <w:sz w:val="24"/>
          <w:szCs w:val="24"/>
        </w:rPr>
        <w:t>can</w:t>
      </w:r>
      <w:r>
        <w:rPr>
          <w:rFonts w:ascii="Times New Roman" w:hAnsi="Times New Roman" w:cs="Times New Roman"/>
          <w:sz w:val="24"/>
          <w:szCs w:val="24"/>
        </w:rPr>
        <w:t xml:space="preserve"> adopt Ansoff's growth matrix and Porter's general strategy. Tactically, from seven aspects of marketing mix, it is suggested to introduce biodegradable packaging, implement demand-oriented pricing, optimize online and offline shopping experience, and use artificial intelligence to improve customer service. Further</w:t>
      </w:r>
      <w:r>
        <w:rPr>
          <w:rFonts w:hint="eastAsia" w:ascii="Times New Roman" w:hAnsi="Times New Roman" w:cs="Times New Roman"/>
          <w:sz w:val="24"/>
          <w:szCs w:val="24"/>
        </w:rPr>
        <w:t>more</w:t>
      </w:r>
      <w:r>
        <w:rPr>
          <w:rFonts w:ascii="Times New Roman" w:hAnsi="Times New Roman" w:cs="Times New Roman"/>
          <w:sz w:val="24"/>
          <w:szCs w:val="24"/>
        </w:rPr>
        <w:t xml:space="preserve">, this report </w:t>
      </w:r>
      <w:r>
        <w:rPr>
          <w:rFonts w:hint="eastAsia" w:ascii="Times New Roman" w:hAnsi="Times New Roman" w:cs="Times New Roman"/>
          <w:sz w:val="24"/>
          <w:szCs w:val="24"/>
        </w:rPr>
        <w:t>also put forward</w:t>
      </w:r>
      <w:r>
        <w:rPr>
          <w:rFonts w:ascii="Times New Roman" w:hAnsi="Times New Roman" w:cs="Times New Roman"/>
          <w:sz w:val="24"/>
          <w:szCs w:val="24"/>
        </w:rPr>
        <w:t xml:space="preserve"> a clear action plan, implemented various initiatives in stages from September 2024</w:t>
      </w:r>
      <w:r>
        <w:rPr>
          <w:rFonts w:hint="eastAsia" w:ascii="Times New Roman" w:hAnsi="Times New Roman" w:cs="Times New Roman"/>
          <w:sz w:val="24"/>
          <w:szCs w:val="24"/>
        </w:rPr>
        <w:t xml:space="preserve"> to August 2025</w:t>
      </w:r>
      <w:r>
        <w:rPr>
          <w:rFonts w:ascii="Times New Roman" w:hAnsi="Times New Roman" w:cs="Times New Roman"/>
          <w:sz w:val="24"/>
          <w:szCs w:val="24"/>
        </w:rPr>
        <w:t xml:space="preserve">, and set up key performance indicators to monitor the progress. Finally, this report puts forward </w:t>
      </w:r>
      <w:r>
        <w:rPr>
          <w:rFonts w:hint="eastAsia" w:ascii="Times New Roman" w:hAnsi="Times New Roman" w:cs="Times New Roman"/>
          <w:sz w:val="24"/>
          <w:szCs w:val="24"/>
        </w:rPr>
        <w:t>recommendations</w:t>
      </w:r>
      <w:r>
        <w:rPr>
          <w:rFonts w:ascii="Times New Roman" w:hAnsi="Times New Roman" w:cs="Times New Roman"/>
          <w:sz w:val="24"/>
          <w:szCs w:val="24"/>
        </w:rPr>
        <w:t xml:space="preserve"> for continuous improvement to ensure that Tesco can continuously improve its market competitiveness while coping with environmental challenges.</w:t>
      </w:r>
    </w:p>
    <w:p>
      <w:pPr>
        <w:spacing w:line="480" w:lineRule="auto"/>
        <w:contextualSpacing/>
        <w:rPr>
          <w:rFonts w:ascii="Times New Roman" w:hAnsi="Times New Roman" w:cs="Times New Roman"/>
          <w:sz w:val="24"/>
          <w:szCs w:val="24"/>
        </w:rPr>
      </w:pPr>
    </w:p>
    <w:p>
      <w:pPr>
        <w:spacing w:line="480" w:lineRule="auto"/>
        <w:contextualSpacing/>
        <w:rPr>
          <w:rFonts w:ascii="Times New Roman" w:hAnsi="Times New Roman" w:cs="Times New Roman"/>
          <w:sz w:val="24"/>
          <w:szCs w:val="24"/>
        </w:rPr>
      </w:pPr>
    </w:p>
    <w:p>
      <w:pPr>
        <w:spacing w:line="480" w:lineRule="auto"/>
        <w:contextualSpacing/>
        <w:rPr>
          <w:rFonts w:ascii="Times New Roman" w:hAnsi="Times New Roman" w:cs="Times New Roman"/>
          <w:sz w:val="24"/>
          <w:szCs w:val="24"/>
        </w:rPr>
      </w:pPr>
    </w:p>
    <w:p>
      <w:pPr>
        <w:spacing w:line="480" w:lineRule="auto"/>
        <w:contextualSpacing/>
        <w:rPr>
          <w:rFonts w:ascii="Times New Roman" w:hAnsi="Times New Roman" w:cs="Times New Roman"/>
          <w:sz w:val="24"/>
          <w:szCs w:val="24"/>
        </w:rPr>
      </w:pPr>
    </w:p>
    <w:p>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br w:type="page"/>
      </w:r>
    </w:p>
    <w:p>
      <w:pPr>
        <w:pStyle w:val="2"/>
        <w:spacing w:line="480" w:lineRule="auto"/>
      </w:pPr>
      <w:bookmarkStart w:id="1" w:name="_Toc165748145"/>
      <w:r>
        <w:rPr>
          <w:rFonts w:hint="eastAsia"/>
        </w:rPr>
        <w:t>1. Introduction</w:t>
      </w:r>
      <w:bookmarkEnd w:id="1"/>
    </w:p>
    <w:p>
      <w:pPr>
        <w:spacing w:line="480" w:lineRule="auto"/>
        <w:ind w:firstLine="480" w:firstLineChars="200"/>
        <w:contextualSpacing/>
        <w:rPr>
          <w:rFonts w:hint="eastAsia" w:ascii="Times New Roman" w:hAnsi="Times New Roman" w:cs="Times New Roman"/>
          <w:sz w:val="24"/>
          <w:szCs w:val="24"/>
        </w:rPr>
      </w:pPr>
      <w:r>
        <w:rPr>
          <w:rFonts w:ascii="Times New Roman" w:hAnsi="Times New Roman" w:cs="Times New Roman"/>
          <w:sz w:val="24"/>
          <w:szCs w:val="24"/>
        </w:rPr>
        <w:t xml:space="preserve">Under the background of increasing awareness of global environmental protection, the supermarket chain industry is facing unprecedented transformation pressure, especially in plastic packaging and food waste. Tesco, as one of the leading supermarket chains in Britain, needs to shoulder the social responsibility of promoting sustainable development. </w:t>
      </w:r>
      <w:r>
        <w:rPr>
          <w:rFonts w:hint="eastAsia" w:ascii="Times New Roman" w:hAnsi="Times New Roman" w:cs="Times New Roman"/>
          <w:sz w:val="24"/>
          <w:szCs w:val="24"/>
        </w:rPr>
        <w:t>T</w:t>
      </w:r>
      <w:r>
        <w:rPr>
          <w:rFonts w:ascii="Times New Roman" w:hAnsi="Times New Roman" w:cs="Times New Roman"/>
          <w:sz w:val="24"/>
          <w:szCs w:val="24"/>
        </w:rPr>
        <w:t>his report aims to customize a forward-looking marketing plan for Tesco, aiming at coping with the environmental challenges of plastic packaging through targeted strategies, and at the same time enhancing its market competitiveness and brand image. This plan is based on SOSTAC</w:t>
      </w:r>
      <w:r>
        <w:rPr>
          <w:rFonts w:hint="eastAsia" w:ascii="Times New Roman" w:hAnsi="Times New Roman" w:cs="Times New Roman"/>
          <w:sz w:val="24"/>
          <w:szCs w:val="24"/>
        </w:rPr>
        <w:t xml:space="preserve">, including </w:t>
      </w:r>
      <w:r>
        <w:rPr>
          <w:rFonts w:ascii="Times New Roman" w:hAnsi="Times New Roman" w:cs="Times New Roman"/>
          <w:sz w:val="24"/>
          <w:szCs w:val="24"/>
        </w:rPr>
        <w:t>situation analysis, objectivity, strategy, tactics, action, control</w:t>
      </w:r>
      <w:r>
        <w:rPr>
          <w:rFonts w:hint="eastAsia" w:ascii="Times New Roman" w:hAnsi="Times New Roman" w:cs="Times New Roman"/>
          <w:sz w:val="24"/>
          <w:szCs w:val="24"/>
        </w:rPr>
        <w:t>,</w:t>
      </w:r>
      <w:r>
        <w:rPr>
          <w:rFonts w:ascii="Times New Roman" w:hAnsi="Times New Roman" w:cs="Times New Roman"/>
          <w:sz w:val="24"/>
          <w:szCs w:val="24"/>
        </w:rPr>
        <w:t xml:space="preserve"> to ensure that the whole process from status analysis to strategy implementation to effect monitoring is scientific and rigorous. S</w:t>
      </w:r>
      <w:r>
        <w:rPr>
          <w:rFonts w:hint="eastAsia" w:ascii="Times New Roman" w:hAnsi="Times New Roman" w:cs="Times New Roman"/>
          <w:sz w:val="24"/>
          <w:szCs w:val="24"/>
        </w:rPr>
        <w:t>MART</w:t>
      </w:r>
      <w:r>
        <w:rPr>
          <w:rFonts w:ascii="Times New Roman" w:hAnsi="Times New Roman" w:cs="Times New Roman"/>
          <w:sz w:val="24"/>
          <w:szCs w:val="24"/>
        </w:rPr>
        <w:t xml:space="preserve"> principle is used to set specific and measurable goals to ensure the efficiency and effectiveness of marketing activities.</w:t>
      </w:r>
      <w:r>
        <w:rPr>
          <w:rFonts w:hint="eastAsia" w:ascii="Times New Roman" w:hAnsi="Times New Roman" w:cs="Times New Roman"/>
          <w:sz w:val="24"/>
          <w:szCs w:val="24"/>
        </w:rPr>
        <w:t xml:space="preserve"> </w:t>
      </w:r>
      <w:r>
        <w:rPr>
          <w:rFonts w:ascii="Times New Roman" w:hAnsi="Times New Roman" w:cs="Times New Roman"/>
          <w:sz w:val="24"/>
          <w:szCs w:val="24"/>
        </w:rPr>
        <w:t>Th</w:t>
      </w:r>
      <w:r>
        <w:rPr>
          <w:rFonts w:hint="eastAsia" w:ascii="Times New Roman" w:hAnsi="Times New Roman" w:cs="Times New Roman"/>
          <w:sz w:val="24"/>
          <w:szCs w:val="24"/>
        </w:rPr>
        <w:t>is</w:t>
      </w:r>
      <w:r>
        <w:rPr>
          <w:rFonts w:ascii="Times New Roman" w:hAnsi="Times New Roman" w:cs="Times New Roman"/>
          <w:sz w:val="24"/>
          <w:szCs w:val="24"/>
        </w:rPr>
        <w:t xml:space="preserve"> report discusses </w:t>
      </w:r>
      <w:r>
        <w:rPr>
          <w:rFonts w:hint="eastAsia" w:ascii="Times New Roman" w:hAnsi="Times New Roman" w:cs="Times New Roman"/>
          <w:sz w:val="24"/>
          <w:szCs w:val="24"/>
        </w:rPr>
        <w:t>the situation</w:t>
      </w:r>
      <w:r>
        <w:rPr>
          <w:rFonts w:ascii="Times New Roman" w:hAnsi="Times New Roman" w:cs="Times New Roman"/>
          <w:sz w:val="24"/>
          <w:szCs w:val="24"/>
        </w:rPr>
        <w:t>, clear marketing objectives, comprehensive strategic deployment, detailed tactical implementation, specific action plan and control feedback mechanism faced by Tesco.</w:t>
      </w:r>
    </w:p>
    <w:p>
      <w:pPr>
        <w:pStyle w:val="2"/>
        <w:spacing w:line="480" w:lineRule="auto"/>
      </w:pPr>
      <w:bookmarkStart w:id="2" w:name="_Toc165748146"/>
      <w:r>
        <w:rPr>
          <w:rFonts w:hint="eastAsia"/>
        </w:rPr>
        <w:t>2. Main findings</w:t>
      </w:r>
      <w:bookmarkEnd w:id="2"/>
    </w:p>
    <w:p>
      <w:pPr>
        <w:spacing w:line="480" w:lineRule="auto"/>
        <w:ind w:firstLine="480" w:firstLineChars="200"/>
        <w:contextualSpacing/>
        <w:rPr>
          <w:rFonts w:hint="eastAsia" w:ascii="Times New Roman" w:hAnsi="Times New Roman" w:cs="Times New Roman"/>
          <w:sz w:val="24"/>
          <w:szCs w:val="24"/>
        </w:rPr>
      </w:pPr>
      <w:r>
        <w:rPr>
          <w:rFonts w:hint="eastAsia" w:ascii="Times New Roman" w:hAnsi="Times New Roman" w:cs="Times New Roman"/>
          <w:sz w:val="24"/>
          <w:szCs w:val="24"/>
        </w:rPr>
        <w:t xml:space="preserve">Based on </w:t>
      </w:r>
      <w:r>
        <w:rPr>
          <w:rFonts w:ascii="Times New Roman" w:hAnsi="Times New Roman" w:cs="Times New Roman"/>
          <w:sz w:val="24"/>
          <w:szCs w:val="24"/>
        </w:rPr>
        <w:t>SOSTAC</w:t>
      </w:r>
      <w:r>
        <w:rPr>
          <w:rFonts w:hint="eastAsia" w:ascii="Times New Roman" w:hAnsi="Times New Roman" w:cs="Times New Roman"/>
          <w:sz w:val="24"/>
          <w:szCs w:val="24"/>
        </w:rPr>
        <w:t xml:space="preserve"> framework (</w:t>
      </w:r>
      <w:r>
        <w:rPr>
          <w:rFonts w:ascii="Times New Roman" w:hAnsi="Times New Roman" w:cs="Times New Roman"/>
          <w:sz w:val="24"/>
          <w:szCs w:val="24"/>
        </w:rPr>
        <w:t>Krisbiantoro</w:t>
      </w:r>
      <w:r>
        <w:rPr>
          <w:rFonts w:hint="eastAsia" w:ascii="Times New Roman" w:hAnsi="Times New Roman" w:cs="Times New Roman"/>
          <w:sz w:val="24"/>
          <w:szCs w:val="24"/>
        </w:rPr>
        <w:t>, 2023), analysis on t</w:t>
      </w:r>
      <w:r>
        <w:rPr>
          <w:rFonts w:ascii="Times New Roman" w:hAnsi="Times New Roman" w:cs="Times New Roman"/>
          <w:sz w:val="24"/>
          <w:szCs w:val="24"/>
        </w:rPr>
        <w:t xml:space="preserve">he </w:t>
      </w:r>
      <w:r>
        <w:rPr>
          <w:rFonts w:hint="eastAsia" w:ascii="Times New Roman" w:hAnsi="Times New Roman" w:cs="Times New Roman"/>
          <w:sz w:val="24"/>
          <w:szCs w:val="24"/>
        </w:rPr>
        <w:t>m</w:t>
      </w:r>
      <w:r>
        <w:rPr>
          <w:rFonts w:ascii="Times New Roman" w:hAnsi="Times New Roman" w:cs="Times New Roman"/>
          <w:sz w:val="24"/>
          <w:szCs w:val="24"/>
        </w:rPr>
        <w:t xml:space="preserve">arketing </w:t>
      </w:r>
      <w:r>
        <w:rPr>
          <w:rFonts w:hint="eastAsia" w:ascii="Times New Roman" w:hAnsi="Times New Roman" w:cs="Times New Roman"/>
          <w:sz w:val="24"/>
          <w:szCs w:val="24"/>
        </w:rPr>
        <w:t>p</w:t>
      </w:r>
      <w:r>
        <w:rPr>
          <w:rFonts w:ascii="Times New Roman" w:hAnsi="Times New Roman" w:cs="Times New Roman"/>
          <w:sz w:val="24"/>
          <w:szCs w:val="24"/>
        </w:rPr>
        <w:t>lan</w:t>
      </w:r>
      <w:r>
        <w:rPr>
          <w:rFonts w:hint="eastAsia" w:ascii="Times New Roman" w:hAnsi="Times New Roman" w:cs="Times New Roman"/>
          <w:sz w:val="24"/>
          <w:szCs w:val="24"/>
        </w:rPr>
        <w:t xml:space="preserve"> are as follows.</w:t>
      </w:r>
    </w:p>
    <w:p>
      <w:pPr>
        <w:pStyle w:val="3"/>
        <w:spacing w:line="480" w:lineRule="auto"/>
      </w:pPr>
      <w:bookmarkStart w:id="3" w:name="_Toc165748147"/>
      <w:r>
        <w:rPr>
          <w:rFonts w:hint="eastAsia"/>
        </w:rPr>
        <w:t>2.1 Situation analysis</w:t>
      </w:r>
      <w:bookmarkEnd w:id="3"/>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Based on TOWS analysis, this paper will put forward specific strategies for the use of plastics in view of the environmental challenges of plastic packaging</w:t>
      </w:r>
      <w:r>
        <w:rPr>
          <w:rFonts w:hint="eastAsia" w:ascii="Times New Roman" w:hAnsi="Times New Roman" w:cs="Times New Roman"/>
          <w:sz w:val="24"/>
          <w:szCs w:val="24"/>
        </w:rPr>
        <w:t xml:space="preserve"> and food waste</w:t>
      </w:r>
      <w:r>
        <w:rPr>
          <w:rFonts w:ascii="Times New Roman" w:hAnsi="Times New Roman" w:cs="Times New Roman"/>
          <w:sz w:val="24"/>
          <w:szCs w:val="24"/>
        </w:rPr>
        <w:t>.</w:t>
      </w:r>
      <w:r>
        <w:rPr>
          <w:rFonts w:hint="eastAsia" w:ascii="Times New Roman" w:hAnsi="Times New Roman" w:cs="Times New Roman"/>
          <w:sz w:val="24"/>
          <w:szCs w:val="24"/>
        </w:rPr>
        <w:t xml:space="preserve"> TWOS analysis </w:t>
      </w:r>
      <w:r>
        <w:rPr>
          <w:rFonts w:ascii="Times New Roman" w:hAnsi="Times New Roman" w:cs="Times New Roman"/>
          <w:sz w:val="24"/>
          <w:szCs w:val="24"/>
        </w:rPr>
        <w:t>combines internal and external forces to come up with productive ideas of how to best use the information</w:t>
      </w:r>
      <w:r>
        <w:rPr>
          <w:rFonts w:hint="eastAsia" w:ascii="Times New Roman" w:hAnsi="Times New Roman" w:cs="Times New Roman"/>
          <w:sz w:val="24"/>
          <w:szCs w:val="24"/>
        </w:rPr>
        <w:t xml:space="preserve"> (</w:t>
      </w:r>
      <w:r>
        <w:rPr>
          <w:rFonts w:ascii="Times New Roman" w:hAnsi="Times New Roman" w:cs="Times New Roman"/>
          <w:color w:val="000000" w:themeColor="text1"/>
          <w:sz w:val="24"/>
          <w:szCs w:val="24"/>
          <w14:textFill>
            <w14:solidFill>
              <w14:schemeClr w14:val="tx1"/>
            </w14:solidFill>
          </w14:textFill>
        </w:rPr>
        <w:t>Gottfried</w:t>
      </w:r>
      <w:r>
        <w:rPr>
          <w:rFonts w:hint="eastAsia" w:ascii="Times New Roman" w:hAnsi="Times New Roman" w:cs="Times New Roman"/>
          <w:color w:val="000000" w:themeColor="text1"/>
          <w:sz w:val="24"/>
          <w:szCs w:val="24"/>
          <w14:textFill>
            <w14:solidFill>
              <w14:schemeClr w14:val="tx1"/>
            </w14:solidFill>
          </w14:textFill>
        </w:rPr>
        <w:t xml:space="preserve"> </w:t>
      </w:r>
      <w:r>
        <w:rPr>
          <w:rFonts w:hint="eastAsia" w:ascii="Times New Roman" w:hAnsi="Times New Roman" w:cs="Times New Roman"/>
          <w:i/>
          <w:iCs/>
          <w:color w:val="000000" w:themeColor="text1"/>
          <w:sz w:val="24"/>
          <w:szCs w:val="24"/>
          <w14:textFill>
            <w14:solidFill>
              <w14:schemeClr w14:val="tx1"/>
            </w14:solidFill>
          </w14:textFill>
        </w:rPr>
        <w:t>et al.</w:t>
      </w:r>
      <w:r>
        <w:rPr>
          <w:rFonts w:hint="eastAsia" w:ascii="Times New Roman" w:hAnsi="Times New Roman" w:cs="Times New Roman"/>
          <w:color w:val="000000" w:themeColor="text1"/>
          <w:sz w:val="24"/>
          <w:szCs w:val="24"/>
          <w14:textFill>
            <w14:solidFill>
              <w14:schemeClr w14:val="tx1"/>
            </w14:solidFill>
          </w14:textFill>
        </w:rPr>
        <w:t>, 2018</w:t>
      </w:r>
      <w:r>
        <w:rPr>
          <w:rFonts w:hint="eastAsia" w:ascii="Times New Roman" w:hAnsi="Times New Roman" w:cs="Times New Roman"/>
          <w:sz w:val="24"/>
          <w:szCs w:val="24"/>
        </w:rPr>
        <w:t>)</w:t>
      </w:r>
      <w:r>
        <w:rPr>
          <w:rFonts w:ascii="Times New Roman" w:hAnsi="Times New Roman" w:cs="Times New Roman"/>
          <w:sz w:val="24"/>
          <w:szCs w:val="24"/>
        </w:rPr>
        <w:t>.</w:t>
      </w:r>
    </w:p>
    <w:p>
      <w:pPr>
        <w:spacing w:line="480" w:lineRule="auto"/>
        <w:ind w:firstLine="480" w:firstLineChars="200"/>
        <w:contextualSpacing/>
        <w:rPr>
          <w:rFonts w:ascii="Times New Roman" w:hAnsi="Times New Roman" w:cs="Times New Roman"/>
          <w:sz w:val="24"/>
          <w:szCs w:val="24"/>
        </w:rPr>
      </w:pPr>
      <w:r>
        <w:rPr>
          <w:rFonts w:hint="eastAsia" w:ascii="Times New Roman" w:hAnsi="Times New Roman" w:cs="Times New Roman"/>
          <w:sz w:val="24"/>
          <w:szCs w:val="24"/>
        </w:rPr>
        <w:t xml:space="preserve">SO strategy combines strengths and opportunities. </w:t>
      </w:r>
      <w:r>
        <w:rPr>
          <w:rFonts w:ascii="Times New Roman" w:hAnsi="Times New Roman" w:cs="Times New Roman"/>
          <w:sz w:val="24"/>
          <w:szCs w:val="24"/>
        </w:rPr>
        <w:t>Tesco's high brand awareness and active actions in the field of sustainable development are its two major advantages. In the United Kingdom, the sector dedicated to ethical and sustainable products witnessed a market valuation of £41 billion in 2019, marking a nearly quadrupled growth over the span of two decades</w:t>
      </w:r>
      <w:r>
        <w:rPr>
          <w:rFonts w:hint="eastAsia" w:ascii="Times New Roman" w:hAnsi="Times New Roman" w:cs="Times New Roman"/>
          <w:sz w:val="24"/>
          <w:szCs w:val="24"/>
        </w:rPr>
        <w:t xml:space="preserve"> (World Economic Forum, 2021)</w:t>
      </w:r>
      <w:r>
        <w:rPr>
          <w:rFonts w:ascii="Times New Roman" w:hAnsi="Times New Roman" w:cs="Times New Roman"/>
          <w:sz w:val="24"/>
          <w:szCs w:val="24"/>
        </w:rPr>
        <w:t xml:space="preserve">. Combined with the external opportunity of consumers' increasing demand for environmental protection products, Tesco </w:t>
      </w:r>
      <w:r>
        <w:rPr>
          <w:rFonts w:hint="eastAsia" w:ascii="Times New Roman" w:hAnsi="Times New Roman" w:cs="Times New Roman"/>
          <w:sz w:val="24"/>
          <w:szCs w:val="24"/>
        </w:rPr>
        <w:t>can</w:t>
      </w:r>
      <w:r>
        <w:rPr>
          <w:rFonts w:ascii="Times New Roman" w:hAnsi="Times New Roman" w:cs="Times New Roman"/>
          <w:sz w:val="24"/>
          <w:szCs w:val="24"/>
        </w:rPr>
        <w:t xml:space="preserve"> make full use of these advantages and enhance its environmental leadership image in the market by strengthening the innovation and publicity of environmental protection packaging. For example, Tesco can introduce degradable or recycled packaging solutions to enhance consumers' brand loyalty. </w:t>
      </w:r>
    </w:p>
    <w:p>
      <w:pPr>
        <w:spacing w:line="480" w:lineRule="auto"/>
        <w:ind w:firstLine="480" w:firstLineChars="200"/>
        <w:contextualSpacing/>
        <w:rPr>
          <w:rFonts w:hint="eastAsia" w:ascii="Times New Roman" w:hAnsi="Times New Roman" w:cs="Times New Roman"/>
          <w:sz w:val="24"/>
          <w:szCs w:val="24"/>
        </w:rPr>
      </w:pPr>
      <w:r>
        <w:rPr>
          <w:rFonts w:hint="eastAsia" w:ascii="Times New Roman" w:hAnsi="Times New Roman" w:cs="Times New Roman"/>
          <w:sz w:val="24"/>
          <w:szCs w:val="24"/>
        </w:rPr>
        <w:t>WO</w:t>
      </w:r>
      <w:r>
        <w:rPr>
          <w:rFonts w:ascii="Times New Roman" w:hAnsi="Times New Roman" w:cs="Times New Roman"/>
          <w:sz w:val="24"/>
          <w:szCs w:val="24"/>
        </w:rPr>
        <w:t xml:space="preserve"> strategy</w:t>
      </w:r>
      <w:r>
        <w:rPr>
          <w:rFonts w:hint="eastAsia" w:ascii="Times New Roman" w:hAnsi="Times New Roman" w:cs="Times New Roman"/>
          <w:sz w:val="24"/>
          <w:szCs w:val="24"/>
        </w:rPr>
        <w:t xml:space="preserve"> combines weaknesses and opportunities.</w:t>
      </w:r>
      <w:r>
        <w:rPr>
          <w:rFonts w:ascii="Times New Roman" w:hAnsi="Times New Roman" w:cs="Times New Roman"/>
          <w:sz w:val="24"/>
          <w:szCs w:val="24"/>
        </w:rPr>
        <w:t xml:space="preserve"> Tesco's lag in sales and service innovation is a major disadvantage, while the market's pursuit of personalized and environmentally friendly shopping experience constitutes an external opportunity</w:t>
      </w:r>
      <w:r>
        <w:rPr>
          <w:rFonts w:hint="eastAsia" w:ascii="Times New Roman" w:hAnsi="Times New Roman" w:cs="Times New Roman"/>
          <w:sz w:val="24"/>
          <w:szCs w:val="24"/>
        </w:rPr>
        <w:t xml:space="preserve"> (</w:t>
      </w:r>
      <w:r>
        <w:rPr>
          <w:rFonts w:ascii="Times New Roman" w:hAnsi="Times New Roman" w:cs="Times New Roman"/>
          <w:sz w:val="24"/>
          <w:szCs w:val="24"/>
        </w:rPr>
        <w:t>Adrita</w:t>
      </w:r>
      <w:r>
        <w:rPr>
          <w:rFonts w:hint="eastAsia" w:ascii="Times New Roman" w:hAnsi="Times New Roman" w:cs="Times New Roman"/>
          <w:sz w:val="24"/>
          <w:szCs w:val="24"/>
        </w:rPr>
        <w:t>, 2020)</w:t>
      </w:r>
      <w:r>
        <w:rPr>
          <w:rFonts w:ascii="Times New Roman" w:hAnsi="Times New Roman" w:cs="Times New Roman"/>
          <w:sz w:val="24"/>
          <w:szCs w:val="24"/>
        </w:rPr>
        <w:t xml:space="preserve">. In order to meet this challenge, Tesco </w:t>
      </w:r>
      <w:r>
        <w:rPr>
          <w:rFonts w:hint="eastAsia" w:ascii="Times New Roman" w:hAnsi="Times New Roman" w:cs="Times New Roman"/>
          <w:sz w:val="24"/>
          <w:szCs w:val="24"/>
        </w:rPr>
        <w:t>can</w:t>
      </w:r>
      <w:r>
        <w:rPr>
          <w:rFonts w:ascii="Times New Roman" w:hAnsi="Times New Roman" w:cs="Times New Roman"/>
          <w:sz w:val="24"/>
          <w:szCs w:val="24"/>
        </w:rPr>
        <w:t xml:space="preserve"> invest in digital technology innovation, especially big data and artificial intelligence technology, in order to recommend environmentally-friendly packaged goods individually.</w:t>
      </w:r>
    </w:p>
    <w:p>
      <w:pPr>
        <w:spacing w:line="480" w:lineRule="auto"/>
        <w:ind w:firstLine="480" w:firstLineChars="200"/>
        <w:contextualSpacing/>
        <w:rPr>
          <w:rFonts w:hint="eastAsia" w:ascii="Times New Roman" w:hAnsi="Times New Roman" w:cs="Times New Roman"/>
          <w:sz w:val="24"/>
          <w:szCs w:val="24"/>
        </w:rPr>
      </w:pPr>
      <w:r>
        <w:rPr>
          <w:rFonts w:hint="eastAsia" w:ascii="Times New Roman" w:hAnsi="Times New Roman" w:cs="Times New Roman"/>
          <w:sz w:val="24"/>
          <w:szCs w:val="24"/>
        </w:rPr>
        <w:t xml:space="preserve">WT strategy combines weaknesses and threats. </w:t>
      </w:r>
      <w:r>
        <w:rPr>
          <w:rFonts w:ascii="Times New Roman" w:hAnsi="Times New Roman" w:cs="Times New Roman"/>
          <w:sz w:val="24"/>
          <w:szCs w:val="24"/>
        </w:rPr>
        <w:t xml:space="preserve">The rigidity of Tesco's internal structure and the obstacles to rapid market response, combined with external threats from the tightening of policies and regulations, constitute the focus of WT strategy. In this regard, Tesco should accelerate internal reforms, simplify decision-making processes, and ensure a faster response to changes in environmental protection policies. At the same time, Tesco </w:t>
      </w:r>
      <w:r>
        <w:rPr>
          <w:rFonts w:hint="eastAsia" w:ascii="Times New Roman" w:hAnsi="Times New Roman" w:cs="Times New Roman"/>
          <w:sz w:val="24"/>
          <w:szCs w:val="24"/>
        </w:rPr>
        <w:t>can</w:t>
      </w:r>
      <w:r>
        <w:rPr>
          <w:rFonts w:ascii="Times New Roman" w:hAnsi="Times New Roman" w:cs="Times New Roman"/>
          <w:sz w:val="24"/>
          <w:szCs w:val="24"/>
        </w:rPr>
        <w:t xml:space="preserve"> accelerate the integration of online and offline, and provide more options of no packaging or less packaging through online platforms.</w:t>
      </w:r>
    </w:p>
    <w:p>
      <w:pPr>
        <w:spacing w:line="480" w:lineRule="auto"/>
        <w:ind w:firstLine="480" w:firstLineChars="200"/>
        <w:contextualSpacing/>
        <w:rPr>
          <w:rFonts w:hint="eastAsia" w:ascii="Times New Roman" w:hAnsi="Times New Roman" w:cs="Times New Roman"/>
          <w:sz w:val="24"/>
          <w:szCs w:val="24"/>
        </w:rPr>
      </w:pPr>
      <w:r>
        <w:rPr>
          <w:rFonts w:hint="eastAsia" w:ascii="Times New Roman" w:hAnsi="Times New Roman" w:cs="Times New Roman"/>
          <w:sz w:val="24"/>
          <w:szCs w:val="24"/>
        </w:rPr>
        <w:t xml:space="preserve">ST strategy combines strengths and threats. </w:t>
      </w:r>
      <w:r>
        <w:rPr>
          <w:rFonts w:ascii="Times New Roman" w:hAnsi="Times New Roman" w:cs="Times New Roman"/>
          <w:sz w:val="24"/>
          <w:szCs w:val="24"/>
        </w:rPr>
        <w:t xml:space="preserve">Tesco </w:t>
      </w:r>
      <w:r>
        <w:rPr>
          <w:rFonts w:hint="eastAsia" w:ascii="Times New Roman" w:hAnsi="Times New Roman" w:cs="Times New Roman"/>
          <w:sz w:val="24"/>
          <w:szCs w:val="24"/>
        </w:rPr>
        <w:t>can</w:t>
      </w:r>
      <w:r>
        <w:rPr>
          <w:rFonts w:ascii="Times New Roman" w:hAnsi="Times New Roman" w:cs="Times New Roman"/>
          <w:sz w:val="24"/>
          <w:szCs w:val="24"/>
        </w:rPr>
        <w:t xml:space="preserve"> use mature supply chain management and brand reputation to deal with the threat of environmental protection packaging innovation and stricter policies and regulations from competitors. </w:t>
      </w:r>
      <w:r>
        <w:rPr>
          <w:rFonts w:hint="eastAsia" w:ascii="Times New Roman" w:hAnsi="Times New Roman" w:cs="Times New Roman"/>
          <w:sz w:val="24"/>
          <w:szCs w:val="24"/>
        </w:rPr>
        <w:t xml:space="preserve">Besides, </w:t>
      </w:r>
      <w:r>
        <w:rPr>
          <w:rFonts w:ascii="Times New Roman" w:hAnsi="Times New Roman" w:cs="Times New Roman"/>
          <w:sz w:val="24"/>
          <w:szCs w:val="24"/>
        </w:rPr>
        <w:t xml:space="preserve">Tesco </w:t>
      </w:r>
      <w:r>
        <w:rPr>
          <w:rFonts w:hint="eastAsia" w:ascii="Times New Roman" w:hAnsi="Times New Roman" w:cs="Times New Roman"/>
          <w:sz w:val="24"/>
          <w:szCs w:val="24"/>
        </w:rPr>
        <w:t>can</w:t>
      </w:r>
      <w:r>
        <w:rPr>
          <w:rFonts w:ascii="Times New Roman" w:hAnsi="Times New Roman" w:cs="Times New Roman"/>
          <w:sz w:val="24"/>
          <w:szCs w:val="24"/>
        </w:rPr>
        <w:t xml:space="preserve"> work closely with suppliers to jointly develop environmentally-friendly packaging materials, and at the same time use the scale advantage of its supply chain to promote the transformation of the industry to sustainable packaging.</w:t>
      </w:r>
    </w:p>
    <w:p>
      <w:pPr>
        <w:pStyle w:val="3"/>
        <w:spacing w:line="480" w:lineRule="auto"/>
      </w:pPr>
      <w:bookmarkStart w:id="4" w:name="_Toc165748148"/>
      <w:r>
        <w:rPr>
          <w:rFonts w:hint="eastAsia"/>
        </w:rPr>
        <w:t>2.2 Objectives</w:t>
      </w:r>
      <w:bookmarkEnd w:id="4"/>
    </w:p>
    <w:p>
      <w:pPr>
        <w:pStyle w:val="4"/>
        <w:spacing w:line="480" w:lineRule="auto"/>
      </w:pPr>
      <w:bookmarkStart w:id="5" w:name="_Toc165748149"/>
      <w:r>
        <w:rPr>
          <w:rFonts w:hint="eastAsia"/>
        </w:rPr>
        <w:t xml:space="preserve">2.2.1 </w:t>
      </w:r>
      <w:r>
        <w:t>Definition and application of SMART goal</w:t>
      </w:r>
      <w:bookmarkEnd w:id="5"/>
    </w:p>
    <w:p>
      <w:pPr>
        <w:spacing w:line="480" w:lineRule="auto"/>
        <w:ind w:firstLine="480" w:firstLineChars="200"/>
        <w:contextualSpacing/>
        <w:rPr>
          <w:rFonts w:ascii="Times New Roman" w:hAnsi="Times New Roman" w:cs="Times New Roman"/>
          <w:sz w:val="24"/>
          <w:szCs w:val="24"/>
        </w:rPr>
      </w:pPr>
      <w:r>
        <w:rPr>
          <w:rFonts w:hint="eastAsia" w:ascii="Times New Roman" w:hAnsi="Times New Roman" w:cs="Times New Roman"/>
          <w:sz w:val="24"/>
          <w:szCs w:val="24"/>
        </w:rPr>
        <w:t>Objectives</w:t>
      </w:r>
      <w:r>
        <w:rPr>
          <w:rFonts w:ascii="Times New Roman" w:hAnsi="Times New Roman" w:cs="Times New Roman"/>
          <w:sz w:val="24"/>
          <w:szCs w:val="24"/>
        </w:rPr>
        <w:t xml:space="preserve"> should follow the SMART principle, that is, </w:t>
      </w:r>
      <w:r>
        <w:rPr>
          <w:rFonts w:hint="eastAsia" w:ascii="Times New Roman" w:hAnsi="Times New Roman" w:cs="Times New Roman"/>
          <w:sz w:val="24"/>
          <w:szCs w:val="24"/>
        </w:rPr>
        <w:t>s</w:t>
      </w:r>
      <w:r>
        <w:rPr>
          <w:rFonts w:ascii="Times New Roman" w:hAnsi="Times New Roman" w:cs="Times New Roman"/>
          <w:sz w:val="24"/>
          <w:szCs w:val="24"/>
        </w:rPr>
        <w:t xml:space="preserve">pecific, </w:t>
      </w:r>
      <w:r>
        <w:rPr>
          <w:rFonts w:hint="eastAsia" w:ascii="Times New Roman" w:hAnsi="Times New Roman" w:cs="Times New Roman"/>
          <w:sz w:val="24"/>
          <w:szCs w:val="24"/>
        </w:rPr>
        <w:t>m</w:t>
      </w:r>
      <w:r>
        <w:rPr>
          <w:rFonts w:ascii="Times New Roman" w:hAnsi="Times New Roman" w:cs="Times New Roman"/>
          <w:sz w:val="24"/>
          <w:szCs w:val="24"/>
        </w:rPr>
        <w:t xml:space="preserve">easurable, attainable, </w:t>
      </w:r>
      <w:r>
        <w:rPr>
          <w:rFonts w:hint="eastAsia" w:ascii="Times New Roman" w:hAnsi="Times New Roman" w:cs="Times New Roman"/>
          <w:sz w:val="24"/>
          <w:szCs w:val="24"/>
        </w:rPr>
        <w:t>r</w:t>
      </w:r>
      <w:r>
        <w:rPr>
          <w:rFonts w:ascii="Times New Roman" w:hAnsi="Times New Roman" w:cs="Times New Roman"/>
          <w:sz w:val="24"/>
          <w:szCs w:val="24"/>
        </w:rPr>
        <w:t xml:space="preserve">elevant and </w:t>
      </w:r>
      <w:r>
        <w:rPr>
          <w:rFonts w:hint="eastAsia" w:ascii="Times New Roman" w:hAnsi="Times New Roman" w:cs="Times New Roman"/>
          <w:sz w:val="24"/>
          <w:szCs w:val="24"/>
        </w:rPr>
        <w:t>t</w:t>
      </w:r>
      <w:r>
        <w:rPr>
          <w:rFonts w:ascii="Times New Roman" w:hAnsi="Times New Roman" w:cs="Times New Roman"/>
          <w:sz w:val="24"/>
          <w:szCs w:val="24"/>
        </w:rPr>
        <w:t>ime-bound</w:t>
      </w:r>
      <w:r>
        <w:rPr>
          <w:rFonts w:hint="eastAsia" w:ascii="Times New Roman" w:hAnsi="Times New Roman" w:cs="Times New Roman"/>
          <w:sz w:val="24"/>
          <w:szCs w:val="24"/>
        </w:rPr>
        <w:t xml:space="preserve"> (</w:t>
      </w:r>
      <w:r>
        <w:rPr>
          <w:rFonts w:ascii="Times New Roman" w:hAnsi="Times New Roman" w:cs="Times New Roman"/>
          <w:color w:val="000000" w:themeColor="text1"/>
          <w:sz w:val="24"/>
          <w:szCs w:val="24"/>
          <w14:textFill>
            <w14:solidFill>
              <w14:schemeClr w14:val="tx1"/>
            </w14:solidFill>
          </w14:textFill>
        </w:rPr>
        <w:t>Ogbeiwi</w:t>
      </w:r>
      <w:r>
        <w:rPr>
          <w:rFonts w:hint="eastAsia" w:ascii="Times New Roman" w:hAnsi="Times New Roman" w:cs="Times New Roman"/>
          <w:color w:val="000000" w:themeColor="text1"/>
          <w:sz w:val="24"/>
          <w:szCs w:val="24"/>
          <w14:textFill>
            <w14:solidFill>
              <w14:schemeClr w14:val="tx1"/>
            </w14:solidFill>
          </w14:textFill>
        </w:rPr>
        <w:t>, 2017</w:t>
      </w:r>
      <w:r>
        <w:rPr>
          <w:rFonts w:hint="eastAsia" w:ascii="Times New Roman" w:hAnsi="Times New Roman" w:cs="Times New Roman"/>
          <w:sz w:val="24"/>
          <w:szCs w:val="24"/>
        </w:rPr>
        <w:t>)</w:t>
      </w:r>
      <w:r>
        <w:rPr>
          <w:rFonts w:ascii="Times New Roman" w:hAnsi="Times New Roman" w:cs="Times New Roman"/>
          <w:sz w:val="24"/>
          <w:szCs w:val="24"/>
        </w:rPr>
        <w:t xml:space="preserve">. One is </w:t>
      </w:r>
      <w:r>
        <w:rPr>
          <w:rFonts w:hint="eastAsia" w:ascii="Times New Roman" w:hAnsi="Times New Roman" w:cs="Times New Roman"/>
          <w:sz w:val="24"/>
          <w:szCs w:val="24"/>
        </w:rPr>
        <w:t>specific</w:t>
      </w:r>
      <w:r>
        <w:rPr>
          <w:rFonts w:ascii="Times New Roman" w:hAnsi="Times New Roman" w:cs="Times New Roman"/>
          <w:sz w:val="24"/>
          <w:szCs w:val="24"/>
        </w:rPr>
        <w:t xml:space="preserve">. In the next 12 months, Tesco is committed to reducing the use of plastic packaging by 25% and reducing the food waste rate by 10%. These two specific targets directly address the environmental challenges identified in the audit, and are the key steps to realize the company's commitment of carbon neutrality in 2035 and net zero emission in 2050. </w:t>
      </w:r>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The second is </w:t>
      </w:r>
      <w:r>
        <w:rPr>
          <w:rFonts w:hint="eastAsia" w:ascii="Times New Roman" w:hAnsi="Times New Roman" w:cs="Times New Roman"/>
          <w:sz w:val="24"/>
          <w:szCs w:val="24"/>
        </w:rPr>
        <w:t>m</w:t>
      </w:r>
      <w:r>
        <w:rPr>
          <w:rFonts w:ascii="Times New Roman" w:hAnsi="Times New Roman" w:cs="Times New Roman"/>
          <w:sz w:val="24"/>
          <w:szCs w:val="24"/>
        </w:rPr>
        <w:t xml:space="preserve">easurable. By installing an intelligent packaging management system to monitor the use of plastics and implementing a food inventory optimization system to track food waste, the goal progress can be quantified. For example, the specific tonnage of plastic packaging is tracked every month, and the kilograms of food waste are reduced through precise inventory control. </w:t>
      </w:r>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The third is attainable. Considering that Tesco has successfully removed nearly 2.2 billion plastic products, it is feasible to achieve the goal by increasing investment in research and development of environmentally friendly packaging materials and optimizing supply chain management. </w:t>
      </w:r>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The fourth is </w:t>
      </w:r>
      <w:r>
        <w:rPr>
          <w:rFonts w:hint="eastAsia" w:ascii="Times New Roman" w:hAnsi="Times New Roman" w:cs="Times New Roman"/>
          <w:sz w:val="24"/>
          <w:szCs w:val="24"/>
        </w:rPr>
        <w:t>r</w:t>
      </w:r>
      <w:r>
        <w:rPr>
          <w:rFonts w:ascii="Times New Roman" w:hAnsi="Times New Roman" w:cs="Times New Roman"/>
          <w:sz w:val="24"/>
          <w:szCs w:val="24"/>
        </w:rPr>
        <w:t xml:space="preserve">elevant. Reducing plastic and food waste not only responds to the global environmental trend, but also meets consumers' expectations for a sustainable shopping experience. </w:t>
      </w:r>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The fifth is </w:t>
      </w:r>
      <w:r>
        <w:rPr>
          <w:rFonts w:hint="eastAsia" w:ascii="Times New Roman" w:hAnsi="Times New Roman" w:cs="Times New Roman"/>
          <w:sz w:val="24"/>
          <w:szCs w:val="24"/>
        </w:rPr>
        <w:t>t</w:t>
      </w:r>
      <w:r>
        <w:rPr>
          <w:rFonts w:ascii="Times New Roman" w:hAnsi="Times New Roman" w:cs="Times New Roman"/>
          <w:sz w:val="24"/>
          <w:szCs w:val="24"/>
        </w:rPr>
        <w:t>ime-bound. The 12-month deadline has set a clear time frame for achieving the goal, prompting Tesco to take prompt and effective actions, while ensuring the flexibility of the strategy to adapt to the rapid changes in the market and technology.</w:t>
      </w:r>
    </w:p>
    <w:p>
      <w:pPr>
        <w:pStyle w:val="4"/>
        <w:spacing w:line="480" w:lineRule="auto"/>
      </w:pPr>
      <w:bookmarkStart w:id="6" w:name="_Toc165748150"/>
      <w:r>
        <w:rPr>
          <w:rFonts w:hint="eastAsia"/>
        </w:rPr>
        <w:t xml:space="preserve">2.2.2 Benefits of objectives on </w:t>
      </w:r>
      <w:r>
        <w:t>the Supermarket Chain</w:t>
      </w:r>
      <w:bookmarkEnd w:id="6"/>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The </w:t>
      </w:r>
      <w:r>
        <w:rPr>
          <w:rFonts w:hint="eastAsia" w:ascii="Times New Roman" w:hAnsi="Times New Roman" w:cs="Times New Roman"/>
          <w:sz w:val="24"/>
          <w:szCs w:val="24"/>
        </w:rPr>
        <w:t xml:space="preserve">justification </w:t>
      </w:r>
      <w:r>
        <w:rPr>
          <w:rFonts w:ascii="Times New Roman" w:hAnsi="Times New Roman" w:cs="Times New Roman"/>
          <w:sz w:val="24"/>
          <w:szCs w:val="24"/>
        </w:rPr>
        <w:t xml:space="preserve">for choosing this </w:t>
      </w:r>
      <w:r>
        <w:rPr>
          <w:rFonts w:hint="eastAsia" w:ascii="Times New Roman" w:hAnsi="Times New Roman" w:cs="Times New Roman"/>
          <w:sz w:val="24"/>
          <w:szCs w:val="24"/>
        </w:rPr>
        <w:t>objective</w:t>
      </w:r>
      <w:r>
        <w:rPr>
          <w:rFonts w:ascii="Times New Roman" w:hAnsi="Times New Roman" w:cs="Times New Roman"/>
          <w:sz w:val="24"/>
          <w:szCs w:val="24"/>
        </w:rPr>
        <w:t xml:space="preserve"> is not only to respond to the urgent global demand for environmental protection, but also to directly respond to the change of consumers' preference for sustainable lifestyle. According to existing research, 66% of global consumers are willing to pay higher prices for products with sustainable packaging</w:t>
      </w:r>
      <w:r>
        <w:rPr>
          <w:rFonts w:hint="eastAsia" w:ascii="Times New Roman" w:hAnsi="Times New Roman" w:cs="Times New Roman"/>
          <w:sz w:val="24"/>
          <w:szCs w:val="24"/>
        </w:rPr>
        <w:t xml:space="preserve"> (Boz </w:t>
      </w:r>
      <w:r>
        <w:rPr>
          <w:rFonts w:hint="eastAsia" w:ascii="Times New Roman" w:hAnsi="Times New Roman" w:cs="Times New Roman"/>
          <w:i/>
          <w:iCs/>
          <w:sz w:val="24"/>
          <w:szCs w:val="24"/>
        </w:rPr>
        <w:t>et al.</w:t>
      </w:r>
      <w:r>
        <w:rPr>
          <w:rFonts w:hint="eastAsia" w:ascii="Times New Roman" w:hAnsi="Times New Roman" w:cs="Times New Roman"/>
          <w:sz w:val="24"/>
          <w:szCs w:val="24"/>
        </w:rPr>
        <w:t>, 2020)</w:t>
      </w:r>
      <w:r>
        <w:rPr>
          <w:rFonts w:ascii="Times New Roman" w:hAnsi="Times New Roman" w:cs="Times New Roman"/>
          <w:sz w:val="24"/>
          <w:szCs w:val="24"/>
        </w:rPr>
        <w:t>. By reducing plastic packaging and food waste, Tesco can not only show its commitment to environmental protection, but also attract this group of consumers who are willing to pay for sustainability, thus achieving financial growth.</w:t>
      </w:r>
    </w:p>
    <w:p>
      <w:pPr>
        <w:pStyle w:val="3"/>
        <w:spacing w:line="480" w:lineRule="auto"/>
      </w:pPr>
      <w:bookmarkStart w:id="7" w:name="_Toc165748151"/>
      <w:r>
        <w:rPr>
          <w:rFonts w:hint="eastAsia"/>
        </w:rPr>
        <w:t>2.3 Strategy</w:t>
      </w:r>
      <w:bookmarkEnd w:id="7"/>
    </w:p>
    <w:p>
      <w:pPr>
        <w:pStyle w:val="4"/>
        <w:spacing w:line="480" w:lineRule="auto"/>
      </w:pPr>
      <w:bookmarkStart w:id="8" w:name="_Toc165748152"/>
      <w:r>
        <w:rPr>
          <w:rFonts w:hint="eastAsia"/>
        </w:rPr>
        <w:t xml:space="preserve">2.3.1 </w:t>
      </w:r>
      <w:r>
        <w:t>Ansoff’s Growth Matrix</w:t>
      </w:r>
      <w:bookmarkEnd w:id="8"/>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First of all, according to Ansoff's growth matrix, Tesco should take the path of combining product development with market</w:t>
      </w:r>
      <w:r>
        <w:rPr>
          <w:rFonts w:hint="eastAsia" w:ascii="Times New Roman" w:hAnsi="Times New Roman" w:cs="Times New Roman"/>
          <w:sz w:val="24"/>
          <w:szCs w:val="24"/>
        </w:rPr>
        <w:t xml:space="preserve"> development strategy</w:t>
      </w:r>
      <w:r>
        <w:rPr>
          <w:rFonts w:ascii="Times New Roman" w:hAnsi="Times New Roman" w:cs="Times New Roman"/>
          <w:sz w:val="24"/>
          <w:szCs w:val="24"/>
        </w:rPr>
        <w:t xml:space="preserve">. In today's fast-paced and dynamic business environment, enterprises are constantly seeking ways to expand and develop. Ansoff </w:t>
      </w:r>
      <w:r>
        <w:rPr>
          <w:rFonts w:hint="eastAsia" w:ascii="Times New Roman" w:hAnsi="Times New Roman" w:cs="Times New Roman"/>
          <w:sz w:val="24"/>
          <w:szCs w:val="24"/>
        </w:rPr>
        <w:t xml:space="preserve">growth </w:t>
      </w:r>
      <w:r>
        <w:rPr>
          <w:rFonts w:ascii="Times New Roman" w:hAnsi="Times New Roman" w:cs="Times New Roman"/>
          <w:sz w:val="24"/>
          <w:szCs w:val="24"/>
        </w:rPr>
        <w:t>matrix is one of the basic tools for strategic planning and development</w:t>
      </w:r>
      <w:r>
        <w:rPr>
          <w:rFonts w:hint="eastAsia" w:ascii="Times New Roman" w:hAnsi="Times New Roman" w:cs="Times New Roman"/>
          <w:sz w:val="24"/>
          <w:szCs w:val="24"/>
        </w:rPr>
        <w:t xml:space="preserve"> (</w:t>
      </w:r>
      <w:r>
        <w:rPr>
          <w:rFonts w:ascii="Times New Roman" w:hAnsi="Times New Roman" w:cs="Times New Roman"/>
          <w:color w:val="000000" w:themeColor="text1"/>
          <w:sz w:val="24"/>
          <w:szCs w:val="24"/>
          <w14:textFill>
            <w14:solidFill>
              <w14:schemeClr w14:val="tx1"/>
            </w14:solidFill>
          </w14:textFill>
        </w:rPr>
        <w:t>Gurcaylilar-Yenidogan</w:t>
      </w:r>
      <w:r>
        <w:rPr>
          <w:rFonts w:hint="eastAsia" w:ascii="Times New Roman" w:hAnsi="Times New Roman" w:cs="Times New Roman"/>
          <w:color w:val="000000" w:themeColor="text1"/>
          <w:sz w:val="24"/>
          <w:szCs w:val="24"/>
          <w14:textFill>
            <w14:solidFill>
              <w14:schemeClr w14:val="tx1"/>
            </w14:solidFill>
          </w14:textFill>
        </w:rPr>
        <w:t>, 2018</w:t>
      </w:r>
      <w:r>
        <w:rPr>
          <w:rFonts w:hint="eastAsia" w:ascii="Times New Roman" w:hAnsi="Times New Roman" w:cs="Times New Roman"/>
          <w:sz w:val="24"/>
          <w:szCs w:val="24"/>
        </w:rPr>
        <w:t>)</w:t>
      </w:r>
      <w:r>
        <w:rPr>
          <w:rFonts w:ascii="Times New Roman" w:hAnsi="Times New Roman" w:cs="Times New Roman"/>
          <w:sz w:val="24"/>
          <w:szCs w:val="24"/>
        </w:rPr>
        <w:t>. 60% of consumers express a desire for assistance in decreasing their plastic consumption</w:t>
      </w:r>
      <w:r>
        <w:rPr>
          <w:rFonts w:hint="eastAsia" w:ascii="Times New Roman" w:hAnsi="Times New Roman" w:cs="Times New Roman"/>
          <w:sz w:val="24"/>
          <w:szCs w:val="24"/>
        </w:rPr>
        <w:t xml:space="preserve"> (PN Staff, 2020)</w:t>
      </w:r>
      <w:r>
        <w:rPr>
          <w:rFonts w:ascii="Times New Roman" w:hAnsi="Times New Roman" w:cs="Times New Roman"/>
          <w:sz w:val="24"/>
          <w:szCs w:val="24"/>
        </w:rPr>
        <w:t>. In view of consumers' strong demand for environmentally-friendly packaging and reducing food waste, Tesco should concentrate resources on developing new environmentally-friendly packaging materials, deepen the understanding of Tesco's sustainable development concept in the existing market, and enhance customer loyalty. Through product innovation, Tesco can not only meet the market demand for environmental protection products, but also further penetrate the market and consolidate its leading position in the field of sustainable development by educating consumers and enhancing the environmental image of its brand.</w:t>
      </w:r>
    </w:p>
    <w:p>
      <w:pPr>
        <w:pStyle w:val="4"/>
        <w:spacing w:line="480" w:lineRule="auto"/>
      </w:pPr>
      <w:bookmarkStart w:id="9" w:name="_Toc165748153"/>
      <w:r>
        <w:rPr>
          <w:rFonts w:hint="eastAsia"/>
        </w:rPr>
        <w:t xml:space="preserve">2.3.2 </w:t>
      </w:r>
      <w:r>
        <w:t>Porter’s Generic Strategies</w:t>
      </w:r>
      <w:bookmarkEnd w:id="9"/>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Secondly, combined with Porter's </w:t>
      </w:r>
      <w:r>
        <w:rPr>
          <w:rFonts w:hint="eastAsia" w:ascii="Times New Roman" w:hAnsi="Times New Roman" w:cs="Times New Roman"/>
          <w:sz w:val="24"/>
          <w:szCs w:val="24"/>
        </w:rPr>
        <w:t xml:space="preserve">generic </w:t>
      </w:r>
      <w:r>
        <w:rPr>
          <w:rFonts w:ascii="Times New Roman" w:hAnsi="Times New Roman" w:cs="Times New Roman"/>
          <w:sz w:val="24"/>
          <w:szCs w:val="24"/>
        </w:rPr>
        <w:t>strateg</w:t>
      </w:r>
      <w:r>
        <w:rPr>
          <w:rFonts w:hint="eastAsia" w:ascii="Times New Roman" w:hAnsi="Times New Roman" w:cs="Times New Roman"/>
          <w:sz w:val="24"/>
          <w:szCs w:val="24"/>
        </w:rPr>
        <w:t>ies</w:t>
      </w:r>
      <w:r>
        <w:rPr>
          <w:rFonts w:ascii="Times New Roman" w:hAnsi="Times New Roman" w:cs="Times New Roman"/>
          <w:sz w:val="24"/>
          <w:szCs w:val="24"/>
        </w:rPr>
        <w:t xml:space="preserve">, Tesco </w:t>
      </w:r>
      <w:r>
        <w:rPr>
          <w:rFonts w:hint="eastAsia" w:ascii="Times New Roman" w:hAnsi="Times New Roman" w:cs="Times New Roman"/>
          <w:sz w:val="24"/>
          <w:szCs w:val="24"/>
        </w:rPr>
        <w:t>can</w:t>
      </w:r>
      <w:r>
        <w:rPr>
          <w:rFonts w:ascii="Times New Roman" w:hAnsi="Times New Roman" w:cs="Times New Roman"/>
          <w:sz w:val="24"/>
          <w:szCs w:val="24"/>
        </w:rPr>
        <w:t xml:space="preserve"> adopt differentiation strategy and cost leadership strategy</w:t>
      </w:r>
      <w:r>
        <w:rPr>
          <w:rFonts w:hint="eastAsia" w:ascii="Times New Roman" w:hAnsi="Times New Roman" w:cs="Times New Roman"/>
          <w:sz w:val="24"/>
          <w:szCs w:val="24"/>
        </w:rPr>
        <w:t xml:space="preserve"> (</w:t>
      </w:r>
      <w:r>
        <w:rPr>
          <w:rFonts w:ascii="Times New Roman" w:hAnsi="Times New Roman" w:cs="Times New Roman"/>
          <w:sz w:val="24"/>
          <w:szCs w:val="24"/>
        </w:rPr>
        <w:t>Islami</w:t>
      </w:r>
      <w:r>
        <w:rPr>
          <w:rFonts w:hint="eastAsia" w:ascii="Times New Roman" w:hAnsi="Times New Roman" w:cs="Times New Roman"/>
          <w:sz w:val="24"/>
          <w:szCs w:val="24"/>
        </w:rPr>
        <w:t xml:space="preserve"> </w:t>
      </w:r>
      <w:r>
        <w:rPr>
          <w:rFonts w:hint="eastAsia" w:ascii="Times New Roman" w:hAnsi="Times New Roman" w:cs="Times New Roman"/>
          <w:i/>
          <w:iCs/>
          <w:sz w:val="24"/>
          <w:szCs w:val="24"/>
        </w:rPr>
        <w:t>et al.</w:t>
      </w:r>
      <w:r>
        <w:rPr>
          <w:rFonts w:hint="eastAsia" w:ascii="Times New Roman" w:hAnsi="Times New Roman" w:cs="Times New Roman"/>
          <w:sz w:val="24"/>
          <w:szCs w:val="24"/>
        </w:rPr>
        <w:t>, 2020)</w:t>
      </w:r>
      <w:r>
        <w:rPr>
          <w:rFonts w:ascii="Times New Roman" w:hAnsi="Times New Roman" w:cs="Times New Roman"/>
          <w:sz w:val="24"/>
          <w:szCs w:val="24"/>
        </w:rPr>
        <w:t>. The data shows that 57% of consumers acknowledge that their view of a brand is shaped by the environmental sustainability efforts the brand undertakes</w:t>
      </w:r>
      <w:r>
        <w:rPr>
          <w:rFonts w:hint="eastAsia" w:ascii="Times New Roman" w:hAnsi="Times New Roman" w:cs="Times New Roman"/>
          <w:sz w:val="24"/>
          <w:szCs w:val="24"/>
        </w:rPr>
        <w:t xml:space="preserve"> (Frame </w:t>
      </w:r>
      <w:r>
        <w:rPr>
          <w:rFonts w:hint="eastAsia" w:ascii="Times New Roman" w:hAnsi="Times New Roman" w:cs="Times New Roman"/>
          <w:i/>
          <w:iCs/>
          <w:sz w:val="24"/>
          <w:szCs w:val="24"/>
        </w:rPr>
        <w:t>et al.</w:t>
      </w:r>
      <w:r>
        <w:rPr>
          <w:rFonts w:hint="eastAsia" w:ascii="Times New Roman" w:hAnsi="Times New Roman" w:cs="Times New Roman"/>
          <w:sz w:val="24"/>
          <w:szCs w:val="24"/>
        </w:rPr>
        <w:t>, 2022)</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In the environmental protection actions to reduce plastic packaging and food waste, Tesco needs to show its uniqueness and innovation, and achieve differentiation by providing an environmentally-friendly shopping experience that is difficult to replicate in the market. At the same time, Tesco can reduce costs by optimizing the supply chain and improving operational efficiency, ensure the competitive price of environmental protection products, and maintain the cost leading edge.</w:t>
      </w:r>
    </w:p>
    <w:p>
      <w:pPr>
        <w:pStyle w:val="4"/>
        <w:spacing w:line="480" w:lineRule="auto"/>
      </w:pPr>
      <w:bookmarkStart w:id="10" w:name="_Toc165748154"/>
      <w:r>
        <w:rPr>
          <w:rFonts w:hint="eastAsia"/>
        </w:rPr>
        <w:t xml:space="preserve">2.3.3 </w:t>
      </w:r>
      <w:r>
        <w:t>Segmentation, targeting and positioning strategy</w:t>
      </w:r>
      <w:bookmarkEnd w:id="10"/>
    </w:p>
    <w:p>
      <w:pPr>
        <w:spacing w:line="480" w:lineRule="auto"/>
        <w:ind w:firstLine="480" w:firstLineChars="200"/>
        <w:contextualSpacing/>
        <w:rPr>
          <w:rFonts w:hint="eastAsia" w:ascii="Times New Roman" w:hAnsi="Times New Roman" w:cs="Times New Roman"/>
          <w:sz w:val="24"/>
          <w:szCs w:val="24"/>
        </w:rPr>
      </w:pPr>
      <w:r>
        <w:rPr>
          <w:rFonts w:ascii="Times New Roman" w:hAnsi="Times New Roman" w:cs="Times New Roman"/>
          <w:sz w:val="24"/>
          <w:szCs w:val="24"/>
        </w:rPr>
        <w:t>In terms of market segmentation, Tesco should target young families and middle-class consumers who are highly aware of environmental protection and are willing to pay extra for sustainable products. Through target</w:t>
      </w:r>
      <w:r>
        <w:rPr>
          <w:rFonts w:hint="eastAsia" w:ascii="Times New Roman" w:hAnsi="Times New Roman" w:cs="Times New Roman"/>
          <w:sz w:val="24"/>
          <w:szCs w:val="24"/>
        </w:rPr>
        <w:t>ing strategy</w:t>
      </w:r>
      <w:r>
        <w:rPr>
          <w:rFonts w:ascii="Times New Roman" w:hAnsi="Times New Roman" w:cs="Times New Roman"/>
          <w:sz w:val="24"/>
          <w:szCs w:val="24"/>
        </w:rPr>
        <w:t>, Tesco can design targeted marketing information and products, such as launching a series of "zero waste" products to attract and target this group of customers who attach importance to environmental protection.</w:t>
      </w:r>
    </w:p>
    <w:p>
      <w:pPr>
        <w:spacing w:line="480" w:lineRule="auto"/>
        <w:ind w:firstLine="480" w:firstLineChars="200"/>
        <w:contextualSpacing/>
        <w:rPr>
          <w:rFonts w:hint="eastAsia" w:ascii="Times New Roman" w:hAnsi="Times New Roman" w:cs="Times New Roman"/>
          <w:sz w:val="24"/>
          <w:szCs w:val="24"/>
        </w:rPr>
      </w:pPr>
      <w:r>
        <w:rPr>
          <w:rFonts w:ascii="Times New Roman" w:hAnsi="Times New Roman" w:cs="Times New Roman"/>
          <w:sz w:val="24"/>
          <w:szCs w:val="24"/>
        </w:rPr>
        <w:t>In positioning strategy, Tesco should clearly establish the image of "green supermarket leader" and emphasize its leading position in reducing plastic packaging and food waste. Through public relations activities, social media communication and in-store publicity, this brand positioning is constantly strengthened, so that consumers will think of Tesco first when they mention sustainable shopping.</w:t>
      </w:r>
    </w:p>
    <w:p>
      <w:pPr>
        <w:pStyle w:val="3"/>
        <w:spacing w:line="480" w:lineRule="auto"/>
      </w:pPr>
      <w:bookmarkStart w:id="11" w:name="_Toc165748155"/>
      <w:r>
        <w:rPr>
          <w:rFonts w:hint="eastAsia"/>
        </w:rPr>
        <w:t>2.4 Tactics</w:t>
      </w:r>
      <w:bookmarkEnd w:id="11"/>
    </w:p>
    <w:p>
      <w:pPr>
        <w:spacing w:line="480" w:lineRule="auto"/>
        <w:ind w:firstLine="480" w:firstLineChars="200"/>
        <w:contextualSpacing/>
        <w:rPr>
          <w:rFonts w:hint="eastAsia" w:ascii="Times New Roman" w:hAnsi="Times New Roman" w:cs="Times New Roman"/>
          <w:sz w:val="24"/>
          <w:szCs w:val="24"/>
        </w:rPr>
      </w:pPr>
      <w:r>
        <w:rPr>
          <w:rFonts w:hint="eastAsia" w:ascii="Times New Roman" w:hAnsi="Times New Roman" w:cs="Times New Roman"/>
          <w:sz w:val="24"/>
          <w:szCs w:val="24"/>
        </w:rPr>
        <w:t>Based on</w:t>
      </w:r>
      <w:r>
        <w:rPr>
          <w:rFonts w:ascii="Times New Roman" w:hAnsi="Times New Roman" w:cs="Times New Roman"/>
          <w:sz w:val="24"/>
          <w:szCs w:val="24"/>
        </w:rPr>
        <w:t xml:space="preserve"> marketing mix</w:t>
      </w:r>
      <w:r>
        <w:rPr>
          <w:rFonts w:hint="eastAsia" w:ascii="Times New Roman" w:hAnsi="Times New Roman" w:cs="Times New Roman"/>
          <w:sz w:val="24"/>
          <w:szCs w:val="24"/>
        </w:rPr>
        <w:t xml:space="preserve">, tactics can be analyzed from the </w:t>
      </w:r>
      <w:r>
        <w:rPr>
          <w:rFonts w:ascii="Times New Roman" w:hAnsi="Times New Roman" w:cs="Times New Roman"/>
          <w:sz w:val="24"/>
          <w:szCs w:val="24"/>
        </w:rPr>
        <w:t>perspective</w:t>
      </w:r>
      <w:r>
        <w:rPr>
          <w:rFonts w:hint="eastAsia" w:ascii="Times New Roman" w:hAnsi="Times New Roman" w:cs="Times New Roman"/>
          <w:sz w:val="24"/>
          <w:szCs w:val="24"/>
        </w:rPr>
        <w:t xml:space="preserve"> of product, price, place, promotion, people, process and p</w:t>
      </w:r>
      <w:r>
        <w:rPr>
          <w:rFonts w:ascii="Times New Roman" w:hAnsi="Times New Roman" w:cs="Times New Roman"/>
          <w:sz w:val="24"/>
          <w:szCs w:val="24"/>
        </w:rPr>
        <w:t xml:space="preserve">hysical </w:t>
      </w:r>
      <w:r>
        <w:rPr>
          <w:rFonts w:hint="eastAsia" w:ascii="Times New Roman" w:hAnsi="Times New Roman" w:cs="Times New Roman"/>
          <w:sz w:val="24"/>
          <w:szCs w:val="24"/>
        </w:rPr>
        <w:t>e</w:t>
      </w:r>
      <w:r>
        <w:rPr>
          <w:rFonts w:ascii="Times New Roman" w:hAnsi="Times New Roman" w:cs="Times New Roman"/>
          <w:sz w:val="24"/>
          <w:szCs w:val="24"/>
        </w:rPr>
        <w:t>vidence</w:t>
      </w:r>
      <w:r>
        <w:rPr>
          <w:rFonts w:hint="eastAsia" w:ascii="Times New Roman" w:hAnsi="Times New Roman" w:cs="Times New Roman"/>
          <w:sz w:val="24"/>
          <w:szCs w:val="24"/>
        </w:rPr>
        <w:t xml:space="preserve"> (</w:t>
      </w:r>
      <w:r>
        <w:rPr>
          <w:rFonts w:ascii="Times New Roman" w:hAnsi="Times New Roman" w:cs="Times New Roman"/>
          <w:sz w:val="24"/>
          <w:szCs w:val="24"/>
        </w:rPr>
        <w:t>Matura</w:t>
      </w:r>
      <w:r>
        <w:rPr>
          <w:rFonts w:hint="eastAsia" w:ascii="Times New Roman" w:hAnsi="Times New Roman" w:cs="Times New Roman"/>
          <w:sz w:val="24"/>
          <w:szCs w:val="24"/>
        </w:rPr>
        <w:t>, 2018).</w:t>
      </w:r>
    </w:p>
    <w:p>
      <w:pPr>
        <w:pStyle w:val="4"/>
        <w:spacing w:line="480" w:lineRule="auto"/>
      </w:pPr>
      <w:bookmarkStart w:id="12" w:name="_Toc165748156"/>
      <w:r>
        <w:rPr>
          <w:rFonts w:hint="eastAsia"/>
        </w:rPr>
        <w:t xml:space="preserve">2.4.1 </w:t>
      </w:r>
      <w:r>
        <w:t>Product</w:t>
      </w:r>
      <w:bookmarkEnd w:id="12"/>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In view of consumers' increasing attention to environmental protection, Tesco can develop more packaging with biodegradable materials.</w:t>
      </w:r>
      <w:r>
        <w:rPr>
          <w:rFonts w:hint="eastAsia" w:ascii="Times New Roman" w:hAnsi="Times New Roman" w:cs="Times New Roman"/>
          <w:sz w:val="24"/>
          <w:szCs w:val="24"/>
        </w:rPr>
        <w:t xml:space="preserve"> Data</w:t>
      </w:r>
      <w:r>
        <w:rPr>
          <w:rFonts w:ascii="Times New Roman" w:hAnsi="Times New Roman" w:cs="Times New Roman"/>
          <w:sz w:val="24"/>
          <w:szCs w:val="24"/>
        </w:rPr>
        <w:t xml:space="preserve"> shows that 67% of consumers is willing to pay more for sustainable products or services (</w:t>
      </w:r>
      <w:r>
        <w:rPr>
          <w:rFonts w:hint="eastAsia" w:ascii="Times New Roman" w:hAnsi="Times New Roman" w:cs="Times New Roman"/>
          <w:sz w:val="24"/>
          <w:szCs w:val="24"/>
        </w:rPr>
        <w:t>Trivium Packaging, 2021</w:t>
      </w:r>
      <w:r>
        <w:rPr>
          <w:rFonts w:ascii="Times New Roman" w:hAnsi="Times New Roman" w:cs="Times New Roman"/>
          <w:sz w:val="24"/>
          <w:szCs w:val="24"/>
        </w:rPr>
        <w:t>), which confirms the existence of market demand.</w:t>
      </w:r>
    </w:p>
    <w:p>
      <w:pPr>
        <w:pStyle w:val="4"/>
        <w:spacing w:line="480" w:lineRule="auto"/>
      </w:pPr>
      <w:bookmarkStart w:id="13" w:name="_Toc165748157"/>
      <w:r>
        <w:rPr>
          <w:rFonts w:hint="eastAsia"/>
        </w:rPr>
        <w:t xml:space="preserve">2.4.2 </w:t>
      </w:r>
      <w:r>
        <w:t>Price</w:t>
      </w:r>
      <w:bookmarkEnd w:id="13"/>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By </w:t>
      </w:r>
      <w:r>
        <w:rPr>
          <w:rFonts w:hint="eastAsia" w:ascii="Times New Roman" w:hAnsi="Times New Roman" w:cs="Times New Roman"/>
          <w:sz w:val="24"/>
          <w:szCs w:val="24"/>
        </w:rPr>
        <w:t xml:space="preserve">using </w:t>
      </w:r>
      <w:r>
        <w:rPr>
          <w:rFonts w:ascii="Times New Roman" w:hAnsi="Times New Roman" w:cs="Times New Roman"/>
          <w:sz w:val="24"/>
          <w:szCs w:val="24"/>
        </w:rPr>
        <w:t xml:space="preserve">demand-oriented pricing strategies, Tesco can price products that are environmentally friendly and reduce food waste. </w:t>
      </w:r>
      <w:r>
        <w:rPr>
          <w:rFonts w:hint="eastAsia" w:ascii="Times New Roman" w:hAnsi="Times New Roman" w:cs="Times New Roman"/>
          <w:sz w:val="24"/>
          <w:szCs w:val="24"/>
        </w:rPr>
        <w:t>E</w:t>
      </w:r>
      <w:r>
        <w:rPr>
          <w:rFonts w:ascii="Times New Roman" w:hAnsi="Times New Roman" w:cs="Times New Roman"/>
          <w:sz w:val="24"/>
          <w:szCs w:val="24"/>
        </w:rPr>
        <w:t>xisting research shows that more than half of consumers are willing to pay a premium of 5% to 10% for sustainable products</w:t>
      </w:r>
      <w:r>
        <w:rPr>
          <w:rFonts w:hint="eastAsia" w:ascii="Times New Roman" w:hAnsi="Times New Roman" w:cs="Times New Roman"/>
          <w:sz w:val="24"/>
          <w:szCs w:val="24"/>
        </w:rPr>
        <w:t xml:space="preserve"> (</w:t>
      </w:r>
      <w:r>
        <w:rPr>
          <w:rFonts w:ascii="Times New Roman" w:hAnsi="Times New Roman" w:cs="Times New Roman"/>
          <w:sz w:val="24"/>
          <w:szCs w:val="24"/>
        </w:rPr>
        <w:t>Kucher</w:t>
      </w:r>
      <w:r>
        <w:rPr>
          <w:rFonts w:hint="eastAsia" w:ascii="Times New Roman" w:hAnsi="Times New Roman" w:cs="Times New Roman"/>
          <w:sz w:val="24"/>
          <w:szCs w:val="24"/>
        </w:rPr>
        <w:t xml:space="preserve"> </w:t>
      </w:r>
      <w:r>
        <w:rPr>
          <w:rFonts w:hint="eastAsia" w:ascii="Times New Roman" w:hAnsi="Times New Roman" w:cs="Times New Roman"/>
          <w:i/>
          <w:iCs/>
          <w:sz w:val="24"/>
          <w:szCs w:val="24"/>
        </w:rPr>
        <w:t>et al.</w:t>
      </w:r>
      <w:r>
        <w:rPr>
          <w:rFonts w:hint="eastAsia" w:ascii="Times New Roman" w:hAnsi="Times New Roman" w:cs="Times New Roman"/>
          <w:sz w:val="24"/>
          <w:szCs w:val="24"/>
        </w:rPr>
        <w:t>, 2019)</w:t>
      </w:r>
      <w:r>
        <w:rPr>
          <w:rFonts w:ascii="Times New Roman" w:hAnsi="Times New Roman" w:cs="Times New Roman"/>
          <w:sz w:val="24"/>
          <w:szCs w:val="24"/>
        </w:rPr>
        <w:t xml:space="preserve">. Therefore, Tesco can adopt </w:t>
      </w:r>
      <w:r>
        <w:rPr>
          <w:rFonts w:hint="eastAsia" w:ascii="Times New Roman" w:hAnsi="Times New Roman" w:cs="Times New Roman"/>
          <w:sz w:val="24"/>
          <w:szCs w:val="24"/>
        </w:rPr>
        <w:t>d</w:t>
      </w:r>
      <w:r>
        <w:rPr>
          <w:rFonts w:ascii="Times New Roman" w:hAnsi="Times New Roman" w:cs="Times New Roman"/>
          <w:sz w:val="24"/>
          <w:szCs w:val="24"/>
        </w:rPr>
        <w:t>emand-based pricing</w:t>
      </w:r>
      <w:r>
        <w:rPr>
          <w:rFonts w:hint="eastAsia" w:ascii="Times New Roman" w:hAnsi="Times New Roman" w:cs="Times New Roman"/>
          <w:sz w:val="24"/>
          <w:szCs w:val="24"/>
        </w:rPr>
        <w:t xml:space="preserve"> (Larson, 2019)</w:t>
      </w:r>
      <w:r>
        <w:rPr>
          <w:rFonts w:ascii="Times New Roman" w:hAnsi="Times New Roman" w:cs="Times New Roman"/>
          <w:sz w:val="24"/>
          <w:szCs w:val="24"/>
        </w:rPr>
        <w:t>. Specifically, Tesco can appropriately raise the price of such environmentally-friendly products to meet consumers' willingness to pay, and at the same time express the environmental added value of the products.</w:t>
      </w:r>
    </w:p>
    <w:p>
      <w:pPr>
        <w:pStyle w:val="4"/>
        <w:spacing w:line="480" w:lineRule="auto"/>
      </w:pPr>
      <w:bookmarkStart w:id="14" w:name="_Toc165748158"/>
      <w:r>
        <w:rPr>
          <w:rFonts w:hint="eastAsia"/>
        </w:rPr>
        <w:t xml:space="preserve">2.4.3 </w:t>
      </w:r>
      <w:r>
        <w:t>Place</w:t>
      </w:r>
      <w:bookmarkEnd w:id="14"/>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Tesco can continue to optimize the layout of offline stores, and at the same time vigorously develop online channels and launch an upgraded version of Tesco APP to enhance the user experience. Research shows that online grocery sales in the UK increased by </w:t>
      </w:r>
      <w:r>
        <w:rPr>
          <w:rFonts w:hint="eastAsia" w:ascii="Times New Roman" w:hAnsi="Times New Roman" w:cs="Times New Roman"/>
          <w:sz w:val="24"/>
          <w:szCs w:val="24"/>
        </w:rPr>
        <w:t>90</w:t>
      </w:r>
      <w:r>
        <w:rPr>
          <w:rFonts w:ascii="Times New Roman" w:hAnsi="Times New Roman" w:cs="Times New Roman"/>
          <w:sz w:val="24"/>
          <w:szCs w:val="24"/>
        </w:rPr>
        <w:t>% in 202</w:t>
      </w:r>
      <w:r>
        <w:rPr>
          <w:rFonts w:hint="eastAsia" w:ascii="Times New Roman" w:hAnsi="Times New Roman" w:cs="Times New Roman"/>
          <w:sz w:val="24"/>
          <w:szCs w:val="24"/>
        </w:rPr>
        <w:t>0</w:t>
      </w:r>
      <w:r>
        <w:rPr>
          <w:rFonts w:ascii="Times New Roman" w:hAnsi="Times New Roman" w:cs="Times New Roman"/>
          <w:sz w:val="24"/>
          <w:szCs w:val="24"/>
        </w:rPr>
        <w:t xml:space="preserve"> (</w:t>
      </w:r>
      <w:r>
        <w:rPr>
          <w:rFonts w:hint="eastAsia" w:ascii="Times New Roman" w:hAnsi="Times New Roman" w:cs="Times New Roman"/>
          <w:sz w:val="24"/>
          <w:szCs w:val="24"/>
        </w:rPr>
        <w:t xml:space="preserve">Hood </w:t>
      </w:r>
      <w:r>
        <w:rPr>
          <w:rFonts w:hint="eastAsia" w:ascii="Times New Roman" w:hAnsi="Times New Roman" w:cs="Times New Roman"/>
          <w:i/>
          <w:iCs/>
          <w:sz w:val="24"/>
          <w:szCs w:val="24"/>
        </w:rPr>
        <w:t>et al.</w:t>
      </w:r>
      <w:r>
        <w:rPr>
          <w:rFonts w:hint="eastAsia" w:ascii="Times New Roman" w:hAnsi="Times New Roman" w:cs="Times New Roman"/>
          <w:sz w:val="24"/>
          <w:szCs w:val="24"/>
        </w:rPr>
        <w:t>, 2020</w:t>
      </w:r>
      <w:r>
        <w:rPr>
          <w:rFonts w:ascii="Times New Roman" w:hAnsi="Times New Roman" w:cs="Times New Roman"/>
          <w:sz w:val="24"/>
          <w:szCs w:val="24"/>
        </w:rPr>
        <w:t>), indicating that online channels are the key point of growth.</w:t>
      </w:r>
    </w:p>
    <w:p>
      <w:pPr>
        <w:pStyle w:val="4"/>
        <w:spacing w:line="480" w:lineRule="auto"/>
      </w:pPr>
      <w:bookmarkStart w:id="15" w:name="_Toc165748159"/>
      <w:r>
        <w:rPr>
          <w:rFonts w:hint="eastAsia"/>
        </w:rPr>
        <w:t xml:space="preserve">2.4.4 </w:t>
      </w:r>
      <w:r>
        <w:t>Promotion</w:t>
      </w:r>
      <w:bookmarkEnd w:id="15"/>
    </w:p>
    <w:p>
      <w:pPr>
        <w:spacing w:line="480" w:lineRule="auto"/>
        <w:ind w:firstLine="480" w:firstLineChars="200"/>
        <w:contextualSpacing/>
        <w:rPr>
          <w:rFonts w:hint="eastAsia" w:ascii="Times New Roman" w:hAnsi="Times New Roman" w:cs="Times New Roman"/>
          <w:sz w:val="24"/>
          <w:szCs w:val="24"/>
        </w:rPr>
      </w:pPr>
      <w:r>
        <w:rPr>
          <w:rFonts w:ascii="Times New Roman" w:hAnsi="Times New Roman" w:cs="Times New Roman"/>
          <w:sz w:val="24"/>
          <w:szCs w:val="24"/>
        </w:rPr>
        <w:t>Tesco can adopt personal selling and advertising. In terms of personal s</w:t>
      </w:r>
      <w:r>
        <w:rPr>
          <w:rFonts w:hint="eastAsia" w:ascii="Times New Roman" w:hAnsi="Times New Roman" w:cs="Times New Roman"/>
          <w:sz w:val="24"/>
          <w:szCs w:val="24"/>
        </w:rPr>
        <w:t>elling (</w:t>
      </w:r>
      <w:r>
        <w:rPr>
          <w:rFonts w:ascii="Times New Roman" w:hAnsi="Times New Roman" w:cs="Times New Roman"/>
          <w:sz w:val="24"/>
          <w:szCs w:val="24"/>
        </w:rPr>
        <w:t>Paesbrugghe</w:t>
      </w:r>
      <w:r>
        <w:rPr>
          <w:rFonts w:hint="eastAsia" w:ascii="Times New Roman" w:hAnsi="Times New Roman" w:cs="Times New Roman"/>
          <w:sz w:val="24"/>
          <w:szCs w:val="24"/>
        </w:rPr>
        <w:t xml:space="preserve"> </w:t>
      </w:r>
      <w:r>
        <w:rPr>
          <w:rFonts w:hint="eastAsia" w:ascii="Times New Roman" w:hAnsi="Times New Roman" w:cs="Times New Roman"/>
          <w:i/>
          <w:iCs/>
          <w:sz w:val="24"/>
          <w:szCs w:val="24"/>
        </w:rPr>
        <w:t>et al.</w:t>
      </w:r>
      <w:r>
        <w:rPr>
          <w:rFonts w:hint="eastAsia" w:ascii="Times New Roman" w:hAnsi="Times New Roman" w:cs="Times New Roman"/>
          <w:sz w:val="24"/>
          <w:szCs w:val="24"/>
        </w:rPr>
        <w:t>, 2018)</w:t>
      </w:r>
      <w:r>
        <w:rPr>
          <w:rFonts w:ascii="Times New Roman" w:hAnsi="Times New Roman" w:cs="Times New Roman"/>
          <w:sz w:val="24"/>
          <w:szCs w:val="24"/>
        </w:rPr>
        <w:t xml:space="preserve">, Tesco can train front-line salespeople to become environmental ambassadors. When they interact directly with customers, they </w:t>
      </w:r>
      <w:r>
        <w:rPr>
          <w:rFonts w:hint="eastAsia" w:ascii="Times New Roman" w:hAnsi="Times New Roman" w:cs="Times New Roman"/>
          <w:sz w:val="24"/>
          <w:szCs w:val="24"/>
        </w:rPr>
        <w:t xml:space="preserve">can </w:t>
      </w:r>
      <w:r>
        <w:rPr>
          <w:rFonts w:ascii="Times New Roman" w:hAnsi="Times New Roman" w:cs="Times New Roman"/>
          <w:sz w:val="24"/>
          <w:szCs w:val="24"/>
        </w:rPr>
        <w:t xml:space="preserve">pass on environmental knowledge and Tesco's green concept. In terms of advertising strategy, Tesco can increase its advertising efforts on TV, radio, online video platforms and social media. </w:t>
      </w:r>
      <w:r>
        <w:rPr>
          <w:rFonts w:hint="eastAsia" w:ascii="Times New Roman" w:hAnsi="Times New Roman" w:cs="Times New Roman"/>
          <w:sz w:val="24"/>
          <w:szCs w:val="24"/>
        </w:rPr>
        <w:t>E</w:t>
      </w:r>
      <w:r>
        <w:rPr>
          <w:rFonts w:ascii="Times New Roman" w:hAnsi="Times New Roman" w:cs="Times New Roman"/>
          <w:sz w:val="24"/>
          <w:szCs w:val="24"/>
        </w:rPr>
        <w:t xml:space="preserve">xisting research shows that the affinity of individual sales helps to increase </w:t>
      </w:r>
      <w:r>
        <w:rPr>
          <w:rFonts w:hint="eastAsia" w:ascii="Times New Roman" w:hAnsi="Times New Roman" w:cs="Times New Roman"/>
          <w:sz w:val="24"/>
          <w:szCs w:val="24"/>
        </w:rPr>
        <w:t>consumers</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brand loyalty</w:t>
      </w:r>
      <w:r>
        <w:rPr>
          <w:rFonts w:hint="eastAsia" w:ascii="Times New Roman" w:hAnsi="Times New Roman" w:cs="Times New Roman"/>
          <w:sz w:val="24"/>
          <w:szCs w:val="24"/>
        </w:rPr>
        <w:t xml:space="preserve"> (</w:t>
      </w:r>
      <w:r>
        <w:rPr>
          <w:rFonts w:ascii="Times New Roman" w:hAnsi="Times New Roman" w:cs="Times New Roman"/>
          <w:sz w:val="24"/>
          <w:szCs w:val="24"/>
        </w:rPr>
        <w:t>Joseph</w:t>
      </w:r>
      <w:r>
        <w:rPr>
          <w:rFonts w:hint="eastAsia" w:ascii="Times New Roman" w:hAnsi="Times New Roman" w:cs="Times New Roman"/>
          <w:sz w:val="24"/>
          <w:szCs w:val="24"/>
        </w:rPr>
        <w:t>, 2020).</w:t>
      </w:r>
    </w:p>
    <w:p>
      <w:pPr>
        <w:pStyle w:val="4"/>
        <w:spacing w:line="480" w:lineRule="auto"/>
      </w:pPr>
      <w:bookmarkStart w:id="16" w:name="_Toc165748160"/>
      <w:r>
        <w:rPr>
          <w:rFonts w:hint="eastAsia"/>
        </w:rPr>
        <w:t xml:space="preserve">2.4.5 </w:t>
      </w:r>
      <w:r>
        <w:t>People</w:t>
      </w:r>
      <w:bookmarkEnd w:id="16"/>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Tesco can train employees on environmental protection knowledge and encourage them to become disseminators of environmental protection concepts. At the same time, Tesco can use artificial intelligence technology to improve the quality of customer service. Research shows that companies that adopt AI customer service system improve customer satisfaction by 20% on average</w:t>
      </w:r>
      <w:r>
        <w:rPr>
          <w:rFonts w:hint="eastAsia" w:ascii="Times New Roman" w:hAnsi="Times New Roman" w:cs="Times New Roman"/>
          <w:sz w:val="24"/>
          <w:szCs w:val="24"/>
        </w:rPr>
        <w:t xml:space="preserve"> (Song </w:t>
      </w:r>
      <w:r>
        <w:rPr>
          <w:rFonts w:hint="eastAsia" w:ascii="Times New Roman" w:hAnsi="Times New Roman" w:cs="Times New Roman"/>
          <w:i/>
          <w:iCs/>
          <w:sz w:val="24"/>
          <w:szCs w:val="24"/>
        </w:rPr>
        <w:t>et al.</w:t>
      </w:r>
      <w:r>
        <w:rPr>
          <w:rFonts w:hint="eastAsia" w:ascii="Times New Roman" w:hAnsi="Times New Roman" w:cs="Times New Roman"/>
          <w:sz w:val="24"/>
          <w:szCs w:val="24"/>
        </w:rPr>
        <w:t>, 2022)</w:t>
      </w:r>
      <w:r>
        <w:rPr>
          <w:rFonts w:ascii="Times New Roman" w:hAnsi="Times New Roman" w:cs="Times New Roman"/>
          <w:sz w:val="24"/>
          <w:szCs w:val="24"/>
        </w:rPr>
        <w:t>.</w:t>
      </w:r>
    </w:p>
    <w:p>
      <w:pPr>
        <w:pStyle w:val="4"/>
        <w:spacing w:line="480" w:lineRule="auto"/>
      </w:pPr>
      <w:bookmarkStart w:id="17" w:name="_Toc165748161"/>
      <w:r>
        <w:rPr>
          <w:rFonts w:hint="eastAsia"/>
        </w:rPr>
        <w:t xml:space="preserve">2.4.6 </w:t>
      </w:r>
      <w:r>
        <w:t>Process</w:t>
      </w:r>
      <w:bookmarkEnd w:id="17"/>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Tesco can optimize the supply chain and use big data to optimize inventory management and reduce food waste. </w:t>
      </w:r>
      <w:r>
        <w:rPr>
          <w:rFonts w:hint="eastAsia" w:ascii="Times New Roman" w:hAnsi="Times New Roman" w:cs="Times New Roman"/>
          <w:sz w:val="24"/>
          <w:szCs w:val="24"/>
        </w:rPr>
        <w:t>Data shows</w:t>
      </w:r>
      <w:r>
        <w:rPr>
          <w:rFonts w:ascii="Times New Roman" w:hAnsi="Times New Roman" w:cs="Times New Roman"/>
          <w:sz w:val="24"/>
          <w:szCs w:val="24"/>
        </w:rPr>
        <w:t xml:space="preserve"> that supply chain optimization can reduce operating costs by as much as </w:t>
      </w:r>
      <w:r>
        <w:rPr>
          <w:rFonts w:hint="eastAsia" w:ascii="Times New Roman" w:hAnsi="Times New Roman" w:cs="Times New Roman"/>
          <w:sz w:val="24"/>
          <w:szCs w:val="24"/>
        </w:rPr>
        <w:t>25</w:t>
      </w:r>
      <w:r>
        <w:rPr>
          <w:rFonts w:ascii="Times New Roman" w:hAnsi="Times New Roman" w:cs="Times New Roman"/>
          <w:sz w:val="24"/>
          <w:szCs w:val="24"/>
        </w:rPr>
        <w:t>% (Lierow</w:t>
      </w:r>
      <w:r>
        <w:rPr>
          <w:rFonts w:hint="eastAsia" w:ascii="Times New Roman" w:hAnsi="Times New Roman" w:cs="Times New Roman"/>
          <w:sz w:val="24"/>
          <w:szCs w:val="24"/>
        </w:rPr>
        <w:t xml:space="preserve"> </w:t>
      </w:r>
      <w:r>
        <w:rPr>
          <w:rFonts w:hint="eastAsia" w:ascii="Times New Roman" w:hAnsi="Times New Roman" w:cs="Times New Roman"/>
          <w:i/>
          <w:iCs/>
          <w:sz w:val="24"/>
          <w:szCs w:val="24"/>
        </w:rPr>
        <w:t>et al.</w:t>
      </w:r>
      <w:r>
        <w:rPr>
          <w:rFonts w:hint="eastAsia" w:ascii="Times New Roman" w:hAnsi="Times New Roman" w:cs="Times New Roman"/>
          <w:sz w:val="24"/>
          <w:szCs w:val="24"/>
        </w:rPr>
        <w:t>, 2017</w:t>
      </w:r>
      <w:r>
        <w:rPr>
          <w:rFonts w:ascii="Times New Roman" w:hAnsi="Times New Roman" w:cs="Times New Roman"/>
          <w:sz w:val="24"/>
          <w:szCs w:val="24"/>
        </w:rPr>
        <w:t>).</w:t>
      </w:r>
    </w:p>
    <w:p>
      <w:pPr>
        <w:pStyle w:val="4"/>
        <w:spacing w:line="480" w:lineRule="auto"/>
      </w:pPr>
      <w:bookmarkStart w:id="18" w:name="_Toc165748162"/>
      <w:r>
        <w:rPr>
          <w:rFonts w:hint="eastAsia"/>
        </w:rPr>
        <w:t xml:space="preserve">2.4.7 </w:t>
      </w:r>
      <w:r>
        <w:t xml:space="preserve">Physical </w:t>
      </w:r>
      <w:r>
        <w:rPr>
          <w:rFonts w:hint="eastAsia"/>
        </w:rPr>
        <w:t>e</w:t>
      </w:r>
      <w:r>
        <w:t>vidence</w:t>
      </w:r>
      <w:bookmarkEnd w:id="18"/>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Tesco can transform some stores, add environmental protection materials exhibition area and food waste education corner, so that customers can intuitively feel Tesco's environmental protection efforts. </w:t>
      </w:r>
      <w:r>
        <w:rPr>
          <w:rFonts w:hint="eastAsia" w:ascii="Times New Roman" w:hAnsi="Times New Roman" w:cs="Times New Roman"/>
          <w:sz w:val="24"/>
          <w:szCs w:val="24"/>
        </w:rPr>
        <w:t>R</w:t>
      </w:r>
      <w:r>
        <w:rPr>
          <w:rFonts w:ascii="Times New Roman" w:hAnsi="Times New Roman" w:cs="Times New Roman"/>
          <w:sz w:val="24"/>
          <w:szCs w:val="24"/>
        </w:rPr>
        <w:t>esearch emphasizes that the experience of the physical environment has a significant impact on the brand image</w:t>
      </w:r>
      <w:r>
        <w:rPr>
          <w:rFonts w:hint="eastAsia" w:ascii="Times New Roman" w:hAnsi="Times New Roman" w:cs="Times New Roman"/>
          <w:sz w:val="24"/>
          <w:szCs w:val="24"/>
        </w:rPr>
        <w:t xml:space="preserve"> (CHO </w:t>
      </w:r>
      <w:r>
        <w:rPr>
          <w:rFonts w:hint="eastAsia" w:ascii="Times New Roman" w:hAnsi="Times New Roman" w:cs="Times New Roman"/>
          <w:i/>
          <w:iCs/>
          <w:sz w:val="24"/>
          <w:szCs w:val="24"/>
        </w:rPr>
        <w:t>et al.</w:t>
      </w:r>
      <w:r>
        <w:rPr>
          <w:rFonts w:hint="eastAsia" w:ascii="Times New Roman" w:hAnsi="Times New Roman" w:cs="Times New Roman"/>
          <w:sz w:val="24"/>
          <w:szCs w:val="24"/>
        </w:rPr>
        <w:t>, 2020)</w:t>
      </w:r>
      <w:r>
        <w:rPr>
          <w:rFonts w:ascii="Times New Roman" w:hAnsi="Times New Roman" w:cs="Times New Roman"/>
          <w:sz w:val="24"/>
          <w:szCs w:val="24"/>
        </w:rPr>
        <w:t>.</w:t>
      </w:r>
    </w:p>
    <w:p>
      <w:pPr>
        <w:pStyle w:val="3"/>
        <w:spacing w:line="480" w:lineRule="auto"/>
      </w:pPr>
      <w:bookmarkStart w:id="19" w:name="_Toc165748163"/>
      <w:r>
        <w:rPr>
          <w:rFonts w:hint="eastAsia"/>
        </w:rPr>
        <w:t>2.5 Actions</w:t>
      </w:r>
      <w:bookmarkEnd w:id="19"/>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According to the Gantt chart, the actions from September 2024 to August 2025 are shown in Figure 1</w:t>
      </w:r>
      <w:r>
        <w:rPr>
          <w:rFonts w:hint="eastAsia" w:ascii="Times New Roman" w:hAnsi="Times New Roman" w:cs="Times New Roman"/>
          <w:sz w:val="24"/>
          <w:szCs w:val="24"/>
        </w:rPr>
        <w:t xml:space="preserve"> (Sharon, 2017)</w:t>
      </w:r>
      <w:r>
        <w:rPr>
          <w:rFonts w:ascii="Times New Roman" w:hAnsi="Times New Roman" w:cs="Times New Roman"/>
          <w:sz w:val="24"/>
          <w:szCs w:val="24"/>
        </w:rPr>
        <w:t>. First of all, from September 2024 to October 2024, in view of the primary strategic direction of environmental protection packaging and reducing food waste, Tesco will set up a special team to promote the research and development and procurement of environmental protection packaging materials. Secondly, from November 2024, Tesco will launch a "Green Life" marketing campaign for one month to enhance its brand image through social media, TV advertisements and in-store publicity. At the same time, the technical department will introduce big data and artificial intelligence technology to improve the ability of personalized recommendation. This work is expected to start in January 2025 and be completed in February 2025. In view of the internal structural adjustment, the human resources department will start in March 2025</w:t>
      </w:r>
      <w:r>
        <w:rPr>
          <w:rFonts w:hint="eastAsia" w:ascii="Times New Roman" w:hAnsi="Times New Roman" w:cs="Times New Roman"/>
          <w:sz w:val="24"/>
          <w:szCs w:val="24"/>
        </w:rPr>
        <w:t xml:space="preserve"> and end in April 2025</w:t>
      </w:r>
      <w:r>
        <w:rPr>
          <w:rFonts w:ascii="Times New Roman" w:hAnsi="Times New Roman" w:cs="Times New Roman"/>
          <w:sz w:val="24"/>
          <w:szCs w:val="24"/>
        </w:rPr>
        <w:t>.</w:t>
      </w:r>
      <w:r>
        <w:rPr>
          <w:rFonts w:hint="eastAsia" w:ascii="Times New Roman" w:hAnsi="Times New Roman" w:cs="Times New Roman"/>
          <w:sz w:val="24"/>
          <w:szCs w:val="24"/>
        </w:rPr>
        <w:t xml:space="preserve"> T</w:t>
      </w:r>
      <w:r>
        <w:rPr>
          <w:rFonts w:ascii="Times New Roman" w:hAnsi="Times New Roman" w:cs="Times New Roman"/>
          <w:sz w:val="24"/>
          <w:szCs w:val="24"/>
        </w:rPr>
        <w:t>his stage will include the formulation and implementation of employee training plans to ensure that employees master the latest environmental protection policies. From June to August 2025, Tesco will implement a monitoring and evaluation mechanism.</w:t>
      </w:r>
    </w:p>
    <w:p>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5274310" cy="1836420"/>
            <wp:effectExtent l="0" t="0" r="2540" b="11430"/>
            <wp:docPr id="11738528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52824"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282576" cy="1839493"/>
                    </a:xfrm>
                    <a:prstGeom prst="rect">
                      <a:avLst/>
                    </a:prstGeom>
                    <a:noFill/>
                    <a:ln>
                      <a:noFill/>
                    </a:ln>
                  </pic:spPr>
                </pic:pic>
              </a:graphicData>
            </a:graphic>
          </wp:inline>
        </w:drawing>
      </w:r>
    </w:p>
    <w:p>
      <w:pPr>
        <w:spacing w:line="480" w:lineRule="auto"/>
        <w:contextualSpacing/>
        <w:jc w:val="center"/>
        <w:rPr>
          <w:rFonts w:hint="eastAsia" w:ascii="Times New Roman" w:hAnsi="Times New Roman" w:cs="Times New Roman"/>
          <w:sz w:val="24"/>
          <w:szCs w:val="24"/>
        </w:rPr>
      </w:pPr>
      <w:r>
        <w:rPr>
          <w:rFonts w:hint="eastAsia" w:ascii="Times New Roman" w:hAnsi="Times New Roman" w:cs="Times New Roman"/>
          <w:sz w:val="24"/>
          <w:szCs w:val="24"/>
        </w:rPr>
        <w:t xml:space="preserve">Figure 1 </w:t>
      </w:r>
      <w:r>
        <w:rPr>
          <w:rFonts w:ascii="Times New Roman" w:hAnsi="Times New Roman" w:cs="Times New Roman"/>
          <w:sz w:val="24"/>
          <w:szCs w:val="24"/>
        </w:rPr>
        <w:t>Gantt Chart</w:t>
      </w:r>
    </w:p>
    <w:p>
      <w:pPr>
        <w:pStyle w:val="3"/>
        <w:spacing w:line="480" w:lineRule="auto"/>
      </w:pPr>
      <w:bookmarkStart w:id="20" w:name="_Toc165748164"/>
      <w:r>
        <w:rPr>
          <w:rFonts w:hint="eastAsia"/>
        </w:rPr>
        <w:t>2.6 Control</w:t>
      </w:r>
      <w:bookmarkEnd w:id="20"/>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Key performance indicators (KPIs) help to ensure that marketing activities are closely linked with strategic objectives</w:t>
      </w:r>
      <w:r>
        <w:rPr>
          <w:rFonts w:hint="eastAsia" w:ascii="Times New Roman" w:hAnsi="Times New Roman" w:cs="Times New Roman"/>
          <w:sz w:val="24"/>
          <w:szCs w:val="24"/>
        </w:rPr>
        <w:t xml:space="preserve"> (</w:t>
      </w:r>
      <w:r>
        <w:rPr>
          <w:rFonts w:ascii="Times New Roman" w:hAnsi="Times New Roman" w:cs="Times New Roman"/>
          <w:sz w:val="24"/>
          <w:szCs w:val="24"/>
        </w:rPr>
        <w:t>Hristov</w:t>
      </w:r>
      <w:r>
        <w:rPr>
          <w:rFonts w:hint="eastAsia" w:ascii="Times New Roman" w:hAnsi="Times New Roman" w:cs="Times New Roman"/>
          <w:sz w:val="24"/>
          <w:szCs w:val="24"/>
        </w:rPr>
        <w:t>, 2019)</w:t>
      </w:r>
      <w:r>
        <w:rPr>
          <w:rFonts w:ascii="Times New Roman" w:hAnsi="Times New Roman" w:cs="Times New Roman"/>
          <w:sz w:val="24"/>
          <w:szCs w:val="24"/>
        </w:rPr>
        <w:t>. The first is the adoption rate of environmental protection packaging. Tesco can measure the proportion of environmentally-friendly packaging in the goods it sells every month, with the goal of increasing by at least 20% within one year, which will directly reflect Tesco's efforts and achievements in reducing the use of plastics. The second is consumer satisfaction and environmental awareness. Tesco can monitor customers' acceptance of Tesco's environmental protection measures and its positive impact on brand image through regular customer satisfaction surveys once every three months. The goal is to enhance environmental awareness by at least 10% and enhance customer loyalty.</w:t>
      </w:r>
      <w:r>
        <w:rPr>
          <w:rFonts w:hint="eastAsia" w:ascii="Times New Roman" w:hAnsi="Times New Roman" w:cs="Times New Roman"/>
          <w:sz w:val="24"/>
          <w:szCs w:val="24"/>
        </w:rPr>
        <w:t xml:space="preserve"> </w:t>
      </w:r>
      <w:r>
        <w:rPr>
          <w:rFonts w:ascii="Times New Roman" w:hAnsi="Times New Roman" w:cs="Times New Roman"/>
          <w:sz w:val="24"/>
          <w:szCs w:val="24"/>
        </w:rPr>
        <w:t>The third KPI is the replacement rate of environmental protection packaging. Tesco can evaluate the use ratio of environmentally friendly packaging every quarter. The goal is that by August 2025, the proportion of environmental protection packaging will reach 40% of the total packaging materials, which requires continuous tracking of the introduction and application of new environmental protection materials.</w:t>
      </w:r>
    </w:p>
    <w:p>
      <w:pPr>
        <w:spacing w:line="480" w:lineRule="auto"/>
        <w:ind w:firstLine="480" w:firstLineChars="200"/>
        <w:contextualSpacing/>
        <w:rPr>
          <w:rFonts w:hint="eastAsia" w:ascii="Times New Roman" w:hAnsi="Times New Roman" w:cs="Times New Roman"/>
          <w:sz w:val="24"/>
          <w:szCs w:val="24"/>
        </w:rPr>
      </w:pPr>
      <w:r>
        <w:rPr>
          <w:rFonts w:ascii="Times New Roman" w:hAnsi="Times New Roman" w:cs="Times New Roman"/>
          <w:sz w:val="24"/>
          <w:szCs w:val="24"/>
        </w:rPr>
        <w:t>In order to continuously improve, Tesco should establish a feedback loop mechanism, and take the results of each evaluation as the input for the next round of marketing plan formulation, forming a closed-loop management</w:t>
      </w:r>
      <w:r>
        <w:rPr>
          <w:rFonts w:hint="eastAsia" w:ascii="Times New Roman" w:hAnsi="Times New Roman" w:cs="Times New Roman"/>
          <w:sz w:val="24"/>
          <w:szCs w:val="24"/>
        </w:rPr>
        <w:t xml:space="preserve"> (</w:t>
      </w:r>
      <w:r>
        <w:rPr>
          <w:rFonts w:ascii="Times New Roman" w:hAnsi="Times New Roman" w:cs="Times New Roman"/>
          <w:sz w:val="24"/>
          <w:szCs w:val="24"/>
        </w:rPr>
        <w:t>Mishra</w:t>
      </w:r>
      <w:r>
        <w:rPr>
          <w:rFonts w:hint="eastAsia" w:ascii="Times New Roman" w:hAnsi="Times New Roman" w:cs="Times New Roman"/>
          <w:sz w:val="24"/>
          <w:szCs w:val="24"/>
        </w:rPr>
        <w:t>, 2023)</w:t>
      </w:r>
      <w:r>
        <w:rPr>
          <w:rFonts w:ascii="Times New Roman" w:hAnsi="Times New Roman" w:cs="Times New Roman"/>
          <w:sz w:val="24"/>
          <w:szCs w:val="24"/>
        </w:rPr>
        <w:t>. Through continuous optimization and innovation, Tesco can not only effectively cope with the environmental challenges of plastic packaging, but also enhance its brand image in the process and ultimately enhance its competitiveness in the market.</w:t>
      </w:r>
    </w:p>
    <w:p>
      <w:pPr>
        <w:pStyle w:val="2"/>
        <w:spacing w:line="480" w:lineRule="auto"/>
      </w:pPr>
      <w:bookmarkStart w:id="21" w:name="_Toc165748165"/>
      <w:r>
        <w:rPr>
          <w:rFonts w:hint="eastAsia"/>
        </w:rPr>
        <w:t>3. Recommendations</w:t>
      </w:r>
      <w:bookmarkEnd w:id="21"/>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In order to ensure that the marketing plan can continuously support Tesco's improvement in reducing plastic packaging and food waste, and constantly adapt to market changes, the following are </w:t>
      </w:r>
      <w:r>
        <w:rPr>
          <w:rFonts w:hint="eastAsia" w:ascii="Times New Roman" w:hAnsi="Times New Roman" w:cs="Times New Roman"/>
          <w:sz w:val="24"/>
          <w:szCs w:val="24"/>
        </w:rPr>
        <w:t>recommendation</w:t>
      </w:r>
      <w:r>
        <w:rPr>
          <w:rFonts w:ascii="Times New Roman" w:hAnsi="Times New Roman" w:cs="Times New Roman"/>
          <w:sz w:val="24"/>
          <w:szCs w:val="24"/>
        </w:rPr>
        <w:t xml:space="preserve">s for improvement. First, </w:t>
      </w:r>
      <w:r>
        <w:rPr>
          <w:rFonts w:hint="eastAsia" w:ascii="Times New Roman" w:hAnsi="Times New Roman" w:cs="Times New Roman"/>
          <w:sz w:val="24"/>
          <w:szCs w:val="24"/>
        </w:rPr>
        <w:t xml:space="preserve">Tesco can </w:t>
      </w:r>
      <w:r>
        <w:rPr>
          <w:rFonts w:ascii="Times New Roman" w:hAnsi="Times New Roman" w:cs="Times New Roman"/>
          <w:sz w:val="24"/>
          <w:szCs w:val="24"/>
        </w:rPr>
        <w:t xml:space="preserve">strengthen social responsibility and brand image building. </w:t>
      </w:r>
      <w:r>
        <w:rPr>
          <w:rFonts w:hint="eastAsia" w:ascii="Times New Roman" w:hAnsi="Times New Roman" w:cs="Times New Roman"/>
          <w:sz w:val="24"/>
          <w:szCs w:val="24"/>
        </w:rPr>
        <w:t xml:space="preserve">Specifically, </w:t>
      </w:r>
      <w:r>
        <w:rPr>
          <w:rFonts w:ascii="Times New Roman" w:hAnsi="Times New Roman" w:cs="Times New Roman"/>
          <w:sz w:val="24"/>
          <w:szCs w:val="24"/>
        </w:rPr>
        <w:t>Tesco should actively participate in environmental public welfare activities, such as beach cleaning and environmental education projects, to show corporate social responsibility. Through media reports and social influence activities, Tesco can spread its efforts and achievements in reducing plastic pollution and food waste, shape a positive brand image and attract more consumers who pay attention to sustainability.</w:t>
      </w:r>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Secondly, Tesco needs to strengthen employee training and customer education. Employees are the front line to convey the concept of environmental protection</w:t>
      </w:r>
      <w:r>
        <w:rPr>
          <w:rFonts w:hint="eastAsia" w:ascii="Times New Roman" w:hAnsi="Times New Roman" w:cs="Times New Roman"/>
          <w:sz w:val="24"/>
          <w:szCs w:val="24"/>
        </w:rPr>
        <w:t xml:space="preserve"> (Tuan, 2018)</w:t>
      </w:r>
      <w:r>
        <w:rPr>
          <w:rFonts w:ascii="Times New Roman" w:hAnsi="Times New Roman" w:cs="Times New Roman"/>
          <w:sz w:val="24"/>
          <w:szCs w:val="24"/>
        </w:rPr>
        <w:t>. Tesco should continuously improve employees' environmental awareness and professional knowledge, and hold regular training courses covering the latest environmental protection policies, packaging materials knowledge and customer communication skills.</w:t>
      </w:r>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Finally, Tesco can optimize the supply chain process. The wide application of environmental protection packaging depends on the close cooperation between upstream and downstream of the supply chain</w:t>
      </w:r>
      <w:r>
        <w:rPr>
          <w:rFonts w:hint="eastAsia" w:ascii="Times New Roman" w:hAnsi="Times New Roman" w:cs="Times New Roman"/>
          <w:sz w:val="24"/>
          <w:szCs w:val="24"/>
        </w:rPr>
        <w:t xml:space="preserve"> (Ding </w:t>
      </w:r>
      <w:r>
        <w:rPr>
          <w:rFonts w:hint="eastAsia" w:ascii="Times New Roman" w:hAnsi="Times New Roman" w:cs="Times New Roman"/>
          <w:i/>
          <w:iCs/>
          <w:sz w:val="24"/>
          <w:szCs w:val="24"/>
        </w:rPr>
        <w:t>et al.</w:t>
      </w:r>
      <w:r>
        <w:rPr>
          <w:rFonts w:hint="eastAsia" w:ascii="Times New Roman" w:hAnsi="Times New Roman" w:cs="Times New Roman"/>
          <w:sz w:val="24"/>
          <w:szCs w:val="24"/>
        </w:rPr>
        <w:t>, 2016)</w:t>
      </w:r>
      <w:r>
        <w:rPr>
          <w:rFonts w:ascii="Times New Roman" w:hAnsi="Times New Roman" w:cs="Times New Roman"/>
          <w:sz w:val="24"/>
          <w:szCs w:val="24"/>
        </w:rPr>
        <w:t>. Tesco should deepen its partnership with suppliers to jointly promote the cost reduction and supply stability of environmentally friendly packaging materials.</w:t>
      </w:r>
    </w:p>
    <w:p>
      <w:pPr>
        <w:pStyle w:val="2"/>
        <w:spacing w:line="480" w:lineRule="auto"/>
      </w:pPr>
      <w:bookmarkStart w:id="22" w:name="_Toc165748166"/>
      <w:r>
        <w:rPr>
          <w:rFonts w:hint="eastAsia"/>
        </w:rPr>
        <w:t>4. Conclusions</w:t>
      </w:r>
      <w:bookmarkEnd w:id="22"/>
    </w:p>
    <w:p>
      <w:pPr>
        <w:spacing w:line="480" w:lineRule="auto"/>
        <w:ind w:firstLine="480" w:firstLineChars="200"/>
        <w:contextualSpacing/>
        <w:rPr>
          <w:rFonts w:ascii="Times New Roman" w:hAnsi="Times New Roman" w:cs="Times New Roman"/>
          <w:sz w:val="24"/>
          <w:szCs w:val="24"/>
        </w:rPr>
      </w:pPr>
      <w:r>
        <w:rPr>
          <w:rFonts w:ascii="Times New Roman" w:hAnsi="Times New Roman" w:cs="Times New Roman"/>
          <w:sz w:val="24"/>
          <w:szCs w:val="24"/>
        </w:rPr>
        <w:t xml:space="preserve">In a word, this </w:t>
      </w:r>
      <w:r>
        <w:rPr>
          <w:rFonts w:hint="eastAsia" w:ascii="Times New Roman" w:hAnsi="Times New Roman" w:cs="Times New Roman"/>
          <w:sz w:val="24"/>
          <w:szCs w:val="24"/>
        </w:rPr>
        <w:t xml:space="preserve">report </w:t>
      </w:r>
      <w:r>
        <w:rPr>
          <w:rFonts w:ascii="Times New Roman" w:hAnsi="Times New Roman" w:cs="Times New Roman"/>
          <w:sz w:val="24"/>
          <w:szCs w:val="24"/>
        </w:rPr>
        <w:t>provides a set of comprehensive strategies for Tesco to deal with the environmental challenges of plastic packaging through a detailed SOSTAC analysis framework. The report defines the strategic direction of Tesco's use of internal and external conditions, sets specific and measurable SMART objectives, designs an all-round tactical layout covering product innovation, price strategy, channel optimization, strong promotion, personnel training, process improvement and environment creation, and plans detailed action plans and strict control mechanisms. Through these efforts, Tesco can not only significantly reduce the use of plastics and food waste, but also effectively enhance its brand image and ultimately enhance its competitive position in the market.</w:t>
      </w:r>
    </w:p>
    <w:p>
      <w:pPr>
        <w:spacing w:line="480" w:lineRule="auto"/>
        <w:contextualSpacing/>
        <w:rPr>
          <w:rFonts w:ascii="Times New Roman" w:hAnsi="Times New Roman" w:cs="Times New Roman"/>
          <w:sz w:val="24"/>
          <w:szCs w:val="24"/>
        </w:rPr>
      </w:pPr>
    </w:p>
    <w:p>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br w:type="page"/>
      </w:r>
    </w:p>
    <w:p>
      <w:pPr>
        <w:pStyle w:val="2"/>
        <w:spacing w:line="480" w:lineRule="auto"/>
      </w:pPr>
      <w:bookmarkStart w:id="23" w:name="_Toc165748167"/>
      <w:r>
        <w:rPr>
          <w:rFonts w:hint="eastAsia"/>
        </w:rPr>
        <w:t>References</w:t>
      </w:r>
      <w:bookmarkEnd w:id="23"/>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Adrita, U. W.</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Mohiuddin, M. F. (2020) ‘Impact of opportunity and ability to translate environmental attitude into ecologically conscious consumer behavior’</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Journal of Marketing Theory and Practice</w:t>
      </w:r>
      <w:r>
        <w:rPr>
          <w:rFonts w:ascii="Times New Roman" w:hAnsi="Times New Roman" w:cs="Times New Roman"/>
          <w:sz w:val="24"/>
          <w:szCs w:val="24"/>
        </w:rPr>
        <w:t xml:space="preserve">, 28(2), </w:t>
      </w:r>
      <w:r>
        <w:rPr>
          <w:rFonts w:hint="eastAsia" w:ascii="Times New Roman" w:hAnsi="Times New Roman" w:cs="Times New Roman"/>
          <w:sz w:val="24"/>
          <w:szCs w:val="24"/>
        </w:rPr>
        <w:t xml:space="preserve">pp. </w:t>
      </w:r>
      <w:r>
        <w:rPr>
          <w:rFonts w:ascii="Times New Roman" w:hAnsi="Times New Roman" w:cs="Times New Roman"/>
          <w:sz w:val="24"/>
          <w:szCs w:val="24"/>
        </w:rPr>
        <w:t>173-186.</w:t>
      </w:r>
      <w:r>
        <w:rPr>
          <w:rFonts w:hint="eastAsia" w:ascii="Times New Roman" w:hAnsi="Times New Roman" w:cs="Times New Roman"/>
          <w:sz w:val="24"/>
          <w:szCs w:val="24"/>
        </w:rPr>
        <w:t xml:space="preserve"> Available at: </w:t>
      </w:r>
      <w:r>
        <w:fldChar w:fldCharType="begin"/>
      </w:r>
      <w:r>
        <w:instrText xml:space="preserve"> HYPERLINK "https://doi.org/10.1080/10696679.2020.1716629" </w:instrText>
      </w:r>
      <w:r>
        <w:fldChar w:fldCharType="separate"/>
      </w:r>
      <w:r>
        <w:rPr>
          <w:rStyle w:val="11"/>
          <w:rFonts w:ascii="Times New Roman" w:hAnsi="Times New Roman" w:cs="Times New Roman"/>
          <w:sz w:val="24"/>
          <w:szCs w:val="24"/>
        </w:rPr>
        <w:t>https://doi.org/10.1080/10696679.2020.1716629</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Boz, Z., Korhonen, V.</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Koelsch Sand, C. (2020) ‘Consumer considerations for the implementation of sustainable packaging: A review’</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Sustainability</w:t>
      </w:r>
      <w:r>
        <w:rPr>
          <w:rFonts w:ascii="Times New Roman" w:hAnsi="Times New Roman" w:cs="Times New Roman"/>
          <w:sz w:val="24"/>
          <w:szCs w:val="24"/>
        </w:rPr>
        <w:t xml:space="preserve">, 12(6), </w:t>
      </w:r>
      <w:r>
        <w:rPr>
          <w:rFonts w:hint="eastAsia" w:ascii="Times New Roman" w:hAnsi="Times New Roman" w:cs="Times New Roman"/>
          <w:sz w:val="24"/>
          <w:szCs w:val="24"/>
        </w:rPr>
        <w:t xml:space="preserve">pp. </w:t>
      </w:r>
      <w:r>
        <w:rPr>
          <w:rFonts w:ascii="Times New Roman" w:hAnsi="Times New Roman" w:cs="Times New Roman"/>
          <w:sz w:val="24"/>
          <w:szCs w:val="24"/>
        </w:rPr>
        <w:t>2192.</w:t>
      </w:r>
      <w:r>
        <w:rPr>
          <w:rFonts w:hint="eastAsia" w:ascii="Times New Roman" w:hAnsi="Times New Roman" w:cs="Times New Roman"/>
          <w:sz w:val="24"/>
          <w:szCs w:val="24"/>
        </w:rPr>
        <w:t xml:space="preserve"> </w:t>
      </w:r>
      <w:r>
        <w:rPr>
          <w:rFonts w:ascii="Times New Roman" w:hAnsi="Times New Roman" w:cs="Times New Roman"/>
          <w:sz w:val="24"/>
          <w:szCs w:val="24"/>
        </w:rPr>
        <w:t>Available at:</w:t>
      </w:r>
      <w:r>
        <w:rPr>
          <w:rFonts w:hint="eastAsia" w:ascii="Times New Roman" w:hAnsi="Times New Roman" w:cs="Times New Roman"/>
          <w:sz w:val="24"/>
          <w:szCs w:val="24"/>
        </w:rPr>
        <w:t xml:space="preserve"> </w:t>
      </w:r>
      <w:r>
        <w:fldChar w:fldCharType="begin"/>
      </w:r>
      <w:r>
        <w:instrText xml:space="preserve"> HYPERLINK "https://doi.org/10.3390/su12062192" </w:instrText>
      </w:r>
      <w:r>
        <w:fldChar w:fldCharType="separate"/>
      </w:r>
      <w:r>
        <w:rPr>
          <w:rStyle w:val="11"/>
          <w:rFonts w:ascii="Times New Roman" w:hAnsi="Times New Roman" w:cs="Times New Roman"/>
          <w:sz w:val="24"/>
          <w:szCs w:val="24"/>
        </w:rPr>
        <w:t>https://doi.org/10.3390/su12062192</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CHO, B. K., KIM, S. H.</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LEE, D. (2020) ‘Effects of dessert café environmental characteristics on overall quality, brand image and loyalty’</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The Korean Journal of Franchise Management</w:t>
      </w:r>
      <w:r>
        <w:rPr>
          <w:rFonts w:ascii="Times New Roman" w:hAnsi="Times New Roman" w:cs="Times New Roman"/>
          <w:sz w:val="24"/>
          <w:szCs w:val="24"/>
        </w:rPr>
        <w:t xml:space="preserve">, 11(3), </w:t>
      </w:r>
      <w:r>
        <w:rPr>
          <w:rFonts w:hint="eastAsia" w:ascii="Times New Roman" w:hAnsi="Times New Roman" w:cs="Times New Roman"/>
          <w:sz w:val="24"/>
          <w:szCs w:val="24"/>
        </w:rPr>
        <w:t xml:space="preserve">pp. </w:t>
      </w:r>
      <w:r>
        <w:rPr>
          <w:rFonts w:ascii="Times New Roman" w:hAnsi="Times New Roman" w:cs="Times New Roman"/>
          <w:sz w:val="24"/>
          <w:szCs w:val="24"/>
        </w:rPr>
        <w:t>43-57.</w:t>
      </w:r>
      <w:r>
        <w:rPr>
          <w:rFonts w:hint="eastAsia" w:ascii="Times New Roman" w:hAnsi="Times New Roman" w:cs="Times New Roman"/>
          <w:sz w:val="24"/>
          <w:szCs w:val="24"/>
        </w:rPr>
        <w:t xml:space="preserve">  Available at: </w:t>
      </w:r>
      <w:r>
        <w:fldChar w:fldCharType="begin"/>
      </w:r>
      <w:r>
        <w:instrText xml:space="preserve"> HYPERLINK "https://doi.org/10.21871/KJFM.2020.9.11.3.43" </w:instrText>
      </w:r>
      <w:r>
        <w:fldChar w:fldCharType="separate"/>
      </w:r>
      <w:r>
        <w:rPr>
          <w:rStyle w:val="11"/>
          <w:rFonts w:ascii="Times New Roman" w:hAnsi="Times New Roman" w:cs="Times New Roman"/>
          <w:sz w:val="24"/>
          <w:szCs w:val="24"/>
        </w:rPr>
        <w:t>https://doi.org/10.21871/KJFM.2020.9.11.3.43</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Ding, H., Zhao, Q., An, Z.</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Tang, O. (2016) ‘Collaborative mechanism of a sustainable supply chain with environmental constraints and carbon caps’</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International Journal of Production Economics</w:t>
      </w:r>
      <w:r>
        <w:rPr>
          <w:rFonts w:ascii="Times New Roman" w:hAnsi="Times New Roman" w:cs="Times New Roman"/>
          <w:sz w:val="24"/>
          <w:szCs w:val="24"/>
        </w:rPr>
        <w:t xml:space="preserve">, 181, </w:t>
      </w:r>
      <w:r>
        <w:rPr>
          <w:rFonts w:hint="eastAsia" w:ascii="Times New Roman" w:hAnsi="Times New Roman" w:cs="Times New Roman"/>
          <w:sz w:val="24"/>
          <w:szCs w:val="24"/>
        </w:rPr>
        <w:t xml:space="preserve">pp. </w:t>
      </w:r>
      <w:r>
        <w:rPr>
          <w:rFonts w:ascii="Times New Roman" w:hAnsi="Times New Roman" w:cs="Times New Roman"/>
          <w:sz w:val="24"/>
          <w:szCs w:val="24"/>
        </w:rPr>
        <w:t>191-207.</w:t>
      </w:r>
      <w:r>
        <w:rPr>
          <w:rFonts w:hint="eastAsia" w:ascii="Times New Roman" w:hAnsi="Times New Roman" w:cs="Times New Roman"/>
          <w:sz w:val="24"/>
          <w:szCs w:val="24"/>
        </w:rPr>
        <w:t xml:space="preserve"> Available at: </w:t>
      </w:r>
      <w:r>
        <w:fldChar w:fldCharType="begin"/>
      </w:r>
      <w:r>
        <w:instrText xml:space="preserve"> HYPERLINK "https://doi.org/10.1016/j.ijpe.2016.03.004" </w:instrText>
      </w:r>
      <w:r>
        <w:fldChar w:fldCharType="separate"/>
      </w:r>
      <w:r>
        <w:rPr>
          <w:rStyle w:val="11"/>
          <w:rFonts w:ascii="Times New Roman" w:hAnsi="Times New Roman" w:cs="Times New Roman"/>
          <w:sz w:val="24"/>
          <w:szCs w:val="24"/>
        </w:rPr>
        <w:t>https://doi.org/10.1016/j.ijpe.2016.03.004</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hint="eastAsia" w:ascii="Times New Roman" w:hAnsi="Times New Roman" w:cs="Times New Roman"/>
          <w:sz w:val="24"/>
          <w:szCs w:val="24"/>
        </w:rPr>
        <w:t xml:space="preserve">Frame, J., Aylwin, J., </w:t>
      </w:r>
      <w:r>
        <w:rPr>
          <w:rFonts w:ascii="Times New Roman" w:hAnsi="Times New Roman" w:cs="Times New Roman"/>
          <w:sz w:val="24"/>
          <w:szCs w:val="24"/>
        </w:rPr>
        <w:t>Estripeau,</w:t>
      </w:r>
      <w:r>
        <w:rPr>
          <w:rFonts w:hint="eastAsia" w:ascii="Times New Roman" w:hAnsi="Times New Roman" w:cs="Times New Roman"/>
          <w:sz w:val="24"/>
          <w:szCs w:val="24"/>
        </w:rPr>
        <w:t xml:space="preserve"> R. and </w:t>
      </w:r>
      <w:r>
        <w:rPr>
          <w:rFonts w:ascii="Times New Roman" w:hAnsi="Times New Roman" w:cs="Times New Roman"/>
          <w:sz w:val="24"/>
          <w:szCs w:val="24"/>
        </w:rPr>
        <w:t>Cleary</w:t>
      </w:r>
      <w:r>
        <w:rPr>
          <w:rFonts w:hint="eastAsia" w:ascii="Times New Roman" w:hAnsi="Times New Roman" w:cs="Times New Roman"/>
          <w:sz w:val="24"/>
          <w:szCs w:val="24"/>
        </w:rPr>
        <w:t xml:space="preserve">, O. (2022) </w:t>
      </w:r>
      <w:r>
        <w:rPr>
          <w:rFonts w:ascii="Times New Roman" w:hAnsi="Times New Roman" w:cs="Times New Roman"/>
          <w:i/>
          <w:iCs/>
          <w:sz w:val="24"/>
          <w:szCs w:val="24"/>
        </w:rPr>
        <w:t>Winning the Consumer with Sustainability</w:t>
      </w:r>
      <w:r>
        <w:rPr>
          <w:rFonts w:hint="eastAsia" w:ascii="Times New Roman" w:hAnsi="Times New Roman" w:cs="Times New Roman"/>
          <w:sz w:val="24"/>
          <w:szCs w:val="24"/>
        </w:rPr>
        <w:t xml:space="preserve">. Available at: </w:t>
      </w:r>
      <w:r>
        <w:fldChar w:fldCharType="begin"/>
      </w:r>
      <w:r>
        <w:instrText xml:space="preserve"> HYPERLINK "https://www.bcg.com/publications/2022/uk-consumer-interest-in-sustainability#:~:text=Sustainability%20is%20already%20a%20mainstream%20consumer%20issue%20and,or%20advocating%20%28positively%20or%20negatively%29%20as%20a%20result" </w:instrText>
      </w:r>
      <w:r>
        <w:fldChar w:fldCharType="separate"/>
      </w:r>
      <w:r>
        <w:rPr>
          <w:rStyle w:val="11"/>
          <w:rFonts w:ascii="Times New Roman" w:hAnsi="Times New Roman" w:cs="Times New Roman"/>
          <w:sz w:val="24"/>
          <w:szCs w:val="24"/>
        </w:rPr>
        <w:t>https://www.bcg.com/publications/2022/uk-consumer-interest-in-sustainability#:~:text=Sustainability%20is%20already%20a%20mainstream%20consumer%20issue%20and,or%20advocating%20%28positively%20or%20negatively%29%20as%20a%20result</w:t>
      </w:r>
      <w:r>
        <w:rPr>
          <w:rStyle w:val="11"/>
          <w:rFonts w:ascii="Times New Roman" w:hAnsi="Times New Roman" w:cs="Times New Roman"/>
          <w:sz w:val="24"/>
          <w:szCs w:val="24"/>
        </w:rPr>
        <w:fldChar w:fldCharType="end"/>
      </w:r>
      <w:r>
        <w:rPr>
          <w:rFonts w:hint="eastAsia" w:ascii="Times New Roman" w:hAnsi="Times New Roman" w:cs="Times New Roman"/>
          <w:sz w:val="24"/>
          <w:szCs w:val="24"/>
        </w:rPr>
        <w:t xml:space="preserve"> </w:t>
      </w:r>
      <w:r>
        <w:rPr>
          <w:rFonts w:ascii="Times New Roman" w:hAnsi="Times New Roman" w:cs="Times New Roman"/>
          <w:sz w:val="24"/>
          <w:szCs w:val="24"/>
        </w:rPr>
        <w:t xml:space="preserve">(Accessed: </w:t>
      </w:r>
      <w:r>
        <w:rPr>
          <w:rFonts w:hint="eastAsia" w:ascii="Times New Roman" w:hAnsi="Times New Roman" w:cs="Times New Roman"/>
          <w:sz w:val="24"/>
          <w:szCs w:val="24"/>
        </w:rPr>
        <w:t>4</w:t>
      </w:r>
      <w:r>
        <w:rPr>
          <w:rFonts w:ascii="Times New Roman" w:hAnsi="Times New Roman" w:cs="Times New Roman"/>
          <w:sz w:val="24"/>
          <w:szCs w:val="24"/>
        </w:rPr>
        <w:t xml:space="preserve"> </w:t>
      </w:r>
      <w:r>
        <w:rPr>
          <w:rFonts w:hint="eastAsia" w:ascii="Times New Roman" w:hAnsi="Times New Roman" w:cs="Times New Roman"/>
          <w:sz w:val="24"/>
          <w:szCs w:val="24"/>
        </w:rPr>
        <w:t>May</w:t>
      </w:r>
      <w:r>
        <w:rPr>
          <w:rFonts w:ascii="Times New Roman" w:hAnsi="Times New Roman" w:cs="Times New Roman"/>
          <w:sz w:val="24"/>
          <w:szCs w:val="24"/>
        </w:rPr>
        <w:t xml:space="preserve"> 2024).</w:t>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color w:val="000000" w:themeColor="text1"/>
          <w:sz w:val="24"/>
          <w:szCs w:val="24"/>
          <w14:textFill>
            <w14:solidFill>
              <w14:schemeClr w14:val="tx1"/>
            </w14:solidFill>
          </w14:textFill>
        </w:rPr>
        <w:t>Gottfried, O., De Clercq, D., Blair, E., Weng, X.</w:t>
      </w:r>
      <w:r>
        <w:rPr>
          <w:rFonts w:hint="eastAsia" w:ascii="Times New Roman" w:hAnsi="Times New Roman" w:cs="Times New Roman"/>
          <w:color w:val="000000" w:themeColor="text1"/>
          <w:sz w:val="24"/>
          <w:szCs w:val="24"/>
          <w14:textFill>
            <w14:solidFill>
              <w14:schemeClr w14:val="tx1"/>
            </w14:solidFill>
          </w14:textFill>
        </w:rPr>
        <w:t xml:space="preserve"> and</w:t>
      </w:r>
      <w:r>
        <w:rPr>
          <w:rFonts w:ascii="Times New Roman" w:hAnsi="Times New Roman" w:cs="Times New Roman"/>
          <w:color w:val="000000" w:themeColor="text1"/>
          <w:sz w:val="24"/>
          <w:szCs w:val="24"/>
          <w14:textFill>
            <w14:solidFill>
              <w14:schemeClr w14:val="tx1"/>
            </w14:solidFill>
          </w14:textFill>
        </w:rPr>
        <w:t xml:space="preserve"> Wang, C. (2018) ‘SWOT-AHP-TOWS analysis of private investment behavior in the Chinese biogas sector’</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i/>
          <w:iCs/>
          <w:color w:val="000000" w:themeColor="text1"/>
          <w:sz w:val="24"/>
          <w:szCs w:val="24"/>
          <w14:textFill>
            <w14:solidFill>
              <w14:schemeClr w14:val="tx1"/>
            </w14:solidFill>
          </w14:textFill>
        </w:rPr>
        <w:t xml:space="preserve"> Journal of Cleaner Production</w:t>
      </w:r>
      <w:r>
        <w:rPr>
          <w:rFonts w:ascii="Times New Roman" w:hAnsi="Times New Roman" w:cs="Times New Roman"/>
          <w:color w:val="000000" w:themeColor="text1"/>
          <w:sz w:val="24"/>
          <w:szCs w:val="24"/>
          <w14:textFill>
            <w14:solidFill>
              <w14:schemeClr w14:val="tx1"/>
            </w14:solidFill>
          </w14:textFill>
        </w:rPr>
        <w:t xml:space="preserve">, 184, </w:t>
      </w:r>
      <w:r>
        <w:rPr>
          <w:rFonts w:hint="eastAsia" w:ascii="Times New Roman" w:hAnsi="Times New Roman" w:cs="Times New Roman"/>
          <w:color w:val="000000" w:themeColor="text1"/>
          <w:sz w:val="24"/>
          <w:szCs w:val="24"/>
          <w14:textFill>
            <w14:solidFill>
              <w14:schemeClr w14:val="tx1"/>
            </w14:solidFill>
          </w14:textFill>
        </w:rPr>
        <w:t xml:space="preserve">pp. </w:t>
      </w:r>
      <w:r>
        <w:rPr>
          <w:rFonts w:ascii="Times New Roman" w:hAnsi="Times New Roman" w:cs="Times New Roman"/>
          <w:color w:val="000000" w:themeColor="text1"/>
          <w:sz w:val="24"/>
          <w:szCs w:val="24"/>
          <w14:textFill>
            <w14:solidFill>
              <w14:schemeClr w14:val="tx1"/>
            </w14:solidFill>
          </w14:textFill>
        </w:rPr>
        <w:t>632-647.</w:t>
      </w:r>
      <w:r>
        <w:rPr>
          <w:rFonts w:hint="eastAsia" w:ascii="Times New Roman" w:hAnsi="Times New Roman" w:cs="Times New Roman"/>
          <w:color w:val="000000" w:themeColor="text1"/>
          <w:sz w:val="24"/>
          <w:szCs w:val="24"/>
          <w14:textFill>
            <w14:solidFill>
              <w14:schemeClr w14:val="tx1"/>
            </w14:solidFill>
          </w14:textFill>
        </w:rPr>
        <w:t xml:space="preserve"> </w:t>
      </w:r>
      <w:r>
        <w:rPr>
          <w:rFonts w:hint="eastAsia" w:ascii="Times New Roman" w:hAnsi="Times New Roman" w:cs="Times New Roman"/>
          <w:sz w:val="24"/>
          <w:szCs w:val="24"/>
        </w:rPr>
        <w:t xml:space="preserve">Available at: </w:t>
      </w:r>
      <w:r>
        <w:fldChar w:fldCharType="begin"/>
      </w:r>
      <w:r>
        <w:instrText xml:space="preserve"> HYPERLINK "https://doi.org/10.1016/j.jclepro.2018.02.173" </w:instrText>
      </w:r>
      <w:r>
        <w:fldChar w:fldCharType="separate"/>
      </w:r>
      <w:r>
        <w:rPr>
          <w:rStyle w:val="11"/>
          <w:rFonts w:ascii="Times New Roman" w:hAnsi="Times New Roman" w:cs="Times New Roman"/>
          <w:sz w:val="24"/>
          <w:szCs w:val="24"/>
        </w:rPr>
        <w:t>https://doi.org/10.1016/j.jclepro.2018.02.173</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color w:val="000000" w:themeColor="text1"/>
          <w:sz w:val="24"/>
          <w:szCs w:val="24"/>
          <w14:textFill>
            <w14:solidFill>
              <w14:schemeClr w14:val="tx1"/>
            </w14:solidFill>
          </w14:textFill>
        </w:rPr>
        <w:t>Gurcaylilar-Yenidogan, T.</w:t>
      </w:r>
      <w:r>
        <w:rPr>
          <w:rFonts w:hint="eastAsia" w:ascii="Times New Roman" w:hAnsi="Times New Roman" w:cs="Times New Roman"/>
          <w:color w:val="000000" w:themeColor="text1"/>
          <w:sz w:val="24"/>
          <w:szCs w:val="24"/>
          <w14:textFill>
            <w14:solidFill>
              <w14:schemeClr w14:val="tx1"/>
            </w14:solidFill>
          </w14:textFill>
        </w:rPr>
        <w:t xml:space="preserve"> and</w:t>
      </w:r>
      <w:r>
        <w:rPr>
          <w:rFonts w:ascii="Times New Roman" w:hAnsi="Times New Roman" w:cs="Times New Roman"/>
          <w:color w:val="000000" w:themeColor="text1"/>
          <w:sz w:val="24"/>
          <w:szCs w:val="24"/>
          <w14:textFill>
            <w14:solidFill>
              <w14:schemeClr w14:val="tx1"/>
            </w14:solidFill>
          </w14:textFill>
        </w:rPr>
        <w:t xml:space="preserve"> Aksoy, S. (2018) ‘Applying Ansoff’s growth strategy matrix to innovation classification’</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i/>
          <w:iCs/>
          <w:color w:val="000000" w:themeColor="text1"/>
          <w:sz w:val="24"/>
          <w:szCs w:val="24"/>
          <w14:textFill>
            <w14:solidFill>
              <w14:schemeClr w14:val="tx1"/>
            </w14:solidFill>
          </w14:textFill>
        </w:rPr>
        <w:t>International Journal of Innovation Management</w:t>
      </w:r>
      <w:r>
        <w:rPr>
          <w:rFonts w:ascii="Times New Roman" w:hAnsi="Times New Roman" w:cs="Times New Roman"/>
          <w:color w:val="000000" w:themeColor="text1"/>
          <w:sz w:val="24"/>
          <w:szCs w:val="24"/>
          <w14:textFill>
            <w14:solidFill>
              <w14:schemeClr w14:val="tx1"/>
            </w14:solidFill>
          </w14:textFill>
        </w:rPr>
        <w:t xml:space="preserve">, 22(4), </w:t>
      </w:r>
      <w:r>
        <w:rPr>
          <w:rFonts w:hint="eastAsia" w:ascii="Times New Roman" w:hAnsi="Times New Roman" w:cs="Times New Roman"/>
          <w:color w:val="000000" w:themeColor="text1"/>
          <w:sz w:val="24"/>
          <w:szCs w:val="24"/>
          <w14:textFill>
            <w14:solidFill>
              <w14:schemeClr w14:val="tx1"/>
            </w14:solidFill>
          </w14:textFill>
        </w:rPr>
        <w:t xml:space="preserve">pp. </w:t>
      </w:r>
      <w:r>
        <w:rPr>
          <w:rFonts w:ascii="Times New Roman" w:hAnsi="Times New Roman" w:cs="Times New Roman"/>
          <w:color w:val="000000" w:themeColor="text1"/>
          <w:sz w:val="24"/>
          <w:szCs w:val="24"/>
          <w14:textFill>
            <w14:solidFill>
              <w14:schemeClr w14:val="tx1"/>
            </w14:solidFill>
          </w14:textFill>
        </w:rPr>
        <w:t>1850039.</w:t>
      </w:r>
      <w:r>
        <w:rPr>
          <w:rFonts w:hint="eastAsia" w:ascii="Times New Roman" w:hAnsi="Times New Roman" w:cs="Times New Roman"/>
          <w:sz w:val="24"/>
          <w:szCs w:val="24"/>
        </w:rPr>
        <w:t xml:space="preserve"> Available at: </w:t>
      </w:r>
      <w:r>
        <w:fldChar w:fldCharType="begin"/>
      </w:r>
      <w:r>
        <w:instrText xml:space="preserve"> HYPERLINK "https://doi.org/10.1142/S1363919618500391" </w:instrText>
      </w:r>
      <w:r>
        <w:fldChar w:fldCharType="separate"/>
      </w:r>
      <w:r>
        <w:rPr>
          <w:rStyle w:val="11"/>
          <w:rFonts w:ascii="Times New Roman" w:hAnsi="Times New Roman" w:cs="Times New Roman"/>
          <w:sz w:val="24"/>
          <w:szCs w:val="24"/>
        </w:rPr>
        <w:t>https://doi.org/10.1142/S1363919618500391</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Hood, N., Urquhart, R., Newing, A.</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Heppenstall, A. (2020) ‘Sociodemographic and spatial disaggregation of e-commerce channel use in the grocery market in Great Britain’</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xml:space="preserve">, 55, </w:t>
      </w:r>
      <w:r>
        <w:rPr>
          <w:rFonts w:hint="eastAsia" w:ascii="Times New Roman" w:hAnsi="Times New Roman" w:cs="Times New Roman"/>
          <w:sz w:val="24"/>
          <w:szCs w:val="24"/>
        </w:rPr>
        <w:t xml:space="preserve">pp. </w:t>
      </w:r>
      <w:r>
        <w:rPr>
          <w:rFonts w:ascii="Times New Roman" w:hAnsi="Times New Roman" w:cs="Times New Roman"/>
          <w:sz w:val="24"/>
          <w:szCs w:val="24"/>
        </w:rPr>
        <w:t>102076.</w:t>
      </w:r>
      <w:r>
        <w:rPr>
          <w:rFonts w:hint="eastAsia" w:ascii="Times New Roman" w:hAnsi="Times New Roman" w:cs="Times New Roman"/>
          <w:sz w:val="24"/>
          <w:szCs w:val="24"/>
        </w:rPr>
        <w:t xml:space="preserve"> Available at: </w:t>
      </w:r>
      <w:r>
        <w:fldChar w:fldCharType="begin"/>
      </w:r>
      <w:r>
        <w:instrText xml:space="preserve"> HYPERLINK "https://doi.org/10.1016/j.jretconser.2020.102076" </w:instrText>
      </w:r>
      <w:r>
        <w:fldChar w:fldCharType="separate"/>
      </w:r>
      <w:r>
        <w:rPr>
          <w:rStyle w:val="11"/>
          <w:rFonts w:ascii="Times New Roman" w:hAnsi="Times New Roman" w:cs="Times New Roman"/>
          <w:sz w:val="24"/>
          <w:szCs w:val="24"/>
        </w:rPr>
        <w:t>https://doi.org/10.1016/j.jretconser.2020.102076</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Hristov, I.</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Chirico, A. (2019) ‘The role of sustainability key performance indicators (KPIs) in implementing sustainable strategies’</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Sustainability</w:t>
      </w:r>
      <w:r>
        <w:rPr>
          <w:rFonts w:ascii="Times New Roman" w:hAnsi="Times New Roman" w:cs="Times New Roman"/>
          <w:sz w:val="24"/>
          <w:szCs w:val="24"/>
        </w:rPr>
        <w:t xml:space="preserve">, 11(20), </w:t>
      </w:r>
      <w:r>
        <w:rPr>
          <w:rFonts w:hint="eastAsia" w:ascii="Times New Roman" w:hAnsi="Times New Roman" w:cs="Times New Roman"/>
          <w:sz w:val="24"/>
          <w:szCs w:val="24"/>
        </w:rPr>
        <w:t xml:space="preserve">pp. </w:t>
      </w:r>
      <w:r>
        <w:rPr>
          <w:rFonts w:ascii="Times New Roman" w:hAnsi="Times New Roman" w:cs="Times New Roman"/>
          <w:sz w:val="24"/>
          <w:szCs w:val="24"/>
        </w:rPr>
        <w:t>5742.</w:t>
      </w:r>
      <w:r>
        <w:rPr>
          <w:rFonts w:hint="eastAsia" w:ascii="Times New Roman" w:hAnsi="Times New Roman" w:cs="Times New Roman"/>
          <w:sz w:val="24"/>
          <w:szCs w:val="24"/>
        </w:rPr>
        <w:t xml:space="preserve"> Available at: </w:t>
      </w:r>
      <w:r>
        <w:fldChar w:fldCharType="begin"/>
      </w:r>
      <w:r>
        <w:instrText xml:space="preserve"> HYPERLINK "https://doi.org/10.3390/su11205742" </w:instrText>
      </w:r>
      <w:r>
        <w:fldChar w:fldCharType="separate"/>
      </w:r>
      <w:r>
        <w:rPr>
          <w:rStyle w:val="11"/>
          <w:rFonts w:ascii="Times New Roman" w:hAnsi="Times New Roman" w:cs="Times New Roman"/>
          <w:sz w:val="24"/>
          <w:szCs w:val="24"/>
        </w:rPr>
        <w:t>https://doi.org/10.3390/su11205742</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Islami, X., Mustafa, N.</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Topuzovska Latkovikj, M. (2020) ‘Linking Porter’s generic strategies to firm performance’</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Future Business Journal</w:t>
      </w:r>
      <w:r>
        <w:rPr>
          <w:rFonts w:ascii="Times New Roman" w:hAnsi="Times New Roman" w:cs="Times New Roman"/>
          <w:sz w:val="24"/>
          <w:szCs w:val="24"/>
        </w:rPr>
        <w:t xml:space="preserve">, 6, </w:t>
      </w:r>
      <w:r>
        <w:rPr>
          <w:rFonts w:hint="eastAsia" w:ascii="Times New Roman" w:hAnsi="Times New Roman" w:cs="Times New Roman"/>
          <w:sz w:val="24"/>
          <w:szCs w:val="24"/>
        </w:rPr>
        <w:t xml:space="preserve">pp. </w:t>
      </w:r>
      <w:r>
        <w:rPr>
          <w:rFonts w:ascii="Times New Roman" w:hAnsi="Times New Roman" w:cs="Times New Roman"/>
          <w:sz w:val="24"/>
          <w:szCs w:val="24"/>
        </w:rPr>
        <w:t>1-15.</w:t>
      </w:r>
      <w:r>
        <w:rPr>
          <w:rFonts w:hint="eastAsia" w:ascii="Times New Roman" w:hAnsi="Times New Roman" w:cs="Times New Roman"/>
          <w:sz w:val="24"/>
          <w:szCs w:val="24"/>
        </w:rPr>
        <w:t xml:space="preserve"> Available at: </w:t>
      </w:r>
      <w:r>
        <w:fldChar w:fldCharType="begin"/>
      </w:r>
      <w:r>
        <w:instrText xml:space="preserve"> HYPERLINK "https://doi.org/10.1186/s43093-020-0009-1" </w:instrText>
      </w:r>
      <w:r>
        <w:fldChar w:fldCharType="separate"/>
      </w:r>
      <w:r>
        <w:rPr>
          <w:rStyle w:val="11"/>
          <w:rFonts w:ascii="Times New Roman" w:hAnsi="Times New Roman" w:cs="Times New Roman"/>
          <w:sz w:val="24"/>
          <w:szCs w:val="24"/>
        </w:rPr>
        <w:t>https://doi.org/10.1186/s43093-020-0009-1</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Joseph, J., Sivakumaran, B.</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Mathew, S. (2020) ‘Does loyalty matter? Impact of brand loyalty and sales promotion on brand equity’</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Journal of Promotion Management</w:t>
      </w:r>
      <w:r>
        <w:rPr>
          <w:rFonts w:ascii="Times New Roman" w:hAnsi="Times New Roman" w:cs="Times New Roman"/>
          <w:sz w:val="24"/>
          <w:szCs w:val="24"/>
        </w:rPr>
        <w:t xml:space="preserve">, 26(4), </w:t>
      </w:r>
      <w:r>
        <w:rPr>
          <w:rFonts w:hint="eastAsia" w:ascii="Times New Roman" w:hAnsi="Times New Roman" w:cs="Times New Roman"/>
          <w:sz w:val="24"/>
          <w:szCs w:val="24"/>
        </w:rPr>
        <w:t xml:space="preserve">pp. </w:t>
      </w:r>
      <w:r>
        <w:rPr>
          <w:rFonts w:ascii="Times New Roman" w:hAnsi="Times New Roman" w:cs="Times New Roman"/>
          <w:sz w:val="24"/>
          <w:szCs w:val="24"/>
        </w:rPr>
        <w:t>524-543.</w:t>
      </w:r>
      <w:r>
        <w:rPr>
          <w:rFonts w:hint="eastAsia" w:ascii="Times New Roman" w:hAnsi="Times New Roman" w:cs="Times New Roman"/>
          <w:sz w:val="24"/>
          <w:szCs w:val="24"/>
        </w:rPr>
        <w:t xml:space="preserve"> Available at: </w:t>
      </w:r>
      <w:r>
        <w:fldChar w:fldCharType="begin"/>
      </w:r>
      <w:r>
        <w:instrText xml:space="preserve"> HYPERLINK "https://doi.org/10.1080/10496491.2020.1719953" </w:instrText>
      </w:r>
      <w:r>
        <w:fldChar w:fldCharType="separate"/>
      </w:r>
      <w:r>
        <w:rPr>
          <w:rStyle w:val="11"/>
          <w:rFonts w:ascii="Times New Roman" w:hAnsi="Times New Roman" w:cs="Times New Roman"/>
          <w:sz w:val="24"/>
          <w:szCs w:val="24"/>
        </w:rPr>
        <w:t>https://doi.org/10.1080/10496491.2020.1719953</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Krisbiantoro, D., Sarmini, S.</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Rahmah, A. A. (2023) ‘Designing a Digital Marketing Strategy for UMKM Batik Jati Kusuma using the Sostac Method’</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International Journal of Informatics and Information Systems</w:t>
      </w:r>
      <w:r>
        <w:rPr>
          <w:rFonts w:ascii="Times New Roman" w:hAnsi="Times New Roman" w:cs="Times New Roman"/>
          <w:sz w:val="24"/>
          <w:szCs w:val="24"/>
        </w:rPr>
        <w:t xml:space="preserve">, 6(3), </w:t>
      </w:r>
      <w:r>
        <w:rPr>
          <w:rFonts w:hint="eastAsia" w:ascii="Times New Roman" w:hAnsi="Times New Roman" w:cs="Times New Roman"/>
          <w:sz w:val="24"/>
          <w:szCs w:val="24"/>
        </w:rPr>
        <w:t xml:space="preserve">pp. </w:t>
      </w:r>
      <w:r>
        <w:rPr>
          <w:rFonts w:ascii="Times New Roman" w:hAnsi="Times New Roman" w:cs="Times New Roman"/>
          <w:sz w:val="24"/>
          <w:szCs w:val="24"/>
        </w:rPr>
        <w:t>114-119.</w:t>
      </w:r>
      <w:r>
        <w:rPr>
          <w:rFonts w:hint="eastAsia" w:ascii="Times New Roman" w:hAnsi="Times New Roman" w:cs="Times New Roman"/>
          <w:sz w:val="24"/>
          <w:szCs w:val="24"/>
        </w:rPr>
        <w:t xml:space="preserve"> Available at: </w:t>
      </w:r>
      <w:r>
        <w:fldChar w:fldCharType="begin"/>
      </w:r>
      <w:r>
        <w:instrText xml:space="preserve"> HYPERLINK "https://doi.org/10.47738/ijiis.v6i3.167" </w:instrText>
      </w:r>
      <w:r>
        <w:fldChar w:fldCharType="separate"/>
      </w:r>
      <w:r>
        <w:rPr>
          <w:rStyle w:val="11"/>
          <w:rFonts w:ascii="Times New Roman" w:hAnsi="Times New Roman" w:cs="Times New Roman"/>
          <w:sz w:val="24"/>
          <w:szCs w:val="24"/>
        </w:rPr>
        <w:t>https://doi.org/10.47738/ijiis.v6i3.167</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 xml:space="preserve">Kucher, A., Hełdak, M., Kucher, L. </w:t>
      </w:r>
      <w:r>
        <w:rPr>
          <w:rFonts w:hint="eastAsia" w:ascii="Times New Roman" w:hAnsi="Times New Roman" w:cs="Times New Roman"/>
          <w:sz w:val="24"/>
          <w:szCs w:val="24"/>
        </w:rPr>
        <w:t>and</w:t>
      </w:r>
      <w:r>
        <w:rPr>
          <w:rFonts w:ascii="Times New Roman" w:hAnsi="Times New Roman" w:cs="Times New Roman"/>
          <w:sz w:val="24"/>
          <w:szCs w:val="24"/>
        </w:rPr>
        <w:t xml:space="preserve"> Raszka, B. (2019) ‘Factors forming the consumers’ willingness to pay a price premium for ecological goods in Ukraine’</w:t>
      </w:r>
      <w:r>
        <w:rPr>
          <w:rFonts w:hint="eastAsia" w:ascii="Times New Roman" w:hAnsi="Times New Roman" w:cs="Times New Roman"/>
          <w:sz w:val="24"/>
          <w:szCs w:val="24"/>
        </w:rPr>
        <w:t xml:space="preserve">, </w:t>
      </w:r>
      <w:r>
        <w:rPr>
          <w:rFonts w:ascii="Times New Roman" w:hAnsi="Times New Roman" w:cs="Times New Roman"/>
          <w:i/>
          <w:iCs/>
          <w:sz w:val="24"/>
          <w:szCs w:val="24"/>
        </w:rPr>
        <w:t xml:space="preserve">International </w:t>
      </w:r>
      <w:r>
        <w:rPr>
          <w:rFonts w:hint="eastAsia" w:ascii="Times New Roman" w:hAnsi="Times New Roman" w:cs="Times New Roman"/>
          <w:i/>
          <w:iCs/>
          <w:sz w:val="24"/>
          <w:szCs w:val="24"/>
        </w:rPr>
        <w:t>J</w:t>
      </w:r>
      <w:r>
        <w:rPr>
          <w:rFonts w:ascii="Times New Roman" w:hAnsi="Times New Roman" w:cs="Times New Roman"/>
          <w:i/>
          <w:iCs/>
          <w:sz w:val="24"/>
          <w:szCs w:val="24"/>
        </w:rPr>
        <w:t xml:space="preserve">ournal of </w:t>
      </w:r>
      <w:r>
        <w:rPr>
          <w:rFonts w:hint="eastAsia" w:ascii="Times New Roman" w:hAnsi="Times New Roman" w:cs="Times New Roman"/>
          <w:i/>
          <w:iCs/>
          <w:sz w:val="24"/>
          <w:szCs w:val="24"/>
        </w:rPr>
        <w:t>E</w:t>
      </w:r>
      <w:r>
        <w:rPr>
          <w:rFonts w:ascii="Times New Roman" w:hAnsi="Times New Roman" w:cs="Times New Roman"/>
          <w:i/>
          <w:iCs/>
          <w:sz w:val="24"/>
          <w:szCs w:val="24"/>
        </w:rPr>
        <w:t xml:space="preserve">nvironmental </w:t>
      </w:r>
      <w:r>
        <w:rPr>
          <w:rFonts w:hint="eastAsia" w:ascii="Times New Roman" w:hAnsi="Times New Roman" w:cs="Times New Roman"/>
          <w:i/>
          <w:iCs/>
          <w:sz w:val="24"/>
          <w:szCs w:val="24"/>
        </w:rPr>
        <w:t>R</w:t>
      </w:r>
      <w:r>
        <w:rPr>
          <w:rFonts w:ascii="Times New Roman" w:hAnsi="Times New Roman" w:cs="Times New Roman"/>
          <w:i/>
          <w:iCs/>
          <w:sz w:val="24"/>
          <w:szCs w:val="24"/>
        </w:rPr>
        <w:t xml:space="preserve">esearch and </w:t>
      </w:r>
      <w:r>
        <w:rPr>
          <w:rFonts w:hint="eastAsia" w:ascii="Times New Roman" w:hAnsi="Times New Roman" w:cs="Times New Roman"/>
          <w:i/>
          <w:iCs/>
          <w:sz w:val="24"/>
          <w:szCs w:val="24"/>
        </w:rPr>
        <w:t>P</w:t>
      </w:r>
      <w:r>
        <w:rPr>
          <w:rFonts w:ascii="Times New Roman" w:hAnsi="Times New Roman" w:cs="Times New Roman"/>
          <w:i/>
          <w:iCs/>
          <w:sz w:val="24"/>
          <w:szCs w:val="24"/>
        </w:rPr>
        <w:t xml:space="preserve">ublic </w:t>
      </w:r>
      <w:r>
        <w:rPr>
          <w:rFonts w:hint="eastAsia" w:ascii="Times New Roman" w:hAnsi="Times New Roman" w:cs="Times New Roman"/>
          <w:i/>
          <w:iCs/>
          <w:sz w:val="24"/>
          <w:szCs w:val="24"/>
        </w:rPr>
        <w:t>H</w:t>
      </w:r>
      <w:r>
        <w:rPr>
          <w:rFonts w:ascii="Times New Roman" w:hAnsi="Times New Roman" w:cs="Times New Roman"/>
          <w:i/>
          <w:iCs/>
          <w:sz w:val="24"/>
          <w:szCs w:val="24"/>
        </w:rPr>
        <w:t>ealth</w:t>
      </w:r>
      <w:r>
        <w:rPr>
          <w:rFonts w:ascii="Times New Roman" w:hAnsi="Times New Roman" w:cs="Times New Roman"/>
          <w:sz w:val="24"/>
          <w:szCs w:val="24"/>
        </w:rPr>
        <w:t xml:space="preserve">, 16(5), </w:t>
      </w:r>
      <w:r>
        <w:rPr>
          <w:rFonts w:hint="eastAsia" w:ascii="Times New Roman" w:hAnsi="Times New Roman" w:cs="Times New Roman"/>
          <w:sz w:val="24"/>
          <w:szCs w:val="24"/>
        </w:rPr>
        <w:t xml:space="preserve">pp. </w:t>
      </w:r>
      <w:r>
        <w:rPr>
          <w:rFonts w:ascii="Times New Roman" w:hAnsi="Times New Roman" w:cs="Times New Roman"/>
          <w:sz w:val="24"/>
          <w:szCs w:val="24"/>
        </w:rPr>
        <w:t>859.</w:t>
      </w:r>
      <w:r>
        <w:rPr>
          <w:rFonts w:hint="eastAsia" w:ascii="Times New Roman" w:hAnsi="Times New Roman" w:cs="Times New Roman"/>
          <w:sz w:val="24"/>
          <w:szCs w:val="24"/>
        </w:rPr>
        <w:t xml:space="preserve"> Available at: </w:t>
      </w:r>
      <w:r>
        <w:fldChar w:fldCharType="begin"/>
      </w:r>
      <w:r>
        <w:instrText xml:space="preserve"> HYPERLINK "https://doi.org/10.3390/ijerph16050859" </w:instrText>
      </w:r>
      <w:r>
        <w:fldChar w:fldCharType="separate"/>
      </w:r>
      <w:r>
        <w:rPr>
          <w:rStyle w:val="11"/>
          <w:rFonts w:ascii="Times New Roman" w:hAnsi="Times New Roman" w:cs="Times New Roman"/>
          <w:sz w:val="24"/>
          <w:szCs w:val="24"/>
        </w:rPr>
        <w:t>https://doi.org/10.3390/ijerph16050859</w:t>
      </w:r>
      <w:r>
        <w:rPr>
          <w:rStyle w:val="11"/>
          <w:rFonts w:ascii="Times New Roman" w:hAnsi="Times New Roman" w:cs="Times New Roman"/>
          <w:sz w:val="24"/>
          <w:szCs w:val="24"/>
        </w:rPr>
        <w:fldChar w:fldCharType="end"/>
      </w:r>
      <w:r>
        <w:rPr>
          <w:rFonts w:hint="eastAsia" w:ascii="Times New Roman" w:hAnsi="Times New Roman" w:cs="Times New Roman"/>
          <w:sz w:val="24"/>
          <w:szCs w:val="24"/>
        </w:rPr>
        <w:t xml:space="preserve"> </w:t>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Larson, R. B. (2019) ‘Promoting demand-based pricing’</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Journal of Revenue and Pricing Management</w:t>
      </w:r>
      <w:r>
        <w:rPr>
          <w:rFonts w:ascii="Times New Roman" w:hAnsi="Times New Roman" w:cs="Times New Roman"/>
          <w:sz w:val="24"/>
          <w:szCs w:val="24"/>
        </w:rPr>
        <w:t xml:space="preserve">, 18(1), </w:t>
      </w:r>
      <w:r>
        <w:rPr>
          <w:rFonts w:hint="eastAsia" w:ascii="Times New Roman" w:hAnsi="Times New Roman" w:cs="Times New Roman"/>
          <w:sz w:val="24"/>
          <w:szCs w:val="24"/>
        </w:rPr>
        <w:t xml:space="preserve">pp. </w:t>
      </w:r>
      <w:r>
        <w:rPr>
          <w:rFonts w:ascii="Times New Roman" w:hAnsi="Times New Roman" w:cs="Times New Roman"/>
          <w:sz w:val="24"/>
          <w:szCs w:val="24"/>
        </w:rPr>
        <w:t>42-51.</w:t>
      </w:r>
      <w:r>
        <w:rPr>
          <w:rFonts w:hint="eastAsia" w:ascii="Times New Roman" w:hAnsi="Times New Roman" w:cs="Times New Roman"/>
          <w:sz w:val="24"/>
          <w:szCs w:val="24"/>
        </w:rPr>
        <w:t xml:space="preserve"> Available at: </w:t>
      </w:r>
      <w:r>
        <w:fldChar w:fldCharType="begin"/>
      </w:r>
      <w:r>
        <w:instrText xml:space="preserve"> HYPERLINK "https://doi.org/10.1057/s41272-017-0126-9" </w:instrText>
      </w:r>
      <w:r>
        <w:fldChar w:fldCharType="separate"/>
      </w:r>
      <w:r>
        <w:rPr>
          <w:rStyle w:val="11"/>
          <w:rFonts w:ascii="Times New Roman" w:hAnsi="Times New Roman" w:cs="Times New Roman"/>
          <w:sz w:val="24"/>
          <w:szCs w:val="24"/>
        </w:rPr>
        <w:t>https://doi.org/10.1057/s41272-017-0126-9</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Lierow</w:t>
      </w:r>
      <w:r>
        <w:rPr>
          <w:rFonts w:hint="eastAsia" w:ascii="Times New Roman" w:hAnsi="Times New Roman" w:cs="Times New Roman"/>
          <w:sz w:val="24"/>
          <w:szCs w:val="24"/>
        </w:rPr>
        <w:t xml:space="preserve">, M., </w:t>
      </w:r>
      <w:r>
        <w:rPr>
          <w:rFonts w:ascii="Times New Roman" w:hAnsi="Times New Roman" w:cs="Times New Roman"/>
          <w:sz w:val="24"/>
          <w:szCs w:val="24"/>
        </w:rPr>
        <w:t>Hauser</w:t>
      </w:r>
      <w:r>
        <w:rPr>
          <w:rFonts w:hint="eastAsia" w:ascii="Times New Roman" w:hAnsi="Times New Roman" w:cs="Times New Roman"/>
          <w:sz w:val="24"/>
          <w:szCs w:val="24"/>
        </w:rPr>
        <w:t xml:space="preserve">, K., </w:t>
      </w:r>
      <w:r>
        <w:rPr>
          <w:rFonts w:ascii="Times New Roman" w:hAnsi="Times New Roman" w:cs="Times New Roman"/>
          <w:sz w:val="24"/>
          <w:szCs w:val="24"/>
        </w:rPr>
        <w:t>Herzog</w:t>
      </w:r>
      <w:r>
        <w:rPr>
          <w:rFonts w:hint="eastAsia" w:ascii="Times New Roman" w:hAnsi="Times New Roman" w:cs="Times New Roman"/>
          <w:sz w:val="24"/>
          <w:szCs w:val="24"/>
        </w:rPr>
        <w:t xml:space="preserve">, C. and </w:t>
      </w:r>
      <w:r>
        <w:rPr>
          <w:rFonts w:ascii="Times New Roman" w:hAnsi="Times New Roman" w:cs="Times New Roman"/>
          <w:sz w:val="24"/>
          <w:szCs w:val="24"/>
        </w:rPr>
        <w:t>O’Hara</w:t>
      </w:r>
      <w:r>
        <w:rPr>
          <w:rFonts w:hint="eastAsia" w:ascii="Times New Roman" w:hAnsi="Times New Roman" w:cs="Times New Roman"/>
          <w:sz w:val="24"/>
          <w:szCs w:val="24"/>
        </w:rPr>
        <w:t xml:space="preserve">, T. (2017) </w:t>
      </w:r>
      <w:r>
        <w:rPr>
          <w:rFonts w:hint="eastAsia" w:ascii="Times New Roman" w:hAnsi="Times New Roman" w:cs="Times New Roman"/>
          <w:i/>
          <w:iCs/>
          <w:sz w:val="24"/>
          <w:szCs w:val="24"/>
        </w:rPr>
        <w:t>S</w:t>
      </w:r>
      <w:r>
        <w:rPr>
          <w:rFonts w:ascii="Times New Roman" w:hAnsi="Times New Roman" w:cs="Times New Roman"/>
          <w:i/>
          <w:iCs/>
          <w:sz w:val="24"/>
          <w:szCs w:val="24"/>
        </w:rPr>
        <w:t>upply-chain optimization: levers for rapid ebbtide</w:t>
      </w:r>
      <w:r>
        <w:rPr>
          <w:rFonts w:hint="eastAsia" w:ascii="Times New Roman" w:hAnsi="Times New Roman" w:cs="Times New Roman"/>
          <w:sz w:val="24"/>
          <w:szCs w:val="24"/>
        </w:rPr>
        <w:t xml:space="preserve">. Available at: </w:t>
      </w:r>
      <w:r>
        <w:fldChar w:fldCharType="begin"/>
      </w:r>
      <w:r>
        <w:instrText xml:space="preserve"> HYPERLINK "https://www.oliverwyman.com/our-expertise/insights/2018/may/supply-chain-optimization--levers-for-rapid-ebitda.html#:~:text=In%20either%20situation%2C%20focused%20supply-chain%20optimization%20can%20reduce,can%20expect%20from%20most%20other%20operational%20improvement%20initiatives" </w:instrText>
      </w:r>
      <w:r>
        <w:fldChar w:fldCharType="separate"/>
      </w:r>
      <w:r>
        <w:rPr>
          <w:rStyle w:val="11"/>
          <w:rFonts w:ascii="Times New Roman" w:hAnsi="Times New Roman" w:cs="Times New Roman"/>
          <w:sz w:val="24"/>
          <w:szCs w:val="24"/>
        </w:rPr>
        <w:t>https://www.oliverwyman.com/our-expertise/insights/2018/may/supply-chain-optimization--levers-for-rapid-ebitda.html#:~:text=In%20either%20situation%2C%20focused%20supply-chain%20optimization%20can%20reduce,can%20expect%20from%20most%20other%20operational%20improvement%20initiatives</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(Accessed: </w:t>
      </w:r>
      <w:r>
        <w:rPr>
          <w:rFonts w:hint="eastAsia" w:ascii="Times New Roman" w:hAnsi="Times New Roman" w:cs="Times New Roman"/>
          <w:sz w:val="24"/>
          <w:szCs w:val="24"/>
        </w:rPr>
        <w:t>4</w:t>
      </w:r>
      <w:r>
        <w:rPr>
          <w:rFonts w:ascii="Times New Roman" w:hAnsi="Times New Roman" w:cs="Times New Roman"/>
          <w:sz w:val="24"/>
          <w:szCs w:val="24"/>
        </w:rPr>
        <w:t xml:space="preserve"> </w:t>
      </w:r>
      <w:r>
        <w:rPr>
          <w:rFonts w:hint="eastAsia" w:ascii="Times New Roman" w:hAnsi="Times New Roman" w:cs="Times New Roman"/>
          <w:sz w:val="24"/>
          <w:szCs w:val="24"/>
        </w:rPr>
        <w:t>May</w:t>
      </w:r>
      <w:r>
        <w:rPr>
          <w:rFonts w:ascii="Times New Roman" w:hAnsi="Times New Roman" w:cs="Times New Roman"/>
          <w:sz w:val="24"/>
          <w:szCs w:val="24"/>
        </w:rPr>
        <w:t xml:space="preserve"> 2024).</w:t>
      </w:r>
      <w:r>
        <w:rPr>
          <w:rFonts w:hint="eastAsia" w:ascii="Times New Roman" w:hAnsi="Times New Roman" w:cs="Times New Roman"/>
          <w:sz w:val="24"/>
          <w:szCs w:val="24"/>
        </w:rPr>
        <w:t xml:space="preserve"> </w:t>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Matura, P. (2018) ‘Digital marketing mix strategies in the tourism industry in Zimbabwe: A Masvingo tourism destination perspective’</w:t>
      </w:r>
      <w:r>
        <w:rPr>
          <w:rFonts w:hint="eastAsia" w:ascii="Times New Roman" w:hAnsi="Times New Roman" w:cs="Times New Roman"/>
          <w:sz w:val="24"/>
          <w:szCs w:val="24"/>
        </w:rPr>
        <w:t xml:space="preserve">, </w:t>
      </w:r>
      <w:r>
        <w:rPr>
          <w:rFonts w:ascii="Times New Roman" w:hAnsi="Times New Roman" w:cs="Times New Roman"/>
          <w:i/>
          <w:iCs/>
          <w:sz w:val="24"/>
          <w:szCs w:val="24"/>
        </w:rPr>
        <w:t>International Journal of Engineering and Management Research</w:t>
      </w:r>
      <w:r>
        <w:rPr>
          <w:rFonts w:ascii="Times New Roman" w:hAnsi="Times New Roman" w:cs="Times New Roman"/>
          <w:sz w:val="24"/>
          <w:szCs w:val="24"/>
        </w:rPr>
        <w:t xml:space="preserve">, 8(6), </w:t>
      </w:r>
      <w:r>
        <w:rPr>
          <w:rFonts w:hint="eastAsia" w:ascii="Times New Roman" w:hAnsi="Times New Roman" w:cs="Times New Roman"/>
          <w:sz w:val="24"/>
          <w:szCs w:val="24"/>
        </w:rPr>
        <w:t xml:space="preserve">pp. </w:t>
      </w:r>
      <w:r>
        <w:rPr>
          <w:rFonts w:ascii="Times New Roman" w:hAnsi="Times New Roman" w:cs="Times New Roman"/>
          <w:sz w:val="24"/>
          <w:szCs w:val="24"/>
        </w:rPr>
        <w:t>211-219.</w:t>
      </w:r>
      <w:r>
        <w:rPr>
          <w:rFonts w:hint="eastAsia" w:ascii="Times New Roman" w:hAnsi="Times New Roman" w:cs="Times New Roman"/>
          <w:sz w:val="24"/>
          <w:szCs w:val="24"/>
        </w:rPr>
        <w:t xml:space="preserve"> Available at: </w:t>
      </w:r>
      <w:r>
        <w:fldChar w:fldCharType="begin"/>
      </w:r>
      <w:r>
        <w:instrText xml:space="preserve"> HYPERLINK "https://doi.org/10.31033/ijemr.8.6.22" </w:instrText>
      </w:r>
      <w:r>
        <w:fldChar w:fldCharType="separate"/>
      </w:r>
      <w:r>
        <w:rPr>
          <w:rStyle w:val="11"/>
          <w:rFonts w:ascii="Times New Roman" w:hAnsi="Times New Roman" w:cs="Times New Roman"/>
          <w:sz w:val="24"/>
          <w:szCs w:val="24"/>
        </w:rPr>
        <w:t>https://doi.org/10.31033/ijemr.8.6.22</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Mishra, A., Dutta, P., Jayasankar, S., Jain, P.</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Mathiyazhagan, K. (2023) ‘A review of reverse logistics and closed-loop supply chains in the perspective of circular economy’</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 xml:space="preserve">Benchmarking: </w:t>
      </w:r>
      <w:r>
        <w:rPr>
          <w:rFonts w:hint="eastAsia" w:ascii="Times New Roman" w:hAnsi="Times New Roman" w:cs="Times New Roman"/>
          <w:i/>
          <w:iCs/>
          <w:sz w:val="24"/>
          <w:szCs w:val="24"/>
        </w:rPr>
        <w:t>A</w:t>
      </w:r>
      <w:r>
        <w:rPr>
          <w:rFonts w:ascii="Times New Roman" w:hAnsi="Times New Roman" w:cs="Times New Roman"/>
          <w:i/>
          <w:iCs/>
          <w:sz w:val="24"/>
          <w:szCs w:val="24"/>
        </w:rPr>
        <w:t xml:space="preserve">n </w:t>
      </w:r>
      <w:r>
        <w:rPr>
          <w:rFonts w:hint="eastAsia" w:ascii="Times New Roman" w:hAnsi="Times New Roman" w:cs="Times New Roman"/>
          <w:i/>
          <w:iCs/>
          <w:sz w:val="24"/>
          <w:szCs w:val="24"/>
        </w:rPr>
        <w:t>I</w:t>
      </w:r>
      <w:r>
        <w:rPr>
          <w:rFonts w:ascii="Times New Roman" w:hAnsi="Times New Roman" w:cs="Times New Roman"/>
          <w:i/>
          <w:iCs/>
          <w:sz w:val="24"/>
          <w:szCs w:val="24"/>
        </w:rPr>
        <w:t xml:space="preserve">nternational </w:t>
      </w:r>
      <w:r>
        <w:rPr>
          <w:rFonts w:hint="eastAsia" w:ascii="Times New Roman" w:hAnsi="Times New Roman" w:cs="Times New Roman"/>
          <w:i/>
          <w:iCs/>
          <w:sz w:val="24"/>
          <w:szCs w:val="24"/>
        </w:rPr>
        <w:t>J</w:t>
      </w:r>
      <w:r>
        <w:rPr>
          <w:rFonts w:ascii="Times New Roman" w:hAnsi="Times New Roman" w:cs="Times New Roman"/>
          <w:i/>
          <w:iCs/>
          <w:sz w:val="24"/>
          <w:szCs w:val="24"/>
        </w:rPr>
        <w:t>ournal</w:t>
      </w:r>
      <w:r>
        <w:rPr>
          <w:rFonts w:ascii="Times New Roman" w:hAnsi="Times New Roman" w:cs="Times New Roman"/>
          <w:sz w:val="24"/>
          <w:szCs w:val="24"/>
        </w:rPr>
        <w:t xml:space="preserve">, 30(3), </w:t>
      </w:r>
      <w:r>
        <w:rPr>
          <w:rFonts w:hint="eastAsia" w:ascii="Times New Roman" w:hAnsi="Times New Roman" w:cs="Times New Roman"/>
          <w:sz w:val="24"/>
          <w:szCs w:val="24"/>
        </w:rPr>
        <w:t xml:space="preserve">pp. </w:t>
      </w:r>
      <w:r>
        <w:rPr>
          <w:rFonts w:ascii="Times New Roman" w:hAnsi="Times New Roman" w:cs="Times New Roman"/>
          <w:sz w:val="24"/>
          <w:szCs w:val="24"/>
        </w:rPr>
        <w:t>975-1020.</w:t>
      </w:r>
      <w:r>
        <w:rPr>
          <w:rFonts w:hint="eastAsia" w:ascii="Times New Roman" w:hAnsi="Times New Roman" w:cs="Times New Roman"/>
          <w:sz w:val="24"/>
          <w:szCs w:val="24"/>
        </w:rPr>
        <w:t xml:space="preserve"> Available at: </w:t>
      </w:r>
      <w:r>
        <w:fldChar w:fldCharType="begin"/>
      </w:r>
      <w:r>
        <w:instrText xml:space="preserve"> HYPERLINK "https://doi.org/10.1108/BIJ-11-2021-0669" </w:instrText>
      </w:r>
      <w:r>
        <w:fldChar w:fldCharType="separate"/>
      </w:r>
      <w:r>
        <w:rPr>
          <w:rStyle w:val="11"/>
          <w:rFonts w:ascii="Times New Roman" w:hAnsi="Times New Roman" w:cs="Times New Roman"/>
          <w:sz w:val="24"/>
          <w:szCs w:val="24"/>
        </w:rPr>
        <w:t>https://doi.org/10.1108/BIJ-11-2021-0669</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color w:val="000000" w:themeColor="text1"/>
          <w:sz w:val="24"/>
          <w:szCs w:val="24"/>
          <w14:textFill>
            <w14:solidFill>
              <w14:schemeClr w14:val="tx1"/>
            </w14:solidFill>
          </w14:textFill>
        </w:rPr>
        <w:t>Ogbeiwi, O. (2017) ‘Why written objectives need to be really SMART’</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i/>
          <w:iCs/>
          <w:color w:val="000000" w:themeColor="text1"/>
          <w:sz w:val="24"/>
          <w:szCs w:val="24"/>
          <w14:textFill>
            <w14:solidFill>
              <w14:schemeClr w14:val="tx1"/>
            </w14:solidFill>
          </w14:textFill>
        </w:rPr>
        <w:t>British Journal of Healthcare Management</w:t>
      </w:r>
      <w:r>
        <w:rPr>
          <w:rFonts w:ascii="Times New Roman" w:hAnsi="Times New Roman" w:cs="Times New Roman"/>
          <w:color w:val="000000" w:themeColor="text1"/>
          <w:sz w:val="24"/>
          <w:szCs w:val="24"/>
          <w14:textFill>
            <w14:solidFill>
              <w14:schemeClr w14:val="tx1"/>
            </w14:solidFill>
          </w14:textFill>
        </w:rPr>
        <w:t xml:space="preserve">, 23(7), </w:t>
      </w:r>
      <w:r>
        <w:rPr>
          <w:rFonts w:hint="eastAsia" w:ascii="Times New Roman" w:hAnsi="Times New Roman" w:cs="Times New Roman"/>
          <w:color w:val="000000" w:themeColor="text1"/>
          <w:sz w:val="24"/>
          <w:szCs w:val="24"/>
          <w14:textFill>
            <w14:solidFill>
              <w14:schemeClr w14:val="tx1"/>
            </w14:solidFill>
          </w14:textFill>
        </w:rPr>
        <w:t xml:space="preserve">pp. </w:t>
      </w:r>
      <w:r>
        <w:rPr>
          <w:rFonts w:ascii="Times New Roman" w:hAnsi="Times New Roman" w:cs="Times New Roman"/>
          <w:color w:val="000000" w:themeColor="text1"/>
          <w:sz w:val="24"/>
          <w:szCs w:val="24"/>
          <w14:textFill>
            <w14:solidFill>
              <w14:schemeClr w14:val="tx1"/>
            </w14:solidFill>
          </w14:textFill>
        </w:rPr>
        <w:t>324-336.</w:t>
      </w:r>
      <w:r>
        <w:rPr>
          <w:rFonts w:hint="eastAsia" w:ascii="Times New Roman" w:hAnsi="Times New Roman" w:cs="Times New Roman"/>
          <w:color w:val="000000" w:themeColor="text1"/>
          <w:sz w:val="24"/>
          <w:szCs w:val="24"/>
          <w14:textFill>
            <w14:solidFill>
              <w14:schemeClr w14:val="tx1"/>
            </w14:solidFill>
          </w14:textFill>
        </w:rPr>
        <w:t xml:space="preserve"> </w:t>
      </w:r>
      <w:r>
        <w:rPr>
          <w:rFonts w:hint="eastAsia" w:ascii="Times New Roman" w:hAnsi="Times New Roman" w:cs="Times New Roman"/>
          <w:sz w:val="24"/>
          <w:szCs w:val="24"/>
        </w:rPr>
        <w:t xml:space="preserve">Available at: </w:t>
      </w:r>
      <w:r>
        <w:fldChar w:fldCharType="begin"/>
      </w:r>
      <w:r>
        <w:instrText xml:space="preserve"> HYPERLINK "https://doi.org/10.12968/bjhc.2017.23.7.324" </w:instrText>
      </w:r>
      <w:r>
        <w:fldChar w:fldCharType="separate"/>
      </w:r>
      <w:r>
        <w:rPr>
          <w:rStyle w:val="11"/>
          <w:rFonts w:ascii="Times New Roman" w:hAnsi="Times New Roman" w:cs="Times New Roman"/>
          <w:sz w:val="24"/>
          <w:szCs w:val="24"/>
        </w:rPr>
        <w:t>https://doi.org/10.12968/bjhc.2017.23.7.324</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 xml:space="preserve">Paesbrugghe, B., Sharma, A., Rangarajan, D. </w:t>
      </w:r>
      <w:r>
        <w:rPr>
          <w:rFonts w:hint="eastAsia" w:ascii="Times New Roman" w:hAnsi="Times New Roman" w:cs="Times New Roman"/>
          <w:sz w:val="24"/>
          <w:szCs w:val="24"/>
        </w:rPr>
        <w:t>and</w:t>
      </w:r>
      <w:r>
        <w:rPr>
          <w:rFonts w:ascii="Times New Roman" w:hAnsi="Times New Roman" w:cs="Times New Roman"/>
          <w:sz w:val="24"/>
          <w:szCs w:val="24"/>
        </w:rPr>
        <w:t xml:space="preserve"> Syam, N. (2018) ‘Personal selling and the purchasing function: where do we go from here?’</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Journal of Personal Selling &amp; Sales Management</w:t>
      </w:r>
      <w:r>
        <w:rPr>
          <w:rFonts w:ascii="Times New Roman" w:hAnsi="Times New Roman" w:cs="Times New Roman"/>
          <w:sz w:val="24"/>
          <w:szCs w:val="24"/>
        </w:rPr>
        <w:t xml:space="preserve">, 38(1), </w:t>
      </w:r>
      <w:r>
        <w:rPr>
          <w:rFonts w:hint="eastAsia" w:ascii="Times New Roman" w:hAnsi="Times New Roman" w:cs="Times New Roman"/>
          <w:sz w:val="24"/>
          <w:szCs w:val="24"/>
        </w:rPr>
        <w:t xml:space="preserve">pp. </w:t>
      </w:r>
      <w:r>
        <w:rPr>
          <w:rFonts w:ascii="Times New Roman" w:hAnsi="Times New Roman" w:cs="Times New Roman"/>
          <w:sz w:val="24"/>
          <w:szCs w:val="24"/>
        </w:rPr>
        <w:t>123-143.</w:t>
      </w:r>
      <w:r>
        <w:rPr>
          <w:rFonts w:hint="eastAsia" w:ascii="Times New Roman" w:hAnsi="Times New Roman" w:cs="Times New Roman"/>
          <w:sz w:val="24"/>
          <w:szCs w:val="24"/>
        </w:rPr>
        <w:t xml:space="preserve"> Available at: </w:t>
      </w:r>
      <w:r>
        <w:fldChar w:fldCharType="begin"/>
      </w:r>
      <w:r>
        <w:instrText xml:space="preserve"> HYPERLINK "https://doi.org/10.1080/08853134.2018.1425881" </w:instrText>
      </w:r>
      <w:r>
        <w:fldChar w:fldCharType="separate"/>
      </w:r>
      <w:r>
        <w:rPr>
          <w:rStyle w:val="11"/>
          <w:rFonts w:ascii="Times New Roman" w:hAnsi="Times New Roman" w:cs="Times New Roman"/>
          <w:sz w:val="24"/>
          <w:szCs w:val="24"/>
        </w:rPr>
        <w:t>https://doi.org/10.1080/08853134.2018.1425881</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hint="eastAsia" w:ascii="Times New Roman" w:hAnsi="Times New Roman" w:cs="Times New Roman"/>
          <w:sz w:val="24"/>
          <w:szCs w:val="24"/>
        </w:rPr>
        <w:t xml:space="preserve">PN Staff (2020) </w:t>
      </w:r>
      <w:r>
        <w:rPr>
          <w:rFonts w:ascii="Times New Roman" w:hAnsi="Times New Roman" w:cs="Times New Roman"/>
          <w:i/>
          <w:iCs/>
          <w:sz w:val="24"/>
          <w:szCs w:val="24"/>
        </w:rPr>
        <w:t>60% of consumers ‘need help’ to reduce the amount of plastic they use</w:t>
      </w:r>
      <w:r>
        <w:rPr>
          <w:rFonts w:hint="eastAsia" w:ascii="Times New Roman" w:hAnsi="Times New Roman" w:cs="Times New Roman"/>
          <w:sz w:val="24"/>
          <w:szCs w:val="24"/>
        </w:rPr>
        <w:t xml:space="preserve">. Available at: </w:t>
      </w:r>
      <w:r>
        <w:fldChar w:fldCharType="begin"/>
      </w:r>
      <w:r>
        <w:instrText xml:space="preserve"> HYPERLINK "https://www.packagingnews.co.uk/news/environment/recycling/mpa-researches-uk-publics-plastic-recycling-27-01-2020" </w:instrText>
      </w:r>
      <w:r>
        <w:fldChar w:fldCharType="separate"/>
      </w:r>
      <w:r>
        <w:rPr>
          <w:rStyle w:val="11"/>
          <w:rFonts w:ascii="Times New Roman" w:hAnsi="Times New Roman" w:cs="Times New Roman"/>
          <w:sz w:val="24"/>
          <w:szCs w:val="24"/>
        </w:rPr>
        <w:t>https://www.packagingnews.co.uk/news/environment/recycling/mpa-researches-uk-publics-plastic-recycling-27-01-2020</w:t>
      </w:r>
      <w:r>
        <w:rPr>
          <w:rStyle w:val="11"/>
          <w:rFonts w:ascii="Times New Roman" w:hAnsi="Times New Roman" w:cs="Times New Roman"/>
          <w:sz w:val="24"/>
          <w:szCs w:val="24"/>
        </w:rPr>
        <w:fldChar w:fldCharType="end"/>
      </w:r>
      <w:r>
        <w:rPr>
          <w:rFonts w:hint="eastAsia" w:ascii="Times New Roman" w:hAnsi="Times New Roman" w:cs="Times New Roman"/>
          <w:sz w:val="24"/>
          <w:szCs w:val="24"/>
        </w:rPr>
        <w:t xml:space="preserve"> </w:t>
      </w:r>
      <w:r>
        <w:rPr>
          <w:rFonts w:ascii="Times New Roman" w:hAnsi="Times New Roman" w:cs="Times New Roman"/>
          <w:sz w:val="24"/>
          <w:szCs w:val="24"/>
        </w:rPr>
        <w:t xml:space="preserve">(Accessed: </w:t>
      </w:r>
      <w:r>
        <w:rPr>
          <w:rFonts w:hint="eastAsia" w:ascii="Times New Roman" w:hAnsi="Times New Roman" w:cs="Times New Roman"/>
          <w:sz w:val="24"/>
          <w:szCs w:val="24"/>
        </w:rPr>
        <w:t>4</w:t>
      </w:r>
      <w:r>
        <w:rPr>
          <w:rFonts w:ascii="Times New Roman" w:hAnsi="Times New Roman" w:cs="Times New Roman"/>
          <w:sz w:val="24"/>
          <w:szCs w:val="24"/>
        </w:rPr>
        <w:t xml:space="preserve"> </w:t>
      </w:r>
      <w:r>
        <w:rPr>
          <w:rFonts w:hint="eastAsia" w:ascii="Times New Roman" w:hAnsi="Times New Roman" w:cs="Times New Roman"/>
          <w:sz w:val="24"/>
          <w:szCs w:val="24"/>
        </w:rPr>
        <w:t>May</w:t>
      </w:r>
      <w:r>
        <w:rPr>
          <w:rFonts w:ascii="Times New Roman" w:hAnsi="Times New Roman" w:cs="Times New Roman"/>
          <w:sz w:val="24"/>
          <w:szCs w:val="24"/>
        </w:rPr>
        <w:t xml:space="preserve"> 2024).</w:t>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Sharon, A.</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Dori, D. (2017) ‘Model‐Based Project‐Product Lifecycle Management and Gantt Chart Models: A Comparative Study’</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Systems engineering</w:t>
      </w:r>
      <w:r>
        <w:rPr>
          <w:rFonts w:ascii="Times New Roman" w:hAnsi="Times New Roman" w:cs="Times New Roman"/>
          <w:sz w:val="24"/>
          <w:szCs w:val="24"/>
        </w:rPr>
        <w:t xml:space="preserve">, 20(5), </w:t>
      </w:r>
      <w:r>
        <w:rPr>
          <w:rFonts w:hint="eastAsia" w:ascii="Times New Roman" w:hAnsi="Times New Roman" w:cs="Times New Roman"/>
          <w:sz w:val="24"/>
          <w:szCs w:val="24"/>
        </w:rPr>
        <w:t xml:space="preserve">pp. </w:t>
      </w:r>
      <w:r>
        <w:rPr>
          <w:rFonts w:ascii="Times New Roman" w:hAnsi="Times New Roman" w:cs="Times New Roman"/>
          <w:sz w:val="24"/>
          <w:szCs w:val="24"/>
        </w:rPr>
        <w:t>447-466.</w:t>
      </w:r>
      <w:r>
        <w:rPr>
          <w:rFonts w:hint="eastAsia" w:ascii="Times New Roman" w:hAnsi="Times New Roman" w:cs="Times New Roman"/>
          <w:sz w:val="24"/>
          <w:szCs w:val="24"/>
        </w:rPr>
        <w:t xml:space="preserve"> Available at: </w:t>
      </w:r>
      <w:r>
        <w:fldChar w:fldCharType="begin"/>
      </w:r>
      <w:r>
        <w:instrText xml:space="preserve"> HYPERLINK "https://doi.org/10.1002/sys.21407" </w:instrText>
      </w:r>
      <w:r>
        <w:fldChar w:fldCharType="separate"/>
      </w:r>
      <w:r>
        <w:rPr>
          <w:rStyle w:val="11"/>
          <w:rFonts w:ascii="Times New Roman" w:hAnsi="Times New Roman" w:cs="Times New Roman"/>
          <w:sz w:val="24"/>
          <w:szCs w:val="24"/>
        </w:rPr>
        <w:t>https://doi.org/10.1002/sys.21407</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Song, M., Xing, X., Duan, Y., Cohen, J.</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Mou, J. (2022) ‘Will artificial intelligence replace human customer service? The impact of communication quality and privacy risks on adoption intention’</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xml:space="preserve">, 66, </w:t>
      </w:r>
      <w:r>
        <w:rPr>
          <w:rFonts w:hint="eastAsia" w:ascii="Times New Roman" w:hAnsi="Times New Roman" w:cs="Times New Roman"/>
          <w:sz w:val="24"/>
          <w:szCs w:val="24"/>
        </w:rPr>
        <w:t xml:space="preserve">pp. </w:t>
      </w:r>
      <w:r>
        <w:rPr>
          <w:rFonts w:ascii="Times New Roman" w:hAnsi="Times New Roman" w:cs="Times New Roman"/>
          <w:sz w:val="24"/>
          <w:szCs w:val="24"/>
        </w:rPr>
        <w:t>102900.</w:t>
      </w:r>
      <w:r>
        <w:rPr>
          <w:rFonts w:hint="eastAsia" w:ascii="Times New Roman" w:hAnsi="Times New Roman" w:cs="Times New Roman"/>
          <w:sz w:val="24"/>
          <w:szCs w:val="24"/>
        </w:rPr>
        <w:t xml:space="preserve"> </w:t>
      </w:r>
      <w:r>
        <w:fldChar w:fldCharType="begin"/>
      </w:r>
      <w:r>
        <w:instrText xml:space="preserve"> HYPERLINK "https://doi.org/10.1016/j.jretconser.2021.102900" </w:instrText>
      </w:r>
      <w:r>
        <w:fldChar w:fldCharType="separate"/>
      </w:r>
      <w:r>
        <w:rPr>
          <w:rStyle w:val="11"/>
          <w:rFonts w:ascii="Times New Roman" w:hAnsi="Times New Roman" w:cs="Times New Roman"/>
          <w:sz w:val="24"/>
          <w:szCs w:val="24"/>
        </w:rPr>
        <w:t>https://doi.org/10.1016/j.jretconser.2021.102900</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hint="eastAsia" w:ascii="Times New Roman" w:hAnsi="Times New Roman" w:cs="Times New Roman"/>
          <w:sz w:val="24"/>
          <w:szCs w:val="24"/>
        </w:rPr>
        <w:t xml:space="preserve">Trivium Packaging. (2021) </w:t>
      </w:r>
      <w:r>
        <w:rPr>
          <w:rFonts w:ascii="Times New Roman" w:hAnsi="Times New Roman" w:cs="Times New Roman"/>
          <w:i/>
          <w:iCs/>
          <w:sz w:val="24"/>
          <w:szCs w:val="24"/>
        </w:rPr>
        <w:t>2021 GLOBAL BUYING GREEN REPORT Sustainable Packaging in a Year of Unparalleled Disruption</w:t>
      </w:r>
      <w:r>
        <w:rPr>
          <w:rFonts w:hint="eastAsia" w:ascii="Times New Roman" w:hAnsi="Times New Roman" w:cs="Times New Roman"/>
          <w:sz w:val="24"/>
          <w:szCs w:val="24"/>
        </w:rPr>
        <w:t xml:space="preserve">. Available at: </w:t>
      </w:r>
      <w:r>
        <w:fldChar w:fldCharType="begin"/>
      </w:r>
      <w:r>
        <w:instrText xml:space="preserve"> HYPERLINK "https://www.triviumpackaging.com/media/zvthtp1t/2021buyinggreenreport.pdf" </w:instrText>
      </w:r>
      <w:r>
        <w:fldChar w:fldCharType="separate"/>
      </w:r>
      <w:r>
        <w:rPr>
          <w:rStyle w:val="11"/>
          <w:rFonts w:ascii="Times New Roman" w:hAnsi="Times New Roman" w:cs="Times New Roman"/>
          <w:sz w:val="24"/>
          <w:szCs w:val="24"/>
        </w:rPr>
        <w:t>https://www.triviumpackaging.com/media/zvthtp1t/2021buyinggreenreport.pdf</w:t>
      </w:r>
      <w:r>
        <w:rPr>
          <w:rStyle w:val="11"/>
          <w:rFonts w:ascii="Times New Roman" w:hAnsi="Times New Roman" w:cs="Times New Roman"/>
          <w:sz w:val="24"/>
          <w:szCs w:val="24"/>
        </w:rPr>
        <w:fldChar w:fldCharType="end"/>
      </w:r>
      <w:r>
        <w:rPr>
          <w:rFonts w:hint="eastAsia" w:ascii="Times New Roman" w:hAnsi="Times New Roman" w:cs="Times New Roman"/>
          <w:sz w:val="24"/>
          <w:szCs w:val="24"/>
        </w:rPr>
        <w:t xml:space="preserve"> </w:t>
      </w:r>
      <w:r>
        <w:rPr>
          <w:rFonts w:ascii="Times New Roman" w:hAnsi="Times New Roman" w:cs="Times New Roman"/>
          <w:sz w:val="24"/>
          <w:szCs w:val="24"/>
        </w:rPr>
        <w:t xml:space="preserve">(Accessed: </w:t>
      </w:r>
      <w:r>
        <w:rPr>
          <w:rFonts w:hint="eastAsia" w:ascii="Times New Roman" w:hAnsi="Times New Roman" w:cs="Times New Roman"/>
          <w:sz w:val="24"/>
          <w:szCs w:val="24"/>
        </w:rPr>
        <w:t>4</w:t>
      </w:r>
      <w:r>
        <w:rPr>
          <w:rFonts w:ascii="Times New Roman" w:hAnsi="Times New Roman" w:cs="Times New Roman"/>
          <w:sz w:val="24"/>
          <w:szCs w:val="24"/>
        </w:rPr>
        <w:t xml:space="preserve"> </w:t>
      </w:r>
      <w:r>
        <w:rPr>
          <w:rFonts w:hint="eastAsia" w:ascii="Times New Roman" w:hAnsi="Times New Roman" w:cs="Times New Roman"/>
          <w:sz w:val="24"/>
          <w:szCs w:val="24"/>
        </w:rPr>
        <w:t>May</w:t>
      </w:r>
      <w:r>
        <w:rPr>
          <w:rFonts w:ascii="Times New Roman" w:hAnsi="Times New Roman" w:cs="Times New Roman"/>
          <w:sz w:val="24"/>
          <w:szCs w:val="24"/>
        </w:rPr>
        <w:t xml:space="preserve"> 2024).</w:t>
      </w:r>
    </w:p>
    <w:p>
      <w:pPr>
        <w:spacing w:line="480" w:lineRule="auto"/>
        <w:ind w:left="480" w:hanging="480" w:hangingChars="200"/>
        <w:contextualSpacing/>
        <w:rPr>
          <w:rFonts w:ascii="Times New Roman" w:hAnsi="Times New Roman" w:cs="Times New Roman"/>
          <w:sz w:val="24"/>
          <w:szCs w:val="24"/>
        </w:rPr>
      </w:pPr>
      <w:r>
        <w:rPr>
          <w:rFonts w:ascii="Times New Roman" w:hAnsi="Times New Roman" w:cs="Times New Roman"/>
          <w:sz w:val="24"/>
          <w:szCs w:val="24"/>
        </w:rPr>
        <w:t>Tuan, L. T. (2018) ‘Activating tourists' citizenship behavior for the environment: the roles of CSR and frontline employees' citizenship behavior for the environment’</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Journal of Sustainable Tourism</w:t>
      </w:r>
      <w:r>
        <w:rPr>
          <w:rFonts w:ascii="Times New Roman" w:hAnsi="Times New Roman" w:cs="Times New Roman"/>
          <w:sz w:val="24"/>
          <w:szCs w:val="24"/>
        </w:rPr>
        <w:t xml:space="preserve">, 26(7), </w:t>
      </w:r>
      <w:r>
        <w:rPr>
          <w:rFonts w:hint="eastAsia" w:ascii="Times New Roman" w:hAnsi="Times New Roman" w:cs="Times New Roman"/>
          <w:sz w:val="24"/>
          <w:szCs w:val="24"/>
        </w:rPr>
        <w:t xml:space="preserve">pp. </w:t>
      </w:r>
      <w:r>
        <w:rPr>
          <w:rFonts w:ascii="Times New Roman" w:hAnsi="Times New Roman" w:cs="Times New Roman"/>
          <w:sz w:val="24"/>
          <w:szCs w:val="24"/>
        </w:rPr>
        <w:t>1178-1203.</w:t>
      </w:r>
      <w:r>
        <w:rPr>
          <w:rFonts w:hint="eastAsia" w:ascii="Times New Roman" w:hAnsi="Times New Roman" w:cs="Times New Roman"/>
          <w:sz w:val="24"/>
          <w:szCs w:val="24"/>
        </w:rPr>
        <w:t xml:space="preserve"> Available at: </w:t>
      </w:r>
      <w:r>
        <w:fldChar w:fldCharType="begin"/>
      </w:r>
      <w:r>
        <w:instrText xml:space="preserve"> HYPERLINK "https://doi.org/10.1080/09669582.2017.1330337" </w:instrText>
      </w:r>
      <w:r>
        <w:fldChar w:fldCharType="separate"/>
      </w:r>
      <w:r>
        <w:rPr>
          <w:rStyle w:val="11"/>
          <w:rFonts w:ascii="Times New Roman" w:hAnsi="Times New Roman" w:cs="Times New Roman"/>
          <w:sz w:val="24"/>
          <w:szCs w:val="24"/>
        </w:rPr>
        <w:t>https://doi.org/10.1080/09669582.2017.1330337</w:t>
      </w:r>
      <w:r>
        <w:rPr>
          <w:rStyle w:val="11"/>
          <w:rFonts w:ascii="Times New Roman" w:hAnsi="Times New Roman" w:cs="Times New Roman"/>
          <w:sz w:val="24"/>
          <w:szCs w:val="24"/>
        </w:rPr>
        <w:fldChar w:fldCharType="end"/>
      </w:r>
    </w:p>
    <w:p>
      <w:pPr>
        <w:spacing w:line="480" w:lineRule="auto"/>
        <w:ind w:left="480" w:hanging="480" w:hangingChars="200"/>
        <w:contextualSpacing/>
        <w:rPr>
          <w:rFonts w:ascii="Times New Roman" w:hAnsi="Times New Roman" w:cs="Times New Roman"/>
          <w:sz w:val="24"/>
          <w:szCs w:val="24"/>
        </w:rPr>
      </w:pPr>
      <w:r>
        <w:rPr>
          <w:rFonts w:hint="eastAsia" w:ascii="Times New Roman" w:hAnsi="Times New Roman" w:cs="Times New Roman"/>
          <w:sz w:val="24"/>
          <w:szCs w:val="24"/>
        </w:rPr>
        <w:t xml:space="preserve">World Economic Forum. (2021) </w:t>
      </w:r>
      <w:r>
        <w:rPr>
          <w:rFonts w:ascii="Times New Roman" w:hAnsi="Times New Roman" w:cs="Times New Roman"/>
          <w:i/>
          <w:iCs/>
          <w:sz w:val="24"/>
          <w:szCs w:val="24"/>
        </w:rPr>
        <w:t>The global eco-wakening: how consumers are driving sustainability</w:t>
      </w:r>
      <w:r>
        <w:rPr>
          <w:rFonts w:hint="eastAsia" w:ascii="Times New Roman" w:hAnsi="Times New Roman" w:cs="Times New Roman"/>
          <w:sz w:val="24"/>
          <w:szCs w:val="24"/>
        </w:rPr>
        <w:t xml:space="preserve">. Available at: </w:t>
      </w:r>
      <w:r>
        <w:fldChar w:fldCharType="begin"/>
      </w:r>
      <w:r>
        <w:instrText xml:space="preserve"> HYPERLINK "https://www.weforum.org/agenda/2021/05/eco-wakening-consumers-driving-sustainability/" </w:instrText>
      </w:r>
      <w:r>
        <w:fldChar w:fldCharType="separate"/>
      </w:r>
      <w:r>
        <w:rPr>
          <w:rStyle w:val="11"/>
          <w:rFonts w:ascii="Times New Roman" w:hAnsi="Times New Roman" w:cs="Times New Roman"/>
          <w:sz w:val="24"/>
          <w:szCs w:val="24"/>
        </w:rPr>
        <w:t>https://www.weforum.org/agenda/2021/05/eco-wakening-consumers-driving-sustainability/</w:t>
      </w:r>
      <w:r>
        <w:rPr>
          <w:rStyle w:val="11"/>
          <w:rFonts w:ascii="Times New Roman" w:hAnsi="Times New Roman" w:cs="Times New Roman"/>
          <w:sz w:val="24"/>
          <w:szCs w:val="24"/>
        </w:rPr>
        <w:fldChar w:fldCharType="end"/>
      </w:r>
      <w:r>
        <w:rPr>
          <w:rFonts w:hint="eastAsia" w:ascii="Times New Roman" w:hAnsi="Times New Roman" w:cs="Times New Roman"/>
          <w:sz w:val="24"/>
          <w:szCs w:val="24"/>
        </w:rPr>
        <w:t xml:space="preserve"> </w:t>
      </w:r>
      <w:r>
        <w:rPr>
          <w:rFonts w:ascii="Times New Roman" w:hAnsi="Times New Roman" w:cs="Times New Roman"/>
          <w:sz w:val="24"/>
          <w:szCs w:val="24"/>
        </w:rPr>
        <w:t xml:space="preserve">(Accessed: </w:t>
      </w:r>
      <w:r>
        <w:rPr>
          <w:rFonts w:hint="eastAsia" w:ascii="Times New Roman" w:hAnsi="Times New Roman" w:cs="Times New Roman"/>
          <w:sz w:val="24"/>
          <w:szCs w:val="24"/>
        </w:rPr>
        <w:t>4</w:t>
      </w:r>
      <w:r>
        <w:rPr>
          <w:rFonts w:ascii="Times New Roman" w:hAnsi="Times New Roman" w:cs="Times New Roman"/>
          <w:sz w:val="24"/>
          <w:szCs w:val="24"/>
        </w:rPr>
        <w:t xml:space="preserve"> </w:t>
      </w:r>
      <w:r>
        <w:rPr>
          <w:rFonts w:hint="eastAsia" w:ascii="Times New Roman" w:hAnsi="Times New Roman" w:cs="Times New Roman"/>
          <w:sz w:val="24"/>
          <w:szCs w:val="24"/>
        </w:rPr>
        <w:t>May</w:t>
      </w:r>
      <w:r>
        <w:rPr>
          <w:rFonts w:ascii="Times New Roman" w:hAnsi="Times New Roman" w:cs="Times New Roman"/>
          <w:sz w:val="24"/>
          <w:szCs w:val="24"/>
        </w:rPr>
        <w:t xml:space="preserve"> 2024).</w:t>
      </w:r>
    </w:p>
    <w:p>
      <w:pPr>
        <w:spacing w:line="480" w:lineRule="auto"/>
        <w:ind w:left="480" w:hanging="480" w:hangingChars="200"/>
        <w:contextualSpacing/>
        <w:rPr>
          <w:rFonts w:hint="eastAsia" w:ascii="Times New Roman" w:hAnsi="Times New Roman" w:cs="Times New Roman"/>
          <w:sz w:val="24"/>
          <w:szCs w:val="24"/>
        </w:rPr>
      </w:pPr>
    </w:p>
    <w:p>
      <w:pPr>
        <w:spacing w:line="360" w:lineRule="auto"/>
        <w:contextualSpacing/>
        <w:rPr>
          <w:rFonts w:hint="eastAsia" w:ascii="Times New Roman" w:hAnsi="Times New Roman" w:cs="Times New Roman"/>
          <w:sz w:val="24"/>
          <w:szCs w:val="24"/>
        </w:rPr>
      </w:pPr>
      <w:bookmarkStart w:id="24" w:name="_GoBack"/>
      <w:bookmarkEnd w:id="2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kzYWJmNjMxMzI2NWRkOTFiMDNhZDkxNjIzMGE5NDgifQ=="/>
  </w:docVars>
  <w:rsids>
    <w:rsidRoot w:val="009B1B1D"/>
    <w:rsid w:val="00036069"/>
    <w:rsid w:val="00064B29"/>
    <w:rsid w:val="000740D2"/>
    <w:rsid w:val="000B471E"/>
    <w:rsid w:val="000C2007"/>
    <w:rsid w:val="000C45F9"/>
    <w:rsid w:val="000E6ECF"/>
    <w:rsid w:val="00156EC3"/>
    <w:rsid w:val="001704F5"/>
    <w:rsid w:val="0017254A"/>
    <w:rsid w:val="001732A2"/>
    <w:rsid w:val="001A31AE"/>
    <w:rsid w:val="001B60F5"/>
    <w:rsid w:val="001C687E"/>
    <w:rsid w:val="001D1024"/>
    <w:rsid w:val="001D605B"/>
    <w:rsid w:val="001E3D69"/>
    <w:rsid w:val="002002A6"/>
    <w:rsid w:val="002075CE"/>
    <w:rsid w:val="002114EF"/>
    <w:rsid w:val="002506DB"/>
    <w:rsid w:val="00292275"/>
    <w:rsid w:val="002B4DB1"/>
    <w:rsid w:val="002D1221"/>
    <w:rsid w:val="002F2787"/>
    <w:rsid w:val="00312B21"/>
    <w:rsid w:val="00341E11"/>
    <w:rsid w:val="003D3827"/>
    <w:rsid w:val="003F489D"/>
    <w:rsid w:val="003F7C41"/>
    <w:rsid w:val="00450F93"/>
    <w:rsid w:val="00496FDB"/>
    <w:rsid w:val="004B7643"/>
    <w:rsid w:val="004D7B44"/>
    <w:rsid w:val="00510174"/>
    <w:rsid w:val="0054466C"/>
    <w:rsid w:val="00552934"/>
    <w:rsid w:val="00554DC7"/>
    <w:rsid w:val="00563089"/>
    <w:rsid w:val="00567599"/>
    <w:rsid w:val="005E3E17"/>
    <w:rsid w:val="005F7FAD"/>
    <w:rsid w:val="00604F43"/>
    <w:rsid w:val="006413B6"/>
    <w:rsid w:val="00662908"/>
    <w:rsid w:val="00684753"/>
    <w:rsid w:val="006A2DE4"/>
    <w:rsid w:val="006E44D7"/>
    <w:rsid w:val="00725F69"/>
    <w:rsid w:val="00726DEB"/>
    <w:rsid w:val="007B630C"/>
    <w:rsid w:val="007C56A2"/>
    <w:rsid w:val="007F033E"/>
    <w:rsid w:val="0081728A"/>
    <w:rsid w:val="00854651"/>
    <w:rsid w:val="00856682"/>
    <w:rsid w:val="008E5CF0"/>
    <w:rsid w:val="008F3B5B"/>
    <w:rsid w:val="00903501"/>
    <w:rsid w:val="009044D0"/>
    <w:rsid w:val="009B1B1D"/>
    <w:rsid w:val="009B46BE"/>
    <w:rsid w:val="009D5CC6"/>
    <w:rsid w:val="009F0F23"/>
    <w:rsid w:val="009F404C"/>
    <w:rsid w:val="00A3200B"/>
    <w:rsid w:val="00A50AF3"/>
    <w:rsid w:val="00A63B65"/>
    <w:rsid w:val="00A66090"/>
    <w:rsid w:val="00A96DDF"/>
    <w:rsid w:val="00B17CE7"/>
    <w:rsid w:val="00B6454F"/>
    <w:rsid w:val="00B80199"/>
    <w:rsid w:val="00B83EC8"/>
    <w:rsid w:val="00C22EFB"/>
    <w:rsid w:val="00C30E55"/>
    <w:rsid w:val="00C3606A"/>
    <w:rsid w:val="00C400B3"/>
    <w:rsid w:val="00C4236C"/>
    <w:rsid w:val="00C60CFD"/>
    <w:rsid w:val="00C61277"/>
    <w:rsid w:val="00C61D65"/>
    <w:rsid w:val="00C838D7"/>
    <w:rsid w:val="00CC581A"/>
    <w:rsid w:val="00CE12F0"/>
    <w:rsid w:val="00D03EEA"/>
    <w:rsid w:val="00D17253"/>
    <w:rsid w:val="00D47E0D"/>
    <w:rsid w:val="00D96BB4"/>
    <w:rsid w:val="00DC36E2"/>
    <w:rsid w:val="00DC4338"/>
    <w:rsid w:val="00DD3D72"/>
    <w:rsid w:val="00E0376D"/>
    <w:rsid w:val="00E051F8"/>
    <w:rsid w:val="00E27D9F"/>
    <w:rsid w:val="00E454C8"/>
    <w:rsid w:val="00E677FE"/>
    <w:rsid w:val="00E83A06"/>
    <w:rsid w:val="00E8511A"/>
    <w:rsid w:val="00EF2FA3"/>
    <w:rsid w:val="00F16590"/>
    <w:rsid w:val="00F60EF9"/>
    <w:rsid w:val="00F6527F"/>
    <w:rsid w:val="00F70DAB"/>
    <w:rsid w:val="00FA5509"/>
    <w:rsid w:val="00FB63D9"/>
    <w:rsid w:val="00FF797F"/>
    <w:rsid w:val="12AD1F2B"/>
    <w:rsid w:val="65D857BF"/>
    <w:rsid w:val="6D943E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qFormat/>
    <w:uiPriority w:val="9"/>
    <w:pPr>
      <w:keepNext/>
      <w:keepLines/>
      <w:widowControl/>
      <w:spacing w:line="360" w:lineRule="auto"/>
      <w:contextualSpacing/>
      <w:jc w:val="left"/>
      <w:outlineLvl w:val="0"/>
    </w:pPr>
    <w:rPr>
      <w:rFonts w:ascii="Times New Roman" w:hAnsi="Times New Roman"/>
      <w:b/>
      <w:bCs/>
      <w:kern w:val="44"/>
      <w:sz w:val="24"/>
      <w:szCs w:val="44"/>
      <w:lang w:val="en-AU" w:eastAsia="en-US"/>
    </w:rPr>
  </w:style>
  <w:style w:type="paragraph" w:styleId="3">
    <w:name w:val="heading 2"/>
    <w:basedOn w:val="1"/>
    <w:next w:val="1"/>
    <w:unhideWhenUsed/>
    <w:qFormat/>
    <w:uiPriority w:val="9"/>
    <w:pPr>
      <w:keepNext/>
      <w:keepLines/>
      <w:widowControl/>
      <w:spacing w:line="360" w:lineRule="auto"/>
      <w:contextualSpacing/>
      <w:jc w:val="left"/>
      <w:outlineLvl w:val="1"/>
    </w:pPr>
    <w:rPr>
      <w:rFonts w:ascii="Times New Roman" w:hAnsi="Times New Roman" w:eastAsiaTheme="majorEastAsia" w:cstheme="majorBidi"/>
      <w:b/>
      <w:bCs/>
      <w:sz w:val="24"/>
      <w:szCs w:val="32"/>
      <w:lang w:val="en-AU" w:eastAsia="en-US"/>
    </w:rPr>
  </w:style>
  <w:style w:type="paragraph" w:styleId="4">
    <w:name w:val="heading 3"/>
    <w:basedOn w:val="1"/>
    <w:next w:val="1"/>
    <w:unhideWhenUsed/>
    <w:qFormat/>
    <w:uiPriority w:val="9"/>
    <w:pPr>
      <w:keepNext/>
      <w:keepLines/>
      <w:spacing w:line="360" w:lineRule="auto"/>
      <w:contextualSpacing/>
      <w:outlineLvl w:val="2"/>
    </w:pPr>
    <w:rPr>
      <w:rFonts w:ascii="Times New Roman" w:hAnsi="Times New Roman" w:eastAsia="Times New Roman"/>
      <w:b/>
      <w:bCs/>
      <w:sz w:val="24"/>
      <w:szCs w:val="32"/>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5">
    <w:name w:val="toc 3"/>
    <w:basedOn w:val="1"/>
    <w:next w:val="1"/>
    <w:unhideWhenUsed/>
    <w:uiPriority w:val="39"/>
    <w:pPr>
      <w:ind w:left="840" w:leftChars="400"/>
    </w:pPr>
  </w:style>
  <w:style w:type="paragraph" w:styleId="6">
    <w:name w:val="toc 1"/>
    <w:basedOn w:val="1"/>
    <w:next w:val="1"/>
    <w:unhideWhenUsed/>
    <w:uiPriority w:val="39"/>
  </w:style>
  <w:style w:type="paragraph" w:styleId="7">
    <w:name w:val="toc 2"/>
    <w:basedOn w:val="1"/>
    <w:next w:val="1"/>
    <w:unhideWhenUsed/>
    <w:uiPriority w:val="39"/>
    <w:pPr>
      <w:ind w:left="420" w:leftChars="200"/>
    </w:pPr>
  </w:style>
  <w:style w:type="character" w:styleId="10">
    <w:name w:val="FollowedHyperlink"/>
    <w:basedOn w:val="9"/>
    <w:autoRedefine/>
    <w:semiHidden/>
    <w:unhideWhenUsed/>
    <w:qFormat/>
    <w:uiPriority w:val="99"/>
    <w:rPr>
      <w:color w:val="954F72" w:themeColor="followedHyperlink"/>
      <w:u w:val="single"/>
      <w14:textFill>
        <w14:solidFill>
          <w14:schemeClr w14:val="folHlink"/>
        </w14:solidFill>
      </w14:textFill>
    </w:rPr>
  </w:style>
  <w:style w:type="character" w:styleId="11">
    <w:name w:val="Hyperlink"/>
    <w:basedOn w:val="9"/>
    <w:unhideWhenUsed/>
    <w:uiPriority w:val="99"/>
    <w:rPr>
      <w:color w:val="0563C1" w:themeColor="hyperlink"/>
      <w:u w:val="single"/>
      <w14:textFill>
        <w14:solidFill>
          <w14:schemeClr w14:val="hlink"/>
        </w14:solidFill>
      </w14:textFill>
    </w:rPr>
  </w:style>
  <w:style w:type="paragraph" w:styleId="12">
    <w:name w:val="List Paragraph"/>
    <w:basedOn w:val="1"/>
    <w:qFormat/>
    <w:uiPriority w:val="34"/>
    <w:pPr>
      <w:ind w:firstLine="420" w:firstLineChars="200"/>
    </w:pPr>
  </w:style>
  <w:style w:type="character" w:customStyle="1" w:styleId="13">
    <w:name w:val="Unresolved Mention"/>
    <w:basedOn w:val="9"/>
    <w:autoRedefine/>
    <w:semiHidden/>
    <w:unhideWhenUsed/>
    <w:qFormat/>
    <w:uiPriority w:val="99"/>
    <w:rPr>
      <w:color w:val="605E5C"/>
      <w:shd w:val="clear" w:color="auto" w:fill="E1DFDD"/>
    </w:rPr>
  </w:style>
  <w:style w:type="paragraph" w:customStyle="1" w:styleId="14">
    <w:name w:val="TOC Heading"/>
    <w:basedOn w:val="2"/>
    <w:next w:val="1"/>
    <w:autoRedefine/>
    <w:unhideWhenUsed/>
    <w:qFormat/>
    <w:uiPriority w:val="39"/>
    <w:pPr>
      <w:spacing w:before="240" w:line="259" w:lineRule="auto"/>
      <w:contextualSpacing w:val="0"/>
      <w:outlineLvl w:val="9"/>
    </w:pPr>
    <w:rPr>
      <w:rFonts w:asciiTheme="majorHAnsi" w:hAnsiTheme="majorHAnsi" w:eastAsiaTheme="majorEastAsia" w:cstheme="majorBidi"/>
      <w:b w:val="0"/>
      <w:bCs w:val="0"/>
      <w:color w:val="2F5597" w:themeColor="accent1" w:themeShade="BF"/>
      <w:kern w:val="0"/>
      <w:sz w:val="32"/>
      <w:szCs w:val="32"/>
      <w:lang w:val="en-US"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4073</Words>
  <Characters>23220</Characters>
  <Lines>193</Lines>
  <Paragraphs>54</Paragraphs>
  <TotalTime>0</TotalTime>
  <ScaleCrop>false</ScaleCrop>
  <LinksUpToDate>false</LinksUpToDate>
  <CharactersWithSpaces>27239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2024-03-09T06:59:00Z</dcterms:created>
  <dc:creator>Jialing Miao</dc:creator>
  <cp:lastModifiedBy>很简单</cp:lastModifiedBy>
  <dcterms:modified xsi:type="dcterms:W3CDTF">2024-05-10T03:00:29Z</dcterms:modified>
  <cp:revision>295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5B84FC4442F34FCF8C71CD51AFF141D0_13</vt:lpwstr>
  </property>
</Properties>
</file>