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CE59" w14:textId="77777777" w:rsidR="004C4997" w:rsidRDefault="004C4997" w:rsidP="004C4997">
      <w:pPr>
        <w:jc w:val="center"/>
      </w:pPr>
    </w:p>
    <w:p w14:paraId="75EA3E82" w14:textId="77777777" w:rsidR="004C4997" w:rsidRDefault="004C4997" w:rsidP="004C4997">
      <w:pPr>
        <w:jc w:val="center"/>
      </w:pPr>
    </w:p>
    <w:p w14:paraId="0D081FB7" w14:textId="77777777" w:rsidR="004C4997" w:rsidRDefault="004C4997" w:rsidP="004C4997">
      <w:pPr>
        <w:jc w:val="center"/>
      </w:pPr>
    </w:p>
    <w:p w14:paraId="4B7F21B3" w14:textId="77777777" w:rsidR="004C4997" w:rsidRDefault="004C4997" w:rsidP="004C4997">
      <w:pPr>
        <w:jc w:val="center"/>
      </w:pPr>
    </w:p>
    <w:p w14:paraId="1AFA7618" w14:textId="77777777" w:rsidR="004C4997" w:rsidRDefault="004C4997" w:rsidP="004C4997">
      <w:pPr>
        <w:jc w:val="center"/>
      </w:pPr>
    </w:p>
    <w:p w14:paraId="7E5722F6" w14:textId="77777777" w:rsidR="004C4997" w:rsidRDefault="004C4997" w:rsidP="004C4997">
      <w:pPr>
        <w:jc w:val="center"/>
      </w:pPr>
    </w:p>
    <w:p w14:paraId="457825E5" w14:textId="77777777" w:rsidR="004C4997" w:rsidRDefault="004C4997" w:rsidP="004C4997">
      <w:pPr>
        <w:jc w:val="center"/>
      </w:pPr>
    </w:p>
    <w:p w14:paraId="55ABAB67" w14:textId="77777777" w:rsidR="004C4997" w:rsidRDefault="004C4997" w:rsidP="004C4997">
      <w:pPr>
        <w:jc w:val="center"/>
      </w:pPr>
    </w:p>
    <w:p w14:paraId="41350FDE" w14:textId="77777777" w:rsidR="004C4997" w:rsidRDefault="004C4997" w:rsidP="004C4997">
      <w:pPr>
        <w:jc w:val="center"/>
      </w:pPr>
    </w:p>
    <w:p w14:paraId="62D6BCAB" w14:textId="77777777" w:rsidR="004C4997" w:rsidRDefault="004C4997" w:rsidP="004C4997">
      <w:pPr>
        <w:jc w:val="center"/>
      </w:pPr>
    </w:p>
    <w:p w14:paraId="165076FD" w14:textId="77777777" w:rsidR="004C4997" w:rsidRDefault="004C4997" w:rsidP="004C4997">
      <w:pPr>
        <w:jc w:val="center"/>
      </w:pPr>
    </w:p>
    <w:p w14:paraId="64BD1656" w14:textId="6310CB34" w:rsidR="004C4997" w:rsidRDefault="004C4997" w:rsidP="004C4997">
      <w:pPr>
        <w:jc w:val="center"/>
      </w:pPr>
      <w:r>
        <w:t>LCMB7000 Assessment 1</w:t>
      </w:r>
    </w:p>
    <w:p w14:paraId="347BF3A2" w14:textId="4C1D4B93" w:rsidR="00423780" w:rsidRDefault="004C4997" w:rsidP="004C4997">
      <w:pPr>
        <w:jc w:val="center"/>
      </w:pPr>
      <w:r>
        <w:t>Human Resource Management</w:t>
      </w:r>
      <w:r w:rsidR="00D717A5">
        <w:t xml:space="preserve"> at </w:t>
      </w:r>
      <w:r w:rsidR="00D717A5" w:rsidRPr="00D717A5">
        <w:t>Capgemini</w:t>
      </w:r>
    </w:p>
    <w:p w14:paraId="6DA6C0B4" w14:textId="77777777" w:rsidR="00A73A8E" w:rsidRDefault="00A73A8E" w:rsidP="00A73A8E">
      <w:pPr>
        <w:jc w:val="center"/>
      </w:pPr>
      <w:r>
        <w:t xml:space="preserve">Priyanka </w:t>
      </w:r>
      <w:proofErr w:type="spellStart"/>
      <w:r>
        <w:t>Mithil</w:t>
      </w:r>
      <w:proofErr w:type="spellEnd"/>
      <w:r>
        <w:t xml:space="preserve"> </w:t>
      </w:r>
      <w:proofErr w:type="spellStart"/>
      <w:r>
        <w:t>Raval</w:t>
      </w:r>
      <w:proofErr w:type="spellEnd"/>
    </w:p>
    <w:p w14:paraId="1AE9263D" w14:textId="313BA8D0" w:rsidR="00A73A8E" w:rsidRDefault="00A73A8E" w:rsidP="00A73A8E">
      <w:pPr>
        <w:jc w:val="center"/>
      </w:pPr>
      <w:r>
        <w:t>Student ID: 2225567</w:t>
      </w:r>
    </w:p>
    <w:p w14:paraId="78C93798" w14:textId="5A66CA5D" w:rsidR="004C4997" w:rsidRDefault="004C4997">
      <w:pPr>
        <w:widowControl/>
        <w:autoSpaceDE/>
        <w:autoSpaceDN/>
        <w:spacing w:after="160" w:line="259" w:lineRule="auto"/>
        <w:jc w:val="left"/>
      </w:pPr>
      <w:r>
        <w:br w:type="page"/>
      </w:r>
    </w:p>
    <w:sdt>
      <w:sdtPr>
        <w:rPr>
          <w:rFonts w:ascii="Times New Roman" w:eastAsia="Tahoma" w:hAnsi="Times New Roman" w:cs="Tahoma"/>
          <w:color w:val="auto"/>
          <w:sz w:val="24"/>
          <w:szCs w:val="22"/>
          <w:lang w:val="en-GB"/>
        </w:rPr>
        <w:id w:val="1991517427"/>
        <w:docPartObj>
          <w:docPartGallery w:val="Table of Contents"/>
          <w:docPartUnique/>
        </w:docPartObj>
      </w:sdtPr>
      <w:sdtEndPr>
        <w:rPr>
          <w:b/>
          <w:bCs/>
        </w:rPr>
      </w:sdtEndPr>
      <w:sdtContent>
        <w:p w14:paraId="16CD06BD" w14:textId="71AB0BCC" w:rsidR="00F70091" w:rsidRDefault="00F70091">
          <w:pPr>
            <w:pStyle w:val="TOCHeading"/>
          </w:pPr>
          <w:r>
            <w:rPr>
              <w:lang w:val="en-GB"/>
            </w:rPr>
            <w:t>Contents</w:t>
          </w:r>
        </w:p>
        <w:p w14:paraId="7B2FB28A" w14:textId="0E78EEA8" w:rsidR="00F70091" w:rsidRDefault="00F70091">
          <w:pPr>
            <w:pStyle w:val="TOC1"/>
            <w:tabs>
              <w:tab w:val="right" w:leader="dot" w:pos="9350"/>
            </w:tabs>
            <w:rPr>
              <w:noProof/>
            </w:rPr>
          </w:pPr>
          <w:r>
            <w:fldChar w:fldCharType="begin"/>
          </w:r>
          <w:r>
            <w:instrText xml:space="preserve"> TOC \o "1-3" \h \z \u </w:instrText>
          </w:r>
          <w:r>
            <w:fldChar w:fldCharType="separate"/>
          </w:r>
          <w:hyperlink w:anchor="_Toc131577054" w:history="1">
            <w:r w:rsidRPr="00927CCB">
              <w:rPr>
                <w:rStyle w:val="Hyperlink"/>
                <w:noProof/>
              </w:rPr>
              <w:t>Introduction</w:t>
            </w:r>
            <w:r>
              <w:rPr>
                <w:noProof/>
                <w:webHidden/>
              </w:rPr>
              <w:tab/>
            </w:r>
            <w:r>
              <w:rPr>
                <w:noProof/>
                <w:webHidden/>
              </w:rPr>
              <w:fldChar w:fldCharType="begin"/>
            </w:r>
            <w:r>
              <w:rPr>
                <w:noProof/>
                <w:webHidden/>
              </w:rPr>
              <w:instrText xml:space="preserve"> PAGEREF _Toc131577054 \h </w:instrText>
            </w:r>
            <w:r>
              <w:rPr>
                <w:noProof/>
                <w:webHidden/>
              </w:rPr>
            </w:r>
            <w:r>
              <w:rPr>
                <w:noProof/>
                <w:webHidden/>
              </w:rPr>
              <w:fldChar w:fldCharType="separate"/>
            </w:r>
            <w:r>
              <w:rPr>
                <w:noProof/>
                <w:webHidden/>
              </w:rPr>
              <w:t>2</w:t>
            </w:r>
            <w:r>
              <w:rPr>
                <w:noProof/>
                <w:webHidden/>
              </w:rPr>
              <w:fldChar w:fldCharType="end"/>
            </w:r>
          </w:hyperlink>
        </w:p>
        <w:p w14:paraId="6FE15410" w14:textId="54EE86DB" w:rsidR="00F70091" w:rsidRDefault="00A73A8E">
          <w:pPr>
            <w:pStyle w:val="TOC1"/>
            <w:tabs>
              <w:tab w:val="right" w:leader="dot" w:pos="9350"/>
            </w:tabs>
            <w:rPr>
              <w:noProof/>
            </w:rPr>
          </w:pPr>
          <w:hyperlink w:anchor="_Toc131577055" w:history="1">
            <w:r w:rsidR="00F70091" w:rsidRPr="00927CCB">
              <w:rPr>
                <w:rStyle w:val="Hyperlink"/>
                <w:noProof/>
                <w:shd w:val="clear" w:color="auto" w:fill="FFFFFF"/>
              </w:rPr>
              <w:t>Current State of Labor Market in the UK</w:t>
            </w:r>
            <w:r w:rsidR="00F70091">
              <w:rPr>
                <w:noProof/>
                <w:webHidden/>
              </w:rPr>
              <w:tab/>
            </w:r>
            <w:r w:rsidR="00F70091">
              <w:rPr>
                <w:noProof/>
                <w:webHidden/>
              </w:rPr>
              <w:fldChar w:fldCharType="begin"/>
            </w:r>
            <w:r w:rsidR="00F70091">
              <w:rPr>
                <w:noProof/>
                <w:webHidden/>
              </w:rPr>
              <w:instrText xml:space="preserve"> PAGEREF _Toc131577055 \h </w:instrText>
            </w:r>
            <w:r w:rsidR="00F70091">
              <w:rPr>
                <w:noProof/>
                <w:webHidden/>
              </w:rPr>
            </w:r>
            <w:r w:rsidR="00F70091">
              <w:rPr>
                <w:noProof/>
                <w:webHidden/>
              </w:rPr>
              <w:fldChar w:fldCharType="separate"/>
            </w:r>
            <w:r w:rsidR="00F70091">
              <w:rPr>
                <w:noProof/>
                <w:webHidden/>
              </w:rPr>
              <w:t>2</w:t>
            </w:r>
            <w:r w:rsidR="00F70091">
              <w:rPr>
                <w:noProof/>
                <w:webHidden/>
              </w:rPr>
              <w:fldChar w:fldCharType="end"/>
            </w:r>
          </w:hyperlink>
        </w:p>
        <w:p w14:paraId="3262D470" w14:textId="69D33093" w:rsidR="00F70091" w:rsidRDefault="00A73A8E">
          <w:pPr>
            <w:pStyle w:val="TOC1"/>
            <w:tabs>
              <w:tab w:val="right" w:leader="dot" w:pos="9350"/>
            </w:tabs>
            <w:rPr>
              <w:noProof/>
            </w:rPr>
          </w:pPr>
          <w:hyperlink w:anchor="_Toc131577056" w:history="1">
            <w:r w:rsidR="00F70091" w:rsidRPr="00927CCB">
              <w:rPr>
                <w:rStyle w:val="Hyperlink"/>
                <w:noProof/>
              </w:rPr>
              <w:t>PESTLE ANALYSIS (External Business Environment Analysis)</w:t>
            </w:r>
            <w:r w:rsidR="00F70091">
              <w:rPr>
                <w:noProof/>
                <w:webHidden/>
              </w:rPr>
              <w:tab/>
            </w:r>
            <w:r w:rsidR="00F70091">
              <w:rPr>
                <w:noProof/>
                <w:webHidden/>
              </w:rPr>
              <w:fldChar w:fldCharType="begin"/>
            </w:r>
            <w:r w:rsidR="00F70091">
              <w:rPr>
                <w:noProof/>
                <w:webHidden/>
              </w:rPr>
              <w:instrText xml:space="preserve"> PAGEREF _Toc131577056 \h </w:instrText>
            </w:r>
            <w:r w:rsidR="00F70091">
              <w:rPr>
                <w:noProof/>
                <w:webHidden/>
              </w:rPr>
            </w:r>
            <w:r w:rsidR="00F70091">
              <w:rPr>
                <w:noProof/>
                <w:webHidden/>
              </w:rPr>
              <w:fldChar w:fldCharType="separate"/>
            </w:r>
            <w:r w:rsidR="00F70091">
              <w:rPr>
                <w:noProof/>
                <w:webHidden/>
              </w:rPr>
              <w:t>5</w:t>
            </w:r>
            <w:r w:rsidR="00F70091">
              <w:rPr>
                <w:noProof/>
                <w:webHidden/>
              </w:rPr>
              <w:fldChar w:fldCharType="end"/>
            </w:r>
          </w:hyperlink>
        </w:p>
        <w:p w14:paraId="147C9273" w14:textId="4DBE5CBE" w:rsidR="00F70091" w:rsidRDefault="00A73A8E">
          <w:pPr>
            <w:pStyle w:val="TOC2"/>
            <w:tabs>
              <w:tab w:val="right" w:leader="dot" w:pos="9350"/>
            </w:tabs>
            <w:rPr>
              <w:noProof/>
            </w:rPr>
          </w:pPr>
          <w:hyperlink w:anchor="_Toc131577057" w:history="1">
            <w:r w:rsidR="00F70091" w:rsidRPr="00927CCB">
              <w:rPr>
                <w:rStyle w:val="Hyperlink"/>
                <w:noProof/>
              </w:rPr>
              <w:t>Political</w:t>
            </w:r>
            <w:r w:rsidR="00F70091">
              <w:rPr>
                <w:noProof/>
                <w:webHidden/>
              </w:rPr>
              <w:tab/>
            </w:r>
            <w:r w:rsidR="00F70091">
              <w:rPr>
                <w:noProof/>
                <w:webHidden/>
              </w:rPr>
              <w:fldChar w:fldCharType="begin"/>
            </w:r>
            <w:r w:rsidR="00F70091">
              <w:rPr>
                <w:noProof/>
                <w:webHidden/>
              </w:rPr>
              <w:instrText xml:space="preserve"> PAGEREF _Toc131577057 \h </w:instrText>
            </w:r>
            <w:r w:rsidR="00F70091">
              <w:rPr>
                <w:noProof/>
                <w:webHidden/>
              </w:rPr>
            </w:r>
            <w:r w:rsidR="00F70091">
              <w:rPr>
                <w:noProof/>
                <w:webHidden/>
              </w:rPr>
              <w:fldChar w:fldCharType="separate"/>
            </w:r>
            <w:r w:rsidR="00F70091">
              <w:rPr>
                <w:noProof/>
                <w:webHidden/>
              </w:rPr>
              <w:t>5</w:t>
            </w:r>
            <w:r w:rsidR="00F70091">
              <w:rPr>
                <w:noProof/>
                <w:webHidden/>
              </w:rPr>
              <w:fldChar w:fldCharType="end"/>
            </w:r>
          </w:hyperlink>
        </w:p>
        <w:p w14:paraId="0A0AFD61" w14:textId="05604235" w:rsidR="00F70091" w:rsidRDefault="00A73A8E">
          <w:pPr>
            <w:pStyle w:val="TOC2"/>
            <w:tabs>
              <w:tab w:val="right" w:leader="dot" w:pos="9350"/>
            </w:tabs>
            <w:rPr>
              <w:noProof/>
            </w:rPr>
          </w:pPr>
          <w:hyperlink w:anchor="_Toc131577058" w:history="1">
            <w:r w:rsidR="00F70091" w:rsidRPr="00927CCB">
              <w:rPr>
                <w:rStyle w:val="Hyperlink"/>
                <w:rFonts w:eastAsia="Times New Roman"/>
                <w:noProof/>
              </w:rPr>
              <w:t>Economical</w:t>
            </w:r>
            <w:r w:rsidR="00F70091">
              <w:rPr>
                <w:noProof/>
                <w:webHidden/>
              </w:rPr>
              <w:tab/>
            </w:r>
            <w:r w:rsidR="00F70091">
              <w:rPr>
                <w:noProof/>
                <w:webHidden/>
              </w:rPr>
              <w:fldChar w:fldCharType="begin"/>
            </w:r>
            <w:r w:rsidR="00F70091">
              <w:rPr>
                <w:noProof/>
                <w:webHidden/>
              </w:rPr>
              <w:instrText xml:space="preserve"> PAGEREF _Toc131577058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62A71D2C" w14:textId="72862E15" w:rsidR="00F70091" w:rsidRDefault="00A73A8E">
          <w:pPr>
            <w:pStyle w:val="TOC2"/>
            <w:tabs>
              <w:tab w:val="right" w:leader="dot" w:pos="9350"/>
            </w:tabs>
            <w:rPr>
              <w:noProof/>
            </w:rPr>
          </w:pPr>
          <w:hyperlink w:anchor="_Toc131577059" w:history="1">
            <w:r w:rsidR="00F70091" w:rsidRPr="00927CCB">
              <w:rPr>
                <w:rStyle w:val="Hyperlink"/>
                <w:noProof/>
              </w:rPr>
              <w:t>Social</w:t>
            </w:r>
            <w:r w:rsidR="00F70091">
              <w:rPr>
                <w:noProof/>
                <w:webHidden/>
              </w:rPr>
              <w:tab/>
            </w:r>
            <w:r w:rsidR="00F70091">
              <w:rPr>
                <w:noProof/>
                <w:webHidden/>
              </w:rPr>
              <w:fldChar w:fldCharType="begin"/>
            </w:r>
            <w:r w:rsidR="00F70091">
              <w:rPr>
                <w:noProof/>
                <w:webHidden/>
              </w:rPr>
              <w:instrText xml:space="preserve"> PAGEREF _Toc131577059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4016FDE5" w14:textId="66FCA557" w:rsidR="00F70091" w:rsidRDefault="00A73A8E">
          <w:pPr>
            <w:pStyle w:val="TOC2"/>
            <w:tabs>
              <w:tab w:val="right" w:leader="dot" w:pos="9350"/>
            </w:tabs>
            <w:rPr>
              <w:noProof/>
            </w:rPr>
          </w:pPr>
          <w:hyperlink w:anchor="_Toc131577060" w:history="1">
            <w:r w:rsidR="00F70091" w:rsidRPr="00927CCB">
              <w:rPr>
                <w:rStyle w:val="Hyperlink"/>
                <w:noProof/>
              </w:rPr>
              <w:t>Technological</w:t>
            </w:r>
            <w:r w:rsidR="00F70091">
              <w:rPr>
                <w:noProof/>
                <w:webHidden/>
              </w:rPr>
              <w:tab/>
            </w:r>
            <w:r w:rsidR="00F70091">
              <w:rPr>
                <w:noProof/>
                <w:webHidden/>
              </w:rPr>
              <w:fldChar w:fldCharType="begin"/>
            </w:r>
            <w:r w:rsidR="00F70091">
              <w:rPr>
                <w:noProof/>
                <w:webHidden/>
              </w:rPr>
              <w:instrText xml:space="preserve"> PAGEREF _Toc131577060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4D171D05" w14:textId="5525799E" w:rsidR="00F70091" w:rsidRDefault="00A73A8E">
          <w:pPr>
            <w:pStyle w:val="TOC2"/>
            <w:tabs>
              <w:tab w:val="right" w:leader="dot" w:pos="9350"/>
            </w:tabs>
            <w:rPr>
              <w:noProof/>
            </w:rPr>
          </w:pPr>
          <w:hyperlink w:anchor="_Toc131577061" w:history="1">
            <w:r w:rsidR="00F70091" w:rsidRPr="00927CCB">
              <w:rPr>
                <w:rStyle w:val="Hyperlink"/>
                <w:noProof/>
              </w:rPr>
              <w:t>Environmental</w:t>
            </w:r>
            <w:r w:rsidR="00F70091">
              <w:rPr>
                <w:noProof/>
                <w:webHidden/>
              </w:rPr>
              <w:tab/>
            </w:r>
            <w:r w:rsidR="00F70091">
              <w:rPr>
                <w:noProof/>
                <w:webHidden/>
              </w:rPr>
              <w:fldChar w:fldCharType="begin"/>
            </w:r>
            <w:r w:rsidR="00F70091">
              <w:rPr>
                <w:noProof/>
                <w:webHidden/>
              </w:rPr>
              <w:instrText xml:space="preserve"> PAGEREF _Toc131577061 \h </w:instrText>
            </w:r>
            <w:r w:rsidR="00F70091">
              <w:rPr>
                <w:noProof/>
                <w:webHidden/>
              </w:rPr>
            </w:r>
            <w:r w:rsidR="00F70091">
              <w:rPr>
                <w:noProof/>
                <w:webHidden/>
              </w:rPr>
              <w:fldChar w:fldCharType="separate"/>
            </w:r>
            <w:r w:rsidR="00F70091">
              <w:rPr>
                <w:noProof/>
                <w:webHidden/>
              </w:rPr>
              <w:t>7</w:t>
            </w:r>
            <w:r w:rsidR="00F70091">
              <w:rPr>
                <w:noProof/>
                <w:webHidden/>
              </w:rPr>
              <w:fldChar w:fldCharType="end"/>
            </w:r>
          </w:hyperlink>
        </w:p>
        <w:p w14:paraId="0AC13910" w14:textId="2D2D03B0" w:rsidR="00F70091" w:rsidRDefault="00A73A8E">
          <w:pPr>
            <w:pStyle w:val="TOC2"/>
            <w:tabs>
              <w:tab w:val="right" w:leader="dot" w:pos="9350"/>
            </w:tabs>
            <w:rPr>
              <w:noProof/>
            </w:rPr>
          </w:pPr>
          <w:hyperlink w:anchor="_Toc131577062" w:history="1">
            <w:r w:rsidR="00F70091" w:rsidRPr="00927CCB">
              <w:rPr>
                <w:rStyle w:val="Hyperlink"/>
                <w:noProof/>
              </w:rPr>
              <w:t>Legal</w:t>
            </w:r>
            <w:r w:rsidR="00F70091">
              <w:rPr>
                <w:noProof/>
                <w:webHidden/>
              </w:rPr>
              <w:tab/>
            </w:r>
            <w:r w:rsidR="00F70091">
              <w:rPr>
                <w:noProof/>
                <w:webHidden/>
              </w:rPr>
              <w:fldChar w:fldCharType="begin"/>
            </w:r>
            <w:r w:rsidR="00F70091">
              <w:rPr>
                <w:noProof/>
                <w:webHidden/>
              </w:rPr>
              <w:instrText xml:space="preserve"> PAGEREF _Toc131577062 \h </w:instrText>
            </w:r>
            <w:r w:rsidR="00F70091">
              <w:rPr>
                <w:noProof/>
                <w:webHidden/>
              </w:rPr>
            </w:r>
            <w:r w:rsidR="00F70091">
              <w:rPr>
                <w:noProof/>
                <w:webHidden/>
              </w:rPr>
              <w:fldChar w:fldCharType="separate"/>
            </w:r>
            <w:r w:rsidR="00F70091">
              <w:rPr>
                <w:noProof/>
                <w:webHidden/>
              </w:rPr>
              <w:t>7</w:t>
            </w:r>
            <w:r w:rsidR="00F70091">
              <w:rPr>
                <w:noProof/>
                <w:webHidden/>
              </w:rPr>
              <w:fldChar w:fldCharType="end"/>
            </w:r>
          </w:hyperlink>
        </w:p>
        <w:p w14:paraId="31B6D209" w14:textId="790E7A5F" w:rsidR="00F70091" w:rsidRDefault="00A73A8E">
          <w:pPr>
            <w:pStyle w:val="TOC1"/>
            <w:tabs>
              <w:tab w:val="right" w:leader="dot" w:pos="9350"/>
            </w:tabs>
            <w:rPr>
              <w:noProof/>
            </w:rPr>
          </w:pPr>
          <w:hyperlink w:anchor="_Toc131577063" w:history="1">
            <w:r w:rsidR="00F70091" w:rsidRPr="00927CCB">
              <w:rPr>
                <w:rStyle w:val="Hyperlink"/>
                <w:noProof/>
              </w:rPr>
              <w:t>The emerging changes in Human Resourcing Strategies in the post Covid, post Brexit external environment.</w:t>
            </w:r>
            <w:r w:rsidR="00F70091">
              <w:rPr>
                <w:noProof/>
                <w:webHidden/>
              </w:rPr>
              <w:tab/>
            </w:r>
            <w:r w:rsidR="00F70091">
              <w:rPr>
                <w:noProof/>
                <w:webHidden/>
              </w:rPr>
              <w:fldChar w:fldCharType="begin"/>
            </w:r>
            <w:r w:rsidR="00F70091">
              <w:rPr>
                <w:noProof/>
                <w:webHidden/>
              </w:rPr>
              <w:instrText xml:space="preserve"> PAGEREF _Toc131577063 \h </w:instrText>
            </w:r>
            <w:r w:rsidR="00F70091">
              <w:rPr>
                <w:noProof/>
                <w:webHidden/>
              </w:rPr>
            </w:r>
            <w:r w:rsidR="00F70091">
              <w:rPr>
                <w:noProof/>
                <w:webHidden/>
              </w:rPr>
              <w:fldChar w:fldCharType="separate"/>
            </w:r>
            <w:r w:rsidR="00F70091">
              <w:rPr>
                <w:noProof/>
                <w:webHidden/>
              </w:rPr>
              <w:t>8</w:t>
            </w:r>
            <w:r w:rsidR="00F70091">
              <w:rPr>
                <w:noProof/>
                <w:webHidden/>
              </w:rPr>
              <w:fldChar w:fldCharType="end"/>
            </w:r>
          </w:hyperlink>
        </w:p>
        <w:p w14:paraId="4DA47816" w14:textId="620BC05F" w:rsidR="00F70091" w:rsidRDefault="00A73A8E">
          <w:pPr>
            <w:pStyle w:val="TOC1"/>
            <w:tabs>
              <w:tab w:val="right" w:leader="dot" w:pos="9350"/>
            </w:tabs>
            <w:rPr>
              <w:noProof/>
            </w:rPr>
          </w:pPr>
          <w:hyperlink w:anchor="_Toc131577064" w:history="1">
            <w:r w:rsidR="00F70091" w:rsidRPr="00927CCB">
              <w:rPr>
                <w:rStyle w:val="Hyperlink"/>
                <w:noProof/>
              </w:rPr>
              <w:t>Recommendations</w:t>
            </w:r>
            <w:r w:rsidR="00F70091">
              <w:rPr>
                <w:noProof/>
                <w:webHidden/>
              </w:rPr>
              <w:tab/>
            </w:r>
            <w:r w:rsidR="00F70091">
              <w:rPr>
                <w:noProof/>
                <w:webHidden/>
              </w:rPr>
              <w:fldChar w:fldCharType="begin"/>
            </w:r>
            <w:r w:rsidR="00F70091">
              <w:rPr>
                <w:noProof/>
                <w:webHidden/>
              </w:rPr>
              <w:instrText xml:space="preserve"> PAGEREF _Toc131577064 \h </w:instrText>
            </w:r>
            <w:r w:rsidR="00F70091">
              <w:rPr>
                <w:noProof/>
                <w:webHidden/>
              </w:rPr>
            </w:r>
            <w:r w:rsidR="00F70091">
              <w:rPr>
                <w:noProof/>
                <w:webHidden/>
              </w:rPr>
              <w:fldChar w:fldCharType="separate"/>
            </w:r>
            <w:r w:rsidR="00F70091">
              <w:rPr>
                <w:noProof/>
                <w:webHidden/>
              </w:rPr>
              <w:t>9</w:t>
            </w:r>
            <w:r w:rsidR="00F70091">
              <w:rPr>
                <w:noProof/>
                <w:webHidden/>
              </w:rPr>
              <w:fldChar w:fldCharType="end"/>
            </w:r>
          </w:hyperlink>
        </w:p>
        <w:p w14:paraId="399FD582" w14:textId="0D7813E6" w:rsidR="00F70091" w:rsidRDefault="00A73A8E">
          <w:pPr>
            <w:pStyle w:val="TOC1"/>
            <w:tabs>
              <w:tab w:val="right" w:leader="dot" w:pos="9350"/>
            </w:tabs>
            <w:rPr>
              <w:noProof/>
            </w:rPr>
          </w:pPr>
          <w:hyperlink w:anchor="_Toc131577065" w:history="1">
            <w:r w:rsidR="00F70091" w:rsidRPr="00927CCB">
              <w:rPr>
                <w:rStyle w:val="Hyperlink"/>
                <w:noProof/>
              </w:rPr>
              <w:t>Conclusion</w:t>
            </w:r>
            <w:r w:rsidR="00F70091">
              <w:rPr>
                <w:noProof/>
                <w:webHidden/>
              </w:rPr>
              <w:tab/>
            </w:r>
            <w:r w:rsidR="00F70091">
              <w:rPr>
                <w:noProof/>
                <w:webHidden/>
              </w:rPr>
              <w:fldChar w:fldCharType="begin"/>
            </w:r>
            <w:r w:rsidR="00F70091">
              <w:rPr>
                <w:noProof/>
                <w:webHidden/>
              </w:rPr>
              <w:instrText xml:space="preserve"> PAGEREF _Toc131577065 \h </w:instrText>
            </w:r>
            <w:r w:rsidR="00F70091">
              <w:rPr>
                <w:noProof/>
                <w:webHidden/>
              </w:rPr>
            </w:r>
            <w:r w:rsidR="00F70091">
              <w:rPr>
                <w:noProof/>
                <w:webHidden/>
              </w:rPr>
              <w:fldChar w:fldCharType="separate"/>
            </w:r>
            <w:r w:rsidR="00F70091">
              <w:rPr>
                <w:noProof/>
                <w:webHidden/>
              </w:rPr>
              <w:t>9</w:t>
            </w:r>
            <w:r w:rsidR="00F70091">
              <w:rPr>
                <w:noProof/>
                <w:webHidden/>
              </w:rPr>
              <w:fldChar w:fldCharType="end"/>
            </w:r>
          </w:hyperlink>
        </w:p>
        <w:p w14:paraId="43CEBD2F" w14:textId="22687414" w:rsidR="00F70091" w:rsidRDefault="00A73A8E">
          <w:pPr>
            <w:pStyle w:val="TOC1"/>
            <w:tabs>
              <w:tab w:val="right" w:leader="dot" w:pos="9350"/>
            </w:tabs>
            <w:rPr>
              <w:noProof/>
            </w:rPr>
          </w:pPr>
          <w:hyperlink w:anchor="_Toc131577066" w:history="1">
            <w:r w:rsidR="00F70091" w:rsidRPr="00927CCB">
              <w:rPr>
                <w:rStyle w:val="Hyperlink"/>
                <w:noProof/>
              </w:rPr>
              <w:t>References</w:t>
            </w:r>
            <w:r w:rsidR="00F70091">
              <w:rPr>
                <w:noProof/>
                <w:webHidden/>
              </w:rPr>
              <w:tab/>
            </w:r>
            <w:r w:rsidR="00F70091">
              <w:rPr>
                <w:noProof/>
                <w:webHidden/>
              </w:rPr>
              <w:fldChar w:fldCharType="begin"/>
            </w:r>
            <w:r w:rsidR="00F70091">
              <w:rPr>
                <w:noProof/>
                <w:webHidden/>
              </w:rPr>
              <w:instrText xml:space="preserve"> PAGEREF _Toc131577066 \h </w:instrText>
            </w:r>
            <w:r w:rsidR="00F70091">
              <w:rPr>
                <w:noProof/>
                <w:webHidden/>
              </w:rPr>
            </w:r>
            <w:r w:rsidR="00F70091">
              <w:rPr>
                <w:noProof/>
                <w:webHidden/>
              </w:rPr>
              <w:fldChar w:fldCharType="separate"/>
            </w:r>
            <w:r w:rsidR="00F70091">
              <w:rPr>
                <w:noProof/>
                <w:webHidden/>
              </w:rPr>
              <w:t>11</w:t>
            </w:r>
            <w:r w:rsidR="00F70091">
              <w:rPr>
                <w:noProof/>
                <w:webHidden/>
              </w:rPr>
              <w:fldChar w:fldCharType="end"/>
            </w:r>
          </w:hyperlink>
        </w:p>
        <w:p w14:paraId="52883DBA" w14:textId="1C39D4F2" w:rsidR="00F70091" w:rsidRDefault="00F70091">
          <w:r>
            <w:rPr>
              <w:b/>
              <w:bCs/>
              <w:lang w:val="en-GB"/>
            </w:rPr>
            <w:fldChar w:fldCharType="end"/>
          </w:r>
        </w:p>
      </w:sdtContent>
    </w:sdt>
    <w:p w14:paraId="4FAB4EDB" w14:textId="24BE704B" w:rsidR="00F70091" w:rsidRDefault="00F70091">
      <w:pPr>
        <w:widowControl/>
        <w:autoSpaceDE/>
        <w:autoSpaceDN/>
        <w:spacing w:after="160" w:line="259" w:lineRule="auto"/>
        <w:jc w:val="left"/>
        <w:rPr>
          <w:rFonts w:eastAsiaTheme="majorEastAsia" w:cstheme="majorBidi"/>
          <w:b/>
          <w:color w:val="2F5496" w:themeColor="accent1" w:themeShade="BF"/>
          <w:szCs w:val="32"/>
        </w:rPr>
      </w:pPr>
      <w:r>
        <w:br w:type="page"/>
      </w:r>
    </w:p>
    <w:p w14:paraId="346E2D46" w14:textId="33228DEB" w:rsidR="004C4997" w:rsidRDefault="00D717A5" w:rsidP="00D717A5">
      <w:pPr>
        <w:pStyle w:val="Heading1"/>
      </w:pPr>
      <w:bookmarkStart w:id="0" w:name="_Toc131577054"/>
      <w:r>
        <w:lastRenderedPageBreak/>
        <w:t>Introduction</w:t>
      </w:r>
      <w:bookmarkEnd w:id="0"/>
    </w:p>
    <w:p w14:paraId="0C345B98" w14:textId="3DB166A5" w:rsidR="00D717A5" w:rsidRDefault="00974DFA" w:rsidP="00D717A5">
      <w:r w:rsidRPr="00974DFA">
        <w:t>Human resource management refers to the processes involved in staffing an organization, including recruitment, selection, orientation, training, compensation, policy creation, and retention planning (VARDARLIER,2019). The importance of human resource management at today's Capgemini in the UK has only grown over the last two decades. In the outset, it is important to stress that every manager plays a part in HRM. We may not have the HR manager title, but that doesn't mean we can't do part or all of the HRM duties (VARDARLIER, 2019). For example, most managers are responsible for staff retention, motivation, and remuneration, all of which fall within the purview of human resource management (HRM). Capgemini uses a wide range of funding mechanisms regardless of the size of the business. Capital may take the form of monetary assets, jewels, or even products sold to generate revenue. In order to maintain consistency and ensure everyone is treated fairly, the corporation has established policies. Human resource management (HRM) is positioned to encourage language that encompasses these methods. Human resource management, management, and executives all have a hand in formulating company policy (VARDARLIER,2019).</w:t>
      </w:r>
    </w:p>
    <w:p w14:paraId="3073953B" w14:textId="4F6D1A05" w:rsidR="00DE5776" w:rsidRDefault="001016A6" w:rsidP="00D41CD1">
      <w:pPr>
        <w:pStyle w:val="Heading1"/>
        <w:rPr>
          <w:shd w:val="clear" w:color="auto" w:fill="FFFFFF"/>
        </w:rPr>
      </w:pPr>
      <w:bookmarkStart w:id="1" w:name="_Toc131577055"/>
      <w:r>
        <w:rPr>
          <w:shd w:val="clear" w:color="auto" w:fill="FFFFFF"/>
        </w:rPr>
        <w:t>Current State of Labor Market in the UK</w:t>
      </w:r>
      <w:bookmarkEnd w:id="1"/>
    </w:p>
    <w:p w14:paraId="59BBA36D" w14:textId="64FE4053" w:rsidR="00974DFA" w:rsidRDefault="00C665DC" w:rsidP="00D717A5">
      <w:r w:rsidRPr="00C665DC">
        <w:t xml:space="preserve">In October 2022, the number of people on the payroll is expected to hit a new high of 30 million, up 75,000 from the revised September projection. From July and September of 2022, the unemployment rate dropped by 0.3 percent, reaching 3.6%. (Blundell, et al., 2018). The national unemployment rate has fallen over the past 3 months. During July to September 2022, the economic inactivity rate increased by 0.2% to 22.6%. Those with long-term illnesses may be to blame for the current quarter's record high in economic inactivity. In a previous essay, we discussed the link between long-term illness and economic inactivity in further depth. The statistics </w:t>
      </w:r>
      <w:r w:rsidRPr="00C665DC">
        <w:lastRenderedPageBreak/>
        <w:t>indicated that more than two-thirds of those who had the chronic illness in 2021 and 2022 already were unemployed or underemployed due to some other factor three months prior to the interview (Blundell et al., 2018). The anticipated number of open positions is down 46,000 from August to October of 2022, coming in at 1,225,000. This is supported by the data (</w:t>
      </w:r>
      <w:proofErr w:type="spellStart"/>
      <w:r w:rsidRPr="00C665DC">
        <w:t>Oreffice</w:t>
      </w:r>
      <w:proofErr w:type="spellEnd"/>
      <w:r w:rsidRPr="00C665DC">
        <w:t xml:space="preserve"> &amp; Quintana-</w:t>
      </w:r>
      <w:proofErr w:type="spellStart"/>
      <w:r w:rsidRPr="00C665DC">
        <w:t>Domeque</w:t>
      </w:r>
      <w:proofErr w:type="spellEnd"/>
      <w:r w:rsidRPr="00C665DC">
        <w:t xml:space="preserve">, 2021). Job openings have fallen for four consecutive quarters, but they remain at historically high levels. According to reports, companies have put hiring on hold owing to the current economic climate. During July 2022 and September 2022, regular pay went up 5.7% and total pay went up 6.0% on average. This increase in base salary is the greatest since the coronavirus pandemic. </w:t>
      </w:r>
      <w:r w:rsidR="0093156D" w:rsidRPr="0093156D">
        <w:t>During July 2022 to September 2022, regular average earnings increased by 6.6% in the private sector and by 2.2% in the public sector (</w:t>
      </w:r>
      <w:proofErr w:type="spellStart"/>
      <w:r w:rsidR="0093156D" w:rsidRPr="0093156D">
        <w:t>Oreffice</w:t>
      </w:r>
      <w:proofErr w:type="spellEnd"/>
      <w:r w:rsidR="0093156D" w:rsidRPr="0093156D">
        <w:t xml:space="preserve"> and Quintana-</w:t>
      </w:r>
      <w:proofErr w:type="spellStart"/>
      <w:r w:rsidR="0093156D" w:rsidRPr="0093156D">
        <w:t>Domeque</w:t>
      </w:r>
      <w:proofErr w:type="spellEnd"/>
      <w:r w:rsidR="0093156D" w:rsidRPr="0093156D">
        <w:t>, 2021). There has never been such a wide gap between the private and public sectors, and private sector growth is at its highest level since the height of the coronavirus epidemic. When accounting for inflation, both median and mean pay fell by 2.6% over the course of the year. As compared to the record-breaking fall of 3.0% in real regular pay that happened from April to June 2022, this is one of the biggest slowdowns in growth since comparable data collection started in 2001.</w:t>
      </w:r>
      <w:r w:rsidRPr="00C665DC">
        <w:t xml:space="preserve"> The monthly publication of labor dispute statistics resumes this month. Twenty-five thousand workdays were lost in September of 2022 due to strikes as well as other labor problems (</w:t>
      </w:r>
      <w:proofErr w:type="spellStart"/>
      <w:r w:rsidRPr="00C665DC">
        <w:t>Orefficeand</w:t>
      </w:r>
      <w:proofErr w:type="spellEnd"/>
      <w:r w:rsidRPr="00C665DC">
        <w:t xml:space="preserve"> Quintana-</w:t>
      </w:r>
      <w:proofErr w:type="spellStart"/>
      <w:r w:rsidRPr="00C665DC">
        <w:t>Domeque</w:t>
      </w:r>
      <w:proofErr w:type="spellEnd"/>
      <w:r w:rsidRPr="00C665DC">
        <w:t>, 2021).</w:t>
      </w:r>
    </w:p>
    <w:p w14:paraId="7679DD55" w14:textId="6F727F24" w:rsidR="00996721" w:rsidRDefault="007B615D" w:rsidP="00D717A5">
      <w:r w:rsidRPr="007B615D">
        <w:t>The unemployment rate among young people is particularly worrisome since it may be a portent of future unemployment rates. Moreover, the high youth unemployment rate may be indicative of poorer future wages owing to a lack of formal education or job experience. the gender-specific rate of youth unemployment in the United Kingdom between the ages of 15 and 24 (</w:t>
      </w:r>
      <w:proofErr w:type="spellStart"/>
      <w:r w:rsidRPr="007B615D">
        <w:t>Böheim</w:t>
      </w:r>
      <w:proofErr w:type="spellEnd"/>
      <w:r w:rsidRPr="007B615D">
        <w:t xml:space="preserve">, 2014). The Great Recession saw a dramatic increase in young unemployment, which went from roughly </w:t>
      </w:r>
      <w:r w:rsidRPr="007B615D">
        <w:lastRenderedPageBreak/>
        <w:t>12% in 2022 to 20% by the conclusion of the crisis in the United Kingdom. For a long period after the recession ended, youth unemployment remained high; however, it has recently declined to levels seen before the recession. As compared to the rest of Europe, the United Kingdom once again stands out (</w:t>
      </w:r>
      <w:proofErr w:type="spellStart"/>
      <w:r w:rsidRPr="007B615D">
        <w:t>Böheim</w:t>
      </w:r>
      <w:proofErr w:type="spellEnd"/>
      <w:r w:rsidRPr="007B615D">
        <w:t>, 2014). 2. Immigrants' high rate of unemployment In the United Kingdom, like in other European countries and the United States, foreign-born employees have a higher unemployment rate than native-born workers (</w:t>
      </w:r>
      <w:proofErr w:type="spellStart"/>
      <w:r w:rsidRPr="007B615D">
        <w:t>Elgorriaga</w:t>
      </w:r>
      <w:proofErr w:type="spellEnd"/>
      <w:r w:rsidRPr="007B615D">
        <w:t xml:space="preserve">, </w:t>
      </w:r>
      <w:proofErr w:type="spellStart"/>
      <w:r w:rsidRPr="007B615D">
        <w:t>Ibabe</w:t>
      </w:r>
      <w:proofErr w:type="spellEnd"/>
      <w:r w:rsidRPr="007B615D">
        <w:t xml:space="preserve"> and </w:t>
      </w:r>
      <w:proofErr w:type="spellStart"/>
      <w:r w:rsidRPr="007B615D">
        <w:t>Arnoso</w:t>
      </w:r>
      <w:proofErr w:type="spellEnd"/>
      <w:r w:rsidRPr="007B615D">
        <w:t xml:space="preserve">, 2019). </w:t>
      </w:r>
      <w:r w:rsidR="00FD6561" w:rsidRPr="00FD6561">
        <w:t>Before the Great Recession, the unemployment rate among UK immigrants was two points higher than among native-born British (</w:t>
      </w:r>
      <w:proofErr w:type="spellStart"/>
      <w:r w:rsidR="00FD6561" w:rsidRPr="00FD6561">
        <w:t>Elgorriaga</w:t>
      </w:r>
      <w:proofErr w:type="spellEnd"/>
      <w:r w:rsidR="00FD6561" w:rsidRPr="00FD6561">
        <w:t xml:space="preserve">, </w:t>
      </w:r>
      <w:proofErr w:type="spellStart"/>
      <w:r w:rsidR="00FD6561" w:rsidRPr="00FD6561">
        <w:t>Ibabe</w:t>
      </w:r>
      <w:proofErr w:type="spellEnd"/>
      <w:r w:rsidR="00FD6561" w:rsidRPr="00FD6561">
        <w:t xml:space="preserve"> and </w:t>
      </w:r>
      <w:proofErr w:type="spellStart"/>
      <w:r w:rsidR="00FD6561" w:rsidRPr="00FD6561">
        <w:t>Arnoso</w:t>
      </w:r>
      <w:proofErr w:type="spellEnd"/>
      <w:r w:rsidR="00FD6561" w:rsidRPr="00FD6561">
        <w:t>, 2019). As immigrants were less affected by the Great Depression than native-born Britons, they have continued to gain ground during the subsequent recovery. With the conclusion of the Great Recession, however, both groups have seen improvements that have narrowed these gaps. In recent years, there has been a slight decline in the unemployment rate among those who were not born in the United Kingdom. Thirdly, Participation in the Workforce The percentage of the population that is actively seeking employment has been pretty constant in the United Kingdom during the last 15 years. As in other industrialized nations, participation increased among women, particularly those in their 50s and 60s. Nonetheless, inactivity after the Great Recession was only slightly higher than in the US</w:t>
      </w:r>
      <w:r w:rsidR="00FD6561">
        <w:t xml:space="preserve"> </w:t>
      </w:r>
      <w:r w:rsidRPr="007B615D">
        <w:t>(</w:t>
      </w:r>
      <w:proofErr w:type="spellStart"/>
      <w:r w:rsidRPr="007B615D">
        <w:t>Elgorriaga</w:t>
      </w:r>
      <w:proofErr w:type="spellEnd"/>
      <w:r w:rsidRPr="007B615D">
        <w:t xml:space="preserve">, </w:t>
      </w:r>
      <w:proofErr w:type="spellStart"/>
      <w:r w:rsidRPr="007B615D">
        <w:t>Ibabe</w:t>
      </w:r>
      <w:proofErr w:type="spellEnd"/>
      <w:r w:rsidRPr="007B615D">
        <w:t xml:space="preserve">, &amp; </w:t>
      </w:r>
      <w:proofErr w:type="spellStart"/>
      <w:r w:rsidRPr="007B615D">
        <w:t>Arnoso</w:t>
      </w:r>
      <w:proofErr w:type="spellEnd"/>
      <w:r w:rsidRPr="007B615D">
        <w:t>, 2019).</w:t>
      </w:r>
    </w:p>
    <w:p w14:paraId="07A19C04" w14:textId="77777777" w:rsidR="00985390" w:rsidRDefault="00985390" w:rsidP="00985390">
      <w:r>
        <w:t>The shrinking number of open positions is a major problem in today's labor market. As a result of the pandemic's impact on the economy, several companies have put hiring on hold until the situation becomes more stable. Despite this, it's important to remember that the number of open employment in the UK is still at a record high.</w:t>
      </w:r>
    </w:p>
    <w:p w14:paraId="5DEAEEE3" w14:textId="77777777" w:rsidR="00985390" w:rsidRDefault="00985390" w:rsidP="00985390">
      <w:r>
        <w:t xml:space="preserve">Rising wages are another noticeable pattern in the job market. Specifically, between July and September of 2022, normal average salary increase in the private sector was 6.6%. Fortunately, </w:t>
      </w:r>
      <w:r>
        <w:lastRenderedPageBreak/>
        <w:t>this is the best news for employees in the private sector since the pandemic's peak. Regular average salary increase in the public sector, on the other hand, has been just 2.2% for the same time period. Although public sector employees have been at the vanguard of the reaction to COVID-19, the growing disparity between the public and private sectors is grounds for worry.</w:t>
      </w:r>
    </w:p>
    <w:p w14:paraId="44F72CDC" w14:textId="18DB6577" w:rsidR="00F846DB" w:rsidRDefault="00985390" w:rsidP="00985390">
      <w:r>
        <w:t>Workers' actual wages have fallen owing to inflation, even with the increase in compensation. This is especially true for base pay, which has decreased by 2.7% in the last year. In comparison to prior years, this is still a considerable slowdown in growth, albeit it is less severe than the record-breaking dip in real regular pay in the second quarter of 2022.</w:t>
      </w:r>
    </w:p>
    <w:p w14:paraId="790533D0" w14:textId="726D6704" w:rsidR="009766A5" w:rsidRDefault="00E4390B" w:rsidP="00E4390B">
      <w:pPr>
        <w:pStyle w:val="Heading1"/>
      </w:pPr>
      <w:bookmarkStart w:id="2" w:name="_Toc131577056"/>
      <w:r>
        <w:t>PESTLE ANALYSIS (External Business Environment Analysis)</w:t>
      </w:r>
      <w:bookmarkEnd w:id="2"/>
    </w:p>
    <w:p w14:paraId="6A15F6DE" w14:textId="1F39BD0A" w:rsidR="00C414D4" w:rsidRDefault="00C414D4" w:rsidP="00C414D4">
      <w:pPr>
        <w:pStyle w:val="Heading2"/>
      </w:pPr>
      <w:bookmarkStart w:id="3" w:name="_Toc131577057"/>
      <w:r>
        <w:t>Political</w:t>
      </w:r>
      <w:bookmarkEnd w:id="3"/>
    </w:p>
    <w:p w14:paraId="0515F9DC" w14:textId="31FE4066" w:rsidR="00C414D4" w:rsidRPr="00C414D4" w:rsidRDefault="00F6444D" w:rsidP="00C414D4">
      <w:r w:rsidRPr="00F6444D">
        <w:t xml:space="preserve">The company's financial health and very existence are vulnerable to a wide range of political issues. Unanticipated shifts in power structures, widespread upheaval, and major policy decisions all contribute to the political risks we face today </w:t>
      </w:r>
      <w:r>
        <w:t>.</w:t>
      </w:r>
      <w:r w:rsidRPr="00F6444D">
        <w:t>How secure the country's government is at the moment. The integrity of the politicians and the possibility that they may participate in corrupt conduct, which might lead to the removal or dismissal of powerful government officials. Three examples of national laws that define commercial conduct inside the country include contract law. Some countries prohibit alcoholic beverages or have stringent requirements for purchasing them, while others have ineffective regulatory institutions that hinder commerce. A high tax rate would deter companies like from seeking maximum profit.</w:t>
      </w:r>
    </w:p>
    <w:p w14:paraId="2B6C3D03" w14:textId="77777777" w:rsidR="00C414D4" w:rsidRPr="00C414D4" w:rsidRDefault="00C414D4" w:rsidP="00C414D4">
      <w:pPr>
        <w:pStyle w:val="Heading2"/>
        <w:rPr>
          <w:rFonts w:eastAsia="Times New Roman"/>
        </w:rPr>
      </w:pPr>
      <w:bookmarkStart w:id="4" w:name="_Toc131577058"/>
      <w:r w:rsidRPr="00C414D4">
        <w:rPr>
          <w:rFonts w:eastAsia="Times New Roman"/>
        </w:rPr>
        <w:t>Economical</w:t>
      </w:r>
      <w:bookmarkEnd w:id="4"/>
    </w:p>
    <w:p w14:paraId="42408E2F" w14:textId="16C3B8AC" w:rsidR="0076361C" w:rsidRDefault="00E8117E" w:rsidP="0076361C">
      <w:r w:rsidRPr="00E8117E">
        <w:t xml:space="preserve">Examples of economic influences include shifts in inflation, foreign currency, interest rates, GDP, and the phase of the business cycle we're now in (Gabor, n.d.). What kind of dominant business model, oligopolistic structure, or anything very similar to an ideal rivalry monetary framework is </w:t>
      </w:r>
      <w:r w:rsidRPr="00E8117E">
        <w:lastRenderedPageBreak/>
        <w:t>now in place in the sector being discussed. The level of borrowing and investment activity in a nation is influenced by its interest rate environment. If interest rates were increased, investments would increase, leading to greater growth. The profitability of a country depends on the currency rate at which it functions, especially if it participates in international commerce. Foreign investors are put off by a currency that is volatile. It's also crucial that the currency be stable</w:t>
      </w:r>
      <w:r>
        <w:t>.</w:t>
      </w:r>
    </w:p>
    <w:p w14:paraId="6D904D03" w14:textId="75AF9BCA" w:rsidR="00E8117E" w:rsidRDefault="001B3869" w:rsidP="001B3869">
      <w:pPr>
        <w:pStyle w:val="Heading2"/>
      </w:pPr>
      <w:bookmarkStart w:id="5" w:name="_Toc131577059"/>
      <w:r>
        <w:t>Social</w:t>
      </w:r>
      <w:bookmarkEnd w:id="5"/>
    </w:p>
    <w:p w14:paraId="6CF87EC7" w14:textId="6C32DCD4" w:rsidR="008B6B60" w:rsidRPr="008B6B60" w:rsidRDefault="007034C7" w:rsidP="008B6B60">
      <w:r w:rsidRPr="007034C7">
        <w:t>The culture, beliefs, attitude, and values that are shared by the majority of the people in a community are all examples of social elements that have an impact on and are reflected by the society in which an organization operates. A company's operations and marketing are profoundly impacted by social factors. The likelihood of a population buying a product depends significantly on factors such as age and gender. Cosmetics are typically bought by women, thus advertising to men would be futile. It might be difficult for marketers to connect with and attract their ideal customers because of the gap in knowledge between them and the target market. should be extremely cautious to avoid alienating their intended audience.</w:t>
      </w:r>
    </w:p>
    <w:p w14:paraId="5E1C61D2" w14:textId="14ECAF3F" w:rsidR="001B3869" w:rsidRDefault="008B6B60" w:rsidP="008B6B60">
      <w:pPr>
        <w:pStyle w:val="Heading2"/>
      </w:pPr>
      <w:bookmarkStart w:id="6" w:name="_Toc131577060"/>
      <w:r>
        <w:t>Technological</w:t>
      </w:r>
      <w:bookmarkEnd w:id="6"/>
    </w:p>
    <w:p w14:paraId="570BB15E" w14:textId="43B8D0EA" w:rsidR="00F246CC" w:rsidRDefault="00024373" w:rsidP="00F246CC">
      <w:r w:rsidRPr="00024373">
        <w:t>Technology has the potential to drastically destabilize the pricing structure and competitive landscape of a sector in a very short period of time. So, it is vital to regularly innovate not just to dominate the market and maximize earnings, but also to prevent obsolescence in the near future. the most recent technological advancements and competitive breakthroughs mentioned above</w:t>
      </w:r>
      <w:r>
        <w:t xml:space="preserve">. </w:t>
      </w:r>
      <w:r w:rsidRPr="00024373">
        <w:t>A new technology's popularity, growth, and potential to cut into the profits of competitors should all be monitored closely as soon as possible. If so, it's clear that a rapid response is required, either in the form of technological parity or the development of new, effective alternatives.</w:t>
      </w:r>
    </w:p>
    <w:p w14:paraId="243380C5" w14:textId="60CACD80" w:rsidR="00024373" w:rsidRDefault="008F100B" w:rsidP="008F100B">
      <w:pPr>
        <w:pStyle w:val="Heading2"/>
      </w:pPr>
      <w:bookmarkStart w:id="7" w:name="_Toc131577061"/>
      <w:r>
        <w:lastRenderedPageBreak/>
        <w:t>Environmental</w:t>
      </w:r>
      <w:bookmarkEnd w:id="7"/>
    </w:p>
    <w:p w14:paraId="5F3A908C" w14:textId="79B37240" w:rsidR="008F100B" w:rsidRDefault="00811129" w:rsidP="008F100B">
      <w:r w:rsidRPr="00811129">
        <w:t>When it comes to environmental safeguards, several sectors establish varying standards. This guideline establishes the bare minimum that all businesses should meet to protect themselves against environmental activism and consumer backlash (</w:t>
      </w:r>
      <w:proofErr w:type="spellStart"/>
      <w:r w:rsidRPr="00811129">
        <w:t>Konanahalli</w:t>
      </w:r>
      <w:proofErr w:type="spellEnd"/>
      <w:r w:rsidRPr="00811129">
        <w:t xml:space="preserve">, Marinelli and </w:t>
      </w:r>
      <w:proofErr w:type="spellStart"/>
      <w:r w:rsidRPr="00811129">
        <w:t>Oyedele</w:t>
      </w:r>
      <w:proofErr w:type="spellEnd"/>
      <w:r w:rsidRPr="00811129">
        <w:t>, 2020). A textile factory is more likely to pollute and damage the environment than an oil industry. The ability to manage the movement of the assets and the finished item may be significantly impacted by the continuous atmospheric conditions. The delivery schedule for the final product might be affected by external factors such as an unexpected rainfall. When the environment changes, certain products may become obsolete. Because of climate change, several countries now have unusually mild winters, which has a negative impact on the market for certain fabrics (</w:t>
      </w:r>
      <w:proofErr w:type="spellStart"/>
      <w:r w:rsidRPr="00811129">
        <w:t>Konanahalli</w:t>
      </w:r>
      <w:proofErr w:type="spellEnd"/>
      <w:r w:rsidRPr="00811129">
        <w:t xml:space="preserve">, Marinelli and </w:t>
      </w:r>
      <w:proofErr w:type="spellStart"/>
      <w:r w:rsidRPr="00811129">
        <w:t>Oyedele</w:t>
      </w:r>
      <w:proofErr w:type="spellEnd"/>
      <w:r w:rsidRPr="00811129">
        <w:t>, 2020).</w:t>
      </w:r>
    </w:p>
    <w:p w14:paraId="7432FD41" w14:textId="41D3F306" w:rsidR="00811129" w:rsidRDefault="00AC3BA9" w:rsidP="00AC3BA9">
      <w:pPr>
        <w:pStyle w:val="Heading2"/>
      </w:pPr>
      <w:bookmarkStart w:id="8" w:name="_Toc131577062"/>
      <w:r>
        <w:t>Legal</w:t>
      </w:r>
      <w:bookmarkEnd w:id="8"/>
    </w:p>
    <w:p w14:paraId="7B1EFC13" w14:textId="7DC5D4FC" w:rsidR="00AC3BA9" w:rsidRDefault="00D679A1" w:rsidP="00AC3BA9">
      <w:r w:rsidRPr="00D679A1">
        <w:t>While legally political and subject to the political party with the most seats in a government body, a country's legal government structures and frameworks should be included in a PESTEL study (</w:t>
      </w:r>
      <w:proofErr w:type="spellStart"/>
      <w:r w:rsidRPr="00D679A1">
        <w:t>Konanahalli</w:t>
      </w:r>
      <w:proofErr w:type="spellEnd"/>
      <w:r w:rsidRPr="00D679A1">
        <w:t xml:space="preserve">, Marinelli and </w:t>
      </w:r>
      <w:proofErr w:type="spellStart"/>
      <w:r w:rsidRPr="00D679A1">
        <w:t>Oyedele</w:t>
      </w:r>
      <w:proofErr w:type="spellEnd"/>
      <w:r w:rsidRPr="00D679A1">
        <w:t>, 2020). Intellectual property and other data protection rules, as previously noted, restrict businesses from profiting from their own innovations and patents. The firm has a far greater likelihood of failure if its data is compromised. The government has passed anti-discrimination laws to guarantee that all workers, regardless of their gender, age, incapacity, culture, conviction, or sexual orientation, are given the same opportunities and are treated fairly (</w:t>
      </w:r>
      <w:proofErr w:type="spellStart"/>
      <w:r w:rsidRPr="00D679A1">
        <w:t>Konanahalli</w:t>
      </w:r>
      <w:proofErr w:type="spellEnd"/>
      <w:r w:rsidRPr="00D679A1">
        <w:t xml:space="preserve">, Marinelli and </w:t>
      </w:r>
      <w:proofErr w:type="spellStart"/>
      <w:r w:rsidRPr="00D679A1">
        <w:t>Oyedele</w:t>
      </w:r>
      <w:proofErr w:type="spellEnd"/>
      <w:r w:rsidRPr="00D679A1">
        <w:t>, 2020).</w:t>
      </w:r>
    </w:p>
    <w:p w14:paraId="2988CB7F" w14:textId="4C7707AA" w:rsidR="00D679A1" w:rsidRDefault="000E4F81" w:rsidP="000E4F81">
      <w:pPr>
        <w:pStyle w:val="Heading1"/>
      </w:pPr>
      <w:bookmarkStart w:id="9" w:name="_Toc131577063"/>
      <w:r>
        <w:t>The emerging changes in Human Resourcing Strategies in the post Covid, post Brexit external environment.</w:t>
      </w:r>
      <w:bookmarkEnd w:id="9"/>
    </w:p>
    <w:p w14:paraId="0D6DF468" w14:textId="34108274" w:rsidR="00EB6700" w:rsidRPr="00EB6700" w:rsidRDefault="005F5280" w:rsidP="00EB6700">
      <w:r w:rsidRPr="005F5280">
        <w:t xml:space="preserve">A increasing trend that is expected to persist in the aftermath of the epidemic is providing workers </w:t>
      </w:r>
      <w:r w:rsidRPr="005F5280">
        <w:lastRenderedPageBreak/>
        <w:t xml:space="preserve">with the choice to work remotely or in a hybrid environment (Kemp, Froese and Pauly,2020). According to LinkedIn statistics, for example, remote jobs constitute around 20% of all advertised opportunities and attracted over 50% of all applications. A increasing trend that is expected to persist in the aftermath of the epidemic is providing workers with the choice to work remotely or in a hybrid environment. Developing trust and a feeling of belonging among team members, as well as increased interest, appreciation, and encouragement from managers, will be necessary after COVID-19. Another challenge for HR will be using cutting-edge technology to recruiting, selection, and performance. The updated benefits package is aimed at enhancing emotional and psychological well-being (Kemp, Froese and Pauly, 2020). Research on HR trends, both current and forthcoming, will allow for the targeting of educational systems and the provision of personnel with the most predicted abilities, both of which will be valuable in the aftermath of the pandemic. Recommendations: As a consequence of the COVID-19 problem, several organizations have revised their development strategies (McCann et al., 2021). This outside influence toughened every continent, making for a fresh start in which any guidance would be welcomed. We did this by suggesting a few options for how HR professionals may facilitate a return to the workforce. Academics are encouraged to look into the ethical, social, technical, political, and economic repercussions of the pandemic. This term refers to the proactive avoidance of any and all foreseeable dangers to employees' mental or physical health that are connected to the employment. The danger of not extending the concept of equal protection to these two groups of employees in UK law, as envisioned under the existing EU legislation, is said to be heightened by these Brexit threat elements, even if the 2017 </w:t>
      </w:r>
      <w:proofErr w:type="spellStart"/>
      <w:r w:rsidRPr="005F5280">
        <w:t>TaylorReview</w:t>
      </w:r>
      <w:proofErr w:type="spellEnd"/>
      <w:r w:rsidRPr="005F5280">
        <w:t xml:space="preserve"> advocated labor law improvements for low-income workers. Job security for low-wage employees in the UK is already threatened by the uncertainty that will follow Brexit. The study finds that, in light of the idea of occupational well-being, low-</w:t>
      </w:r>
      <w:r w:rsidRPr="005F5280">
        <w:lastRenderedPageBreak/>
        <w:t>income employees are distinct from other workers covered by comprehensive employment legislation in the United Kingdom because of the greater risks of bodily and mental damage caused by exploitative work practices (McCann et al., 2021).</w:t>
      </w:r>
    </w:p>
    <w:p w14:paraId="3E3DF913" w14:textId="18FCD83B" w:rsidR="000E4F81" w:rsidRDefault="00EB6700" w:rsidP="00EB6700">
      <w:pPr>
        <w:pStyle w:val="Heading1"/>
      </w:pPr>
      <w:bookmarkStart w:id="10" w:name="_Toc131577064"/>
      <w:r>
        <w:t>Recommendations</w:t>
      </w:r>
      <w:bookmarkEnd w:id="10"/>
    </w:p>
    <w:p w14:paraId="37001CC3" w14:textId="16B9A0F4" w:rsidR="00D73F9F" w:rsidRPr="00D73F9F" w:rsidRDefault="00344B75" w:rsidP="00D73F9F">
      <w:r w:rsidRPr="00344B75">
        <w:t>The effectiveness of other management functional domains is directly correlated to the maturity of HRM in a company (McCann et al., 2021). Management at any level is accountable for overseeing the HR department. Human resource management is essential to the growth and prosperity of businesses and nations alike. Managing people is more challenging than managing any other resource (McCann et al., 2021).</w:t>
      </w:r>
    </w:p>
    <w:p w14:paraId="7E844B03" w14:textId="6A607C3E" w:rsidR="005F5280" w:rsidRDefault="00D73F9F" w:rsidP="00D73F9F">
      <w:pPr>
        <w:pStyle w:val="Heading1"/>
      </w:pPr>
      <w:bookmarkStart w:id="11" w:name="_Toc131577065"/>
      <w:r>
        <w:t>Conclusion</w:t>
      </w:r>
      <w:bookmarkEnd w:id="11"/>
    </w:p>
    <w:p w14:paraId="128B3AEE" w14:textId="5EE84882" w:rsidR="00344B75" w:rsidRDefault="00DD426A" w:rsidP="00344B75">
      <w:r w:rsidRPr="00DD426A">
        <w:t>In conclusion, HR departments encounter a lot of obstacles, which requires firms to implement efficient policies that not only guarantee that these obstacles are removed but also build methods for dealing with similar obstacles in the future. In assessing the current state of the UK labor market, we consider not just the macroeconomic performance as a whole, but also some of the underlying micro concerns, in particular those that affect unskilled employees. To elaborate on the ideas presented in the study, we argue that future research should focus on improving the translation of talent into performance in clear authoritative contexts and on identifying the most effective means of transmitting talent within associations. Funding agencies need to be more cognizant of the value of human resource development financing as it pertains to the organizations doing the actual work. HRM has developed through time and now plays a crucial strategic function in enterprises. Human resource (HR) expertise has been shaped to a considerable extent by the needs of the manufacturing industry.</w:t>
      </w:r>
    </w:p>
    <w:p w14:paraId="10327FD7" w14:textId="50D022CA" w:rsidR="00E018EF" w:rsidRDefault="00E018EF">
      <w:pPr>
        <w:widowControl/>
        <w:autoSpaceDE/>
        <w:autoSpaceDN/>
        <w:spacing w:after="160" w:line="259" w:lineRule="auto"/>
        <w:jc w:val="left"/>
      </w:pPr>
      <w:r>
        <w:br w:type="page"/>
      </w:r>
    </w:p>
    <w:p w14:paraId="5BD3873B" w14:textId="14F509CB" w:rsidR="00DD426A" w:rsidRDefault="00E018EF" w:rsidP="00E018EF">
      <w:pPr>
        <w:pStyle w:val="Heading1"/>
      </w:pPr>
      <w:bookmarkStart w:id="12" w:name="_Toc131577066"/>
      <w:r>
        <w:lastRenderedPageBreak/>
        <w:t>References</w:t>
      </w:r>
      <w:bookmarkEnd w:id="12"/>
    </w:p>
    <w:p w14:paraId="7ED80229" w14:textId="77777777" w:rsidR="001B0229" w:rsidRPr="001B0229" w:rsidRDefault="001B0229" w:rsidP="001B0229">
      <w:pPr>
        <w:pStyle w:val="ListParagraph"/>
        <w:numPr>
          <w:ilvl w:val="0"/>
          <w:numId w:val="2"/>
        </w:numPr>
      </w:pPr>
      <w:r w:rsidRPr="001B0229">
        <w:t xml:space="preserve">Barik, D.B. and Kumar, D.S. (2018). Macro Environment of Indian Life Insurance Business: APESTLE Analysis. </w:t>
      </w:r>
      <w:proofErr w:type="spellStart"/>
      <w:r w:rsidRPr="001B0229">
        <w:t>Bimaquest</w:t>
      </w:r>
      <w:proofErr w:type="spellEnd"/>
      <w:r w:rsidRPr="001B0229">
        <w:t xml:space="preserve">, [online] 18(3). Available at: </w:t>
      </w:r>
      <w:hyperlink r:id="rId6" w:tgtFrame="_new" w:history="1">
        <w:r w:rsidRPr="001B0229">
          <w:rPr>
            <w:color w:val="0000FF"/>
            <w:u w:val="single"/>
            <w:bdr w:val="single" w:sz="2" w:space="0" w:color="D9D9E3" w:frame="1"/>
          </w:rPr>
          <w:t>http://bimaquest.niapune.org.in/index.php/bimaquest/article/view/45</w:t>
        </w:r>
      </w:hyperlink>
      <w:r w:rsidRPr="001B0229">
        <w:t>.</w:t>
      </w:r>
    </w:p>
    <w:p w14:paraId="3FD7D343" w14:textId="77777777" w:rsidR="001B0229" w:rsidRPr="001B0229" w:rsidRDefault="001B0229" w:rsidP="001B0229">
      <w:pPr>
        <w:pStyle w:val="ListParagraph"/>
        <w:numPr>
          <w:ilvl w:val="0"/>
          <w:numId w:val="2"/>
        </w:numPr>
      </w:pPr>
      <w:r w:rsidRPr="001B0229">
        <w:t xml:space="preserve">Blundell, R., Joyce, R., Norris </w:t>
      </w:r>
      <w:proofErr w:type="spellStart"/>
      <w:r w:rsidRPr="001B0229">
        <w:t>Keiller</w:t>
      </w:r>
      <w:proofErr w:type="spellEnd"/>
      <w:r w:rsidRPr="001B0229">
        <w:t xml:space="preserve">, A. and </w:t>
      </w:r>
      <w:proofErr w:type="spellStart"/>
      <w:r w:rsidRPr="001B0229">
        <w:t>Ziliak</w:t>
      </w:r>
      <w:proofErr w:type="spellEnd"/>
      <w:r w:rsidRPr="001B0229">
        <w:t xml:space="preserve">, J.P. (2018). Income inequality and the </w:t>
      </w:r>
      <w:proofErr w:type="spellStart"/>
      <w:r w:rsidRPr="001B0229">
        <w:t>labour</w:t>
      </w:r>
      <w:proofErr w:type="spellEnd"/>
      <w:r w:rsidRPr="001B0229">
        <w:t xml:space="preserve"> market in Britain and the US. Journal of Public Economics, [online] 162, pp.48-62. doi:10.1016/j.jpubeco.2018.04.001.</w:t>
      </w:r>
    </w:p>
    <w:p w14:paraId="55D07F30" w14:textId="77777777" w:rsidR="001B0229" w:rsidRPr="001B0229" w:rsidRDefault="001B0229" w:rsidP="001B0229">
      <w:pPr>
        <w:pStyle w:val="ListParagraph"/>
        <w:numPr>
          <w:ilvl w:val="0"/>
          <w:numId w:val="2"/>
        </w:numPr>
      </w:pPr>
      <w:proofErr w:type="spellStart"/>
      <w:r w:rsidRPr="001B0229">
        <w:t>Böheim</w:t>
      </w:r>
      <w:proofErr w:type="spellEnd"/>
      <w:r w:rsidRPr="001B0229">
        <w:t>, R. (2014). The effect of early retirement schemes on youth employment. IZA World of Labor. doi:10.15185/izawol.70.</w:t>
      </w:r>
    </w:p>
    <w:p w14:paraId="3AAC4A13" w14:textId="77777777" w:rsidR="001B0229" w:rsidRPr="001B0229" w:rsidRDefault="001B0229" w:rsidP="001B0229">
      <w:pPr>
        <w:pStyle w:val="ListParagraph"/>
        <w:numPr>
          <w:ilvl w:val="0"/>
          <w:numId w:val="2"/>
        </w:numPr>
      </w:pPr>
      <w:r w:rsidRPr="001B0229">
        <w:t xml:space="preserve">BRIEFING Migrants in the UK </w:t>
      </w:r>
      <w:proofErr w:type="spellStart"/>
      <w:r w:rsidRPr="001B0229">
        <w:t>labour</w:t>
      </w:r>
      <w:proofErr w:type="spellEnd"/>
      <w:r w:rsidRPr="001B0229">
        <w:t xml:space="preserve"> market: an overview. (n.d.). [online] Available at: </w:t>
      </w:r>
      <w:hyperlink r:id="rId7" w:tgtFrame="_new" w:history="1">
        <w:r w:rsidRPr="001B0229">
          <w:rPr>
            <w:color w:val="0000FF"/>
            <w:u w:val="single"/>
            <w:bdr w:val="single" w:sz="2" w:space="0" w:color="D9D9E3" w:frame="1"/>
          </w:rPr>
          <w:t>https://migrationobservatory.ox.ac.uk/wp-content/uploads/2019/07/MigObs-Briefing-Migrants-in-the-UK-labour-market-an-overview.pdf</w:t>
        </w:r>
      </w:hyperlink>
      <w:r w:rsidRPr="001B0229">
        <w:t>.</w:t>
      </w:r>
    </w:p>
    <w:p w14:paraId="7EA29B7B" w14:textId="77777777" w:rsidR="001B0229" w:rsidRPr="001B0229" w:rsidRDefault="001B0229" w:rsidP="001B0229">
      <w:pPr>
        <w:pStyle w:val="ListParagraph"/>
        <w:numPr>
          <w:ilvl w:val="0"/>
          <w:numId w:val="2"/>
        </w:numPr>
      </w:pPr>
      <w:r w:rsidRPr="001B0229">
        <w:t xml:space="preserve">Digitally-Powered Human Resource Management: Skills and Roles in the Digital Era. (2019). Acta Informatica </w:t>
      </w:r>
      <w:proofErr w:type="spellStart"/>
      <w:r w:rsidRPr="001B0229">
        <w:t>Pragensia</w:t>
      </w:r>
      <w:proofErr w:type="spellEnd"/>
      <w:r w:rsidRPr="001B0229">
        <w:t xml:space="preserve">, [online] 8(2), pp.72-87. Available at: </w:t>
      </w:r>
      <w:hyperlink r:id="rId8" w:tgtFrame="_new" w:history="1">
        <w:r w:rsidRPr="001B0229">
          <w:rPr>
            <w:color w:val="0000FF"/>
            <w:u w:val="single"/>
            <w:bdr w:val="single" w:sz="2" w:space="0" w:color="D9D9E3" w:frame="1"/>
          </w:rPr>
          <w:t>https://www.ceeol.com/search/article-detail?id=834489</w:t>
        </w:r>
      </w:hyperlink>
      <w:r w:rsidRPr="001B0229">
        <w:t xml:space="preserve"> [Accessed 22 Dec. 2022].</w:t>
      </w:r>
    </w:p>
    <w:p w14:paraId="3F33C30E" w14:textId="77777777" w:rsidR="001B0229" w:rsidRPr="001B0229" w:rsidRDefault="001B0229" w:rsidP="001B0229">
      <w:pPr>
        <w:pStyle w:val="ListParagraph"/>
        <w:numPr>
          <w:ilvl w:val="0"/>
          <w:numId w:val="2"/>
        </w:numPr>
      </w:pPr>
      <w:proofErr w:type="spellStart"/>
      <w:r w:rsidRPr="001B0229">
        <w:t>Elgorriaga</w:t>
      </w:r>
      <w:proofErr w:type="spellEnd"/>
      <w:r w:rsidRPr="001B0229">
        <w:t xml:space="preserve">, E., </w:t>
      </w:r>
      <w:proofErr w:type="spellStart"/>
      <w:r w:rsidRPr="001B0229">
        <w:t>Ibabe</w:t>
      </w:r>
      <w:proofErr w:type="spellEnd"/>
      <w:r w:rsidRPr="001B0229">
        <w:t xml:space="preserve">, I. and </w:t>
      </w:r>
      <w:proofErr w:type="spellStart"/>
      <w:r w:rsidRPr="001B0229">
        <w:t>Arnoso</w:t>
      </w:r>
      <w:proofErr w:type="spellEnd"/>
      <w:r w:rsidRPr="001B0229">
        <w:t>, A. (2019). Mental Health of Spanish Immigrants in Germany and the UK in Comparison to Non-Immigrants and Migration Protective Factors. Psychosocial Intervention, 28(1), pp.19-27. doi:10.5093/pi2018a16.</w:t>
      </w:r>
    </w:p>
    <w:p w14:paraId="3FCED637" w14:textId="77777777" w:rsidR="001B0229" w:rsidRPr="001B0229" w:rsidRDefault="001B0229" w:rsidP="001B0229">
      <w:pPr>
        <w:pStyle w:val="ListParagraph"/>
        <w:numPr>
          <w:ilvl w:val="0"/>
          <w:numId w:val="2"/>
        </w:numPr>
      </w:pPr>
      <w:proofErr w:type="spellStart"/>
      <w:r w:rsidRPr="001B0229">
        <w:t>Fornasiero</w:t>
      </w:r>
      <w:proofErr w:type="spellEnd"/>
      <w:r w:rsidRPr="001B0229">
        <w:t xml:space="preserve">, R., </w:t>
      </w:r>
      <w:proofErr w:type="spellStart"/>
      <w:r w:rsidRPr="001B0229">
        <w:t>Sardesai</w:t>
      </w:r>
      <w:proofErr w:type="spellEnd"/>
      <w:r w:rsidRPr="001B0229">
        <w:t xml:space="preserve">, S., Cristina, A., Aristides, B. and Editors, M. (n.d.). Lecture Notes in Management and Industrial Engineering Next Generation Supply Chains. [online] Available at: </w:t>
      </w:r>
      <w:hyperlink r:id="rId9" w:anchor="page=18" w:tgtFrame="_new" w:history="1">
        <w:r w:rsidRPr="001B0229">
          <w:rPr>
            <w:color w:val="0000FF"/>
            <w:u w:val="single"/>
            <w:bdr w:val="single" w:sz="2" w:space="0" w:color="D9D9E3" w:frame="1"/>
          </w:rPr>
          <w:t>https://library.oapen.org/bitstream/handle/20.500.12657/46112/2021_Book_NextGenerationSupplyChains.pdf?sequence=1#page=18</w:t>
        </w:r>
      </w:hyperlink>
      <w:r w:rsidRPr="001B0229">
        <w:t>.</w:t>
      </w:r>
    </w:p>
    <w:p w14:paraId="7CFCC58F" w14:textId="77777777" w:rsidR="001B0229" w:rsidRPr="001B0229" w:rsidRDefault="001B0229" w:rsidP="001B0229">
      <w:pPr>
        <w:pStyle w:val="ListParagraph"/>
        <w:numPr>
          <w:ilvl w:val="0"/>
          <w:numId w:val="2"/>
        </w:numPr>
      </w:pPr>
      <w:r w:rsidRPr="001B0229">
        <w:lastRenderedPageBreak/>
        <w:t xml:space="preserve">Gabor (n.d.). Strategic Management and Change. [online] Available at: </w:t>
      </w:r>
      <w:hyperlink r:id="rId10" w:tgtFrame="_new" w:history="1">
        <w:r w:rsidRPr="001B0229">
          <w:rPr>
            <w:color w:val="0000FF"/>
            <w:u w:val="single"/>
            <w:bdr w:val="single" w:sz="2" w:space="0" w:color="D9D9E3" w:frame="1"/>
          </w:rPr>
          <w:t>https://andrewsnotes.com/wp-content/uploads/2021/12/Strategic-Management-and-Change.pdf</w:t>
        </w:r>
      </w:hyperlink>
      <w:r w:rsidRPr="001B0229">
        <w:t>.</w:t>
      </w:r>
    </w:p>
    <w:p w14:paraId="72831EAF" w14:textId="77777777" w:rsidR="001B0229" w:rsidRPr="001B0229" w:rsidRDefault="001B0229" w:rsidP="001B0229">
      <w:pPr>
        <w:pStyle w:val="ListParagraph"/>
        <w:numPr>
          <w:ilvl w:val="0"/>
          <w:numId w:val="2"/>
        </w:numPr>
      </w:pPr>
      <w:r w:rsidRPr="001B0229">
        <w:rPr>
          <w:bdr w:val="none" w:sz="0" w:space="0" w:color="auto" w:frame="1"/>
        </w:rPr>
        <w:br/>
      </w:r>
      <w:r w:rsidRPr="001B0229">
        <w:t>Kemp, P.S., Froese, R. and Pauly, D. (2020). COVID-19 provides an opportunity to advance a sustainable UK fisheries policy in a post-Brexit brave new world. Marine Policy, 120, p.104114. doi:10.1016/j.marpol.2020.104114.</w:t>
      </w:r>
    </w:p>
    <w:p w14:paraId="2B3D0ED8" w14:textId="77777777" w:rsidR="001B0229" w:rsidRPr="001B0229" w:rsidRDefault="001B0229" w:rsidP="001B0229">
      <w:pPr>
        <w:pStyle w:val="ListParagraph"/>
        <w:numPr>
          <w:ilvl w:val="0"/>
          <w:numId w:val="2"/>
        </w:numPr>
      </w:pPr>
      <w:proofErr w:type="spellStart"/>
      <w:r w:rsidRPr="001B0229">
        <w:t>Konanahalli</w:t>
      </w:r>
      <w:proofErr w:type="spellEnd"/>
      <w:r w:rsidRPr="001B0229">
        <w:t xml:space="preserve">, A., Marinelli, M. and </w:t>
      </w:r>
      <w:proofErr w:type="spellStart"/>
      <w:r w:rsidRPr="001B0229">
        <w:t>Oyedele</w:t>
      </w:r>
      <w:proofErr w:type="spellEnd"/>
      <w:r w:rsidRPr="001B0229">
        <w:t>, L. (2020). Drivers and Challenges Associated With the Implementation of Big Data Within U.K. Facilities Management Sector: An Exploratory Factor Analysis Approach. IEEE Transactions on Engineering Management, pp.1-14. doi:10.1109/tem.2019.2959914.</w:t>
      </w:r>
    </w:p>
    <w:p w14:paraId="606F4444" w14:textId="77777777" w:rsidR="001B0229" w:rsidRPr="001B0229" w:rsidRDefault="001B0229" w:rsidP="001B0229">
      <w:pPr>
        <w:pStyle w:val="ListParagraph"/>
        <w:numPr>
          <w:ilvl w:val="0"/>
          <w:numId w:val="2"/>
        </w:numPr>
      </w:pPr>
      <w:proofErr w:type="spellStart"/>
      <w:r w:rsidRPr="001B0229">
        <w:t>Marra</w:t>
      </w:r>
      <w:proofErr w:type="spellEnd"/>
      <w:r w:rsidRPr="001B0229">
        <w:t>, M. (2022). Productive interactions in digital training partnerships: Lessons learned for regional development and university societal impact assessment. Evaluation and Program Planning, 95, p.102173. doi:10.1016/j.evalprogplan.2022.102173.</w:t>
      </w:r>
    </w:p>
    <w:p w14:paraId="279ACFB4" w14:textId="77777777" w:rsidR="001B0229" w:rsidRPr="001B0229" w:rsidRDefault="001B0229" w:rsidP="001B0229">
      <w:pPr>
        <w:pStyle w:val="ListParagraph"/>
        <w:numPr>
          <w:ilvl w:val="0"/>
          <w:numId w:val="2"/>
        </w:numPr>
      </w:pPr>
      <w:r w:rsidRPr="001B0229">
        <w:t>McCann, P., Ortega-</w:t>
      </w:r>
      <w:proofErr w:type="spellStart"/>
      <w:r w:rsidRPr="001B0229">
        <w:t>Argilés</w:t>
      </w:r>
      <w:proofErr w:type="spellEnd"/>
      <w:r w:rsidRPr="001B0229">
        <w:t xml:space="preserve">, R., </w:t>
      </w:r>
      <w:proofErr w:type="spellStart"/>
      <w:r w:rsidRPr="001B0229">
        <w:t>Sevinc</w:t>
      </w:r>
      <w:proofErr w:type="spellEnd"/>
      <w:r w:rsidRPr="001B0229">
        <w:t>, D. and Cepeda-</w:t>
      </w:r>
      <w:proofErr w:type="spellStart"/>
      <w:r w:rsidRPr="001B0229">
        <w:t>Zorrilla</w:t>
      </w:r>
      <w:proofErr w:type="spellEnd"/>
      <w:r w:rsidRPr="001B0229">
        <w:t>, M. (2021). Rebalancing UK regional and industrial policy post-Brexit and post-Covid-19: lessons learned and priorities for the future. Regional Studies, pp.1-13. doi:10.1080/00343404.2021.1922663.</w:t>
      </w:r>
    </w:p>
    <w:p w14:paraId="791EEE8D" w14:textId="77777777" w:rsidR="001B0229" w:rsidRPr="001B0229" w:rsidRDefault="001B0229" w:rsidP="001B0229">
      <w:pPr>
        <w:pStyle w:val="ListParagraph"/>
        <w:numPr>
          <w:ilvl w:val="0"/>
          <w:numId w:val="2"/>
        </w:numPr>
      </w:pPr>
      <w:proofErr w:type="spellStart"/>
      <w:r w:rsidRPr="001B0229">
        <w:t>Oreffice</w:t>
      </w:r>
      <w:proofErr w:type="spellEnd"/>
      <w:r w:rsidRPr="001B0229">
        <w:t>, S. and Quintana-</w:t>
      </w:r>
      <w:proofErr w:type="spellStart"/>
      <w:r w:rsidRPr="001B0229">
        <w:t>Domeque</w:t>
      </w:r>
      <w:proofErr w:type="spellEnd"/>
      <w:r w:rsidRPr="001B0229">
        <w:t>, C. (2021). Gender inequality in COVID-19 times: evidence from UK prolific participants. Journal of Demographic Economics, 87(2), pp.1-27. doi:10.1017/dem.2021.2.</w:t>
      </w:r>
    </w:p>
    <w:p w14:paraId="32B27FF9" w14:textId="77777777" w:rsidR="001B0229" w:rsidRPr="001B0229" w:rsidRDefault="001B0229" w:rsidP="001B0229">
      <w:pPr>
        <w:pStyle w:val="ListParagraph"/>
        <w:numPr>
          <w:ilvl w:val="0"/>
          <w:numId w:val="2"/>
        </w:numPr>
      </w:pPr>
      <w:r w:rsidRPr="001B0229">
        <w:t xml:space="preserve">Predictive Control Algorithms, Real-World Connected Vehicle Data, and Smart Mobility Technologies in Intelligent Transportation Planning and Engineering. (2021). Contemporary Readings in Law and Social Justice, [online] 13(2), pp.79-92. Available at: </w:t>
      </w:r>
      <w:hyperlink r:id="rId11" w:tgtFrame="_new" w:history="1">
        <w:r w:rsidRPr="001B0229">
          <w:rPr>
            <w:color w:val="0000FF"/>
            <w:u w:val="single"/>
            <w:bdr w:val="single" w:sz="2" w:space="0" w:color="D9D9E3" w:frame="1"/>
          </w:rPr>
          <w:t>https://www.ceeol.com/search/article-detail?id=996106</w:t>
        </w:r>
      </w:hyperlink>
      <w:r w:rsidRPr="001B0229">
        <w:t xml:space="preserve"> [Accessed 22 Dec. 2022].</w:t>
      </w:r>
    </w:p>
    <w:p w14:paraId="04E44AE7" w14:textId="77777777" w:rsidR="001B0229" w:rsidRPr="001B0229" w:rsidRDefault="001B0229" w:rsidP="001B0229">
      <w:pPr>
        <w:pStyle w:val="ListParagraph"/>
        <w:numPr>
          <w:ilvl w:val="0"/>
          <w:numId w:val="2"/>
        </w:numPr>
      </w:pPr>
      <w:r w:rsidRPr="001B0229">
        <w:t>VARDARLIER, P. (2019). Digital Transformation of Human Resource Management: Digital Applications and Strategic Tools in HRM. Contributions to Management Science, pp.239-264. doi:10.1007/978-3-030-29739-8_11.</w:t>
      </w:r>
    </w:p>
    <w:p w14:paraId="178561D4" w14:textId="451A326B" w:rsidR="00E018EF" w:rsidRPr="00E018EF" w:rsidRDefault="00E018EF" w:rsidP="001B0229"/>
    <w:sectPr w:rsidR="00E018EF" w:rsidRPr="00E018EF" w:rsidSect="003819CF">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F7798"/>
    <w:multiLevelType w:val="multilevel"/>
    <w:tmpl w:val="A7F28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825B63"/>
    <w:multiLevelType w:val="hybridMultilevel"/>
    <w:tmpl w:val="5AE21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97"/>
    <w:rsid w:val="00024373"/>
    <w:rsid w:val="000E4F81"/>
    <w:rsid w:val="001016A6"/>
    <w:rsid w:val="001B0229"/>
    <w:rsid w:val="001B3869"/>
    <w:rsid w:val="001F3D17"/>
    <w:rsid w:val="002823B8"/>
    <w:rsid w:val="00344B75"/>
    <w:rsid w:val="003819CF"/>
    <w:rsid w:val="00423780"/>
    <w:rsid w:val="004768B2"/>
    <w:rsid w:val="004C4997"/>
    <w:rsid w:val="00526E40"/>
    <w:rsid w:val="005F5280"/>
    <w:rsid w:val="006B0ECA"/>
    <w:rsid w:val="007034C7"/>
    <w:rsid w:val="00756659"/>
    <w:rsid w:val="0076361C"/>
    <w:rsid w:val="007B615D"/>
    <w:rsid w:val="00811129"/>
    <w:rsid w:val="008A2B83"/>
    <w:rsid w:val="008B41EA"/>
    <w:rsid w:val="008B6B60"/>
    <w:rsid w:val="008F100B"/>
    <w:rsid w:val="0093156D"/>
    <w:rsid w:val="00974DFA"/>
    <w:rsid w:val="009766A5"/>
    <w:rsid w:val="00985390"/>
    <w:rsid w:val="00996721"/>
    <w:rsid w:val="00A73A8E"/>
    <w:rsid w:val="00A83200"/>
    <w:rsid w:val="00AC3BA9"/>
    <w:rsid w:val="00B1287F"/>
    <w:rsid w:val="00B275F9"/>
    <w:rsid w:val="00C414D4"/>
    <w:rsid w:val="00C665DC"/>
    <w:rsid w:val="00C95599"/>
    <w:rsid w:val="00D32299"/>
    <w:rsid w:val="00D41CD1"/>
    <w:rsid w:val="00D679A1"/>
    <w:rsid w:val="00D717A5"/>
    <w:rsid w:val="00D73F9F"/>
    <w:rsid w:val="00DD426A"/>
    <w:rsid w:val="00DE5776"/>
    <w:rsid w:val="00E018EF"/>
    <w:rsid w:val="00E4390B"/>
    <w:rsid w:val="00E8117E"/>
    <w:rsid w:val="00E861C2"/>
    <w:rsid w:val="00EB6700"/>
    <w:rsid w:val="00F246CC"/>
    <w:rsid w:val="00F6444D"/>
    <w:rsid w:val="00F70091"/>
    <w:rsid w:val="00F846DB"/>
    <w:rsid w:val="00FD65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7D717"/>
  <w15:chartTrackingRefBased/>
  <w15:docId w15:val="{2B2723BF-94BD-48A9-9AD8-115C640C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1016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customStyle="1" w:styleId="Heading2Char">
    <w:name w:val="Heading 2 Char"/>
    <w:basedOn w:val="DefaultParagraphFont"/>
    <w:link w:val="Heading2"/>
    <w:uiPriority w:val="9"/>
    <w:rsid w:val="001016A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B0229"/>
    <w:pPr>
      <w:widowControl/>
      <w:autoSpaceDE/>
      <w:autoSpaceDN/>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1B0229"/>
    <w:rPr>
      <w:color w:val="0000FF"/>
      <w:u w:val="single"/>
    </w:rPr>
  </w:style>
  <w:style w:type="paragraph" w:styleId="ListParagraph">
    <w:name w:val="List Paragraph"/>
    <w:basedOn w:val="Normal"/>
    <w:uiPriority w:val="34"/>
    <w:qFormat/>
    <w:rsid w:val="001B0229"/>
    <w:pPr>
      <w:ind w:left="720"/>
      <w:contextualSpacing/>
    </w:pPr>
  </w:style>
  <w:style w:type="paragraph" w:styleId="TOCHeading">
    <w:name w:val="TOC Heading"/>
    <w:basedOn w:val="Heading1"/>
    <w:next w:val="Normal"/>
    <w:uiPriority w:val="39"/>
    <w:unhideWhenUsed/>
    <w:qFormat/>
    <w:rsid w:val="00F70091"/>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F70091"/>
    <w:pPr>
      <w:spacing w:after="100"/>
    </w:pPr>
  </w:style>
  <w:style w:type="paragraph" w:styleId="TOC2">
    <w:name w:val="toc 2"/>
    <w:basedOn w:val="Normal"/>
    <w:next w:val="Normal"/>
    <w:autoRedefine/>
    <w:uiPriority w:val="39"/>
    <w:unhideWhenUsed/>
    <w:rsid w:val="00F700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324813">
      <w:bodyDiv w:val="1"/>
      <w:marLeft w:val="0"/>
      <w:marRight w:val="0"/>
      <w:marTop w:val="0"/>
      <w:marBottom w:val="0"/>
      <w:divBdr>
        <w:top w:val="none" w:sz="0" w:space="0" w:color="auto"/>
        <w:left w:val="none" w:sz="0" w:space="0" w:color="auto"/>
        <w:bottom w:val="none" w:sz="0" w:space="0" w:color="auto"/>
        <w:right w:val="none" w:sz="0" w:space="0" w:color="auto"/>
      </w:divBdr>
      <w:divsChild>
        <w:div w:id="1982077258">
          <w:marLeft w:val="0"/>
          <w:marRight w:val="0"/>
          <w:marTop w:val="0"/>
          <w:marBottom w:val="0"/>
          <w:divBdr>
            <w:top w:val="single" w:sz="2" w:space="0" w:color="auto"/>
            <w:left w:val="single" w:sz="2" w:space="0" w:color="auto"/>
            <w:bottom w:val="single" w:sz="6" w:space="0" w:color="auto"/>
            <w:right w:val="single" w:sz="2" w:space="0" w:color="auto"/>
          </w:divBdr>
          <w:divsChild>
            <w:div w:id="12289249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646048">
                  <w:marLeft w:val="0"/>
                  <w:marRight w:val="0"/>
                  <w:marTop w:val="0"/>
                  <w:marBottom w:val="0"/>
                  <w:divBdr>
                    <w:top w:val="single" w:sz="2" w:space="0" w:color="D9D9E3"/>
                    <w:left w:val="single" w:sz="2" w:space="0" w:color="D9D9E3"/>
                    <w:bottom w:val="single" w:sz="2" w:space="0" w:color="D9D9E3"/>
                    <w:right w:val="single" w:sz="2" w:space="0" w:color="D9D9E3"/>
                  </w:divBdr>
                  <w:divsChild>
                    <w:div w:id="1826311933">
                      <w:marLeft w:val="0"/>
                      <w:marRight w:val="0"/>
                      <w:marTop w:val="0"/>
                      <w:marBottom w:val="0"/>
                      <w:divBdr>
                        <w:top w:val="single" w:sz="2" w:space="0" w:color="D9D9E3"/>
                        <w:left w:val="single" w:sz="2" w:space="0" w:color="D9D9E3"/>
                        <w:bottom w:val="single" w:sz="2" w:space="0" w:color="D9D9E3"/>
                        <w:right w:val="single" w:sz="2" w:space="0" w:color="D9D9E3"/>
                      </w:divBdr>
                      <w:divsChild>
                        <w:div w:id="1965848594">
                          <w:marLeft w:val="0"/>
                          <w:marRight w:val="0"/>
                          <w:marTop w:val="0"/>
                          <w:marBottom w:val="0"/>
                          <w:divBdr>
                            <w:top w:val="single" w:sz="2" w:space="0" w:color="D9D9E3"/>
                            <w:left w:val="single" w:sz="2" w:space="0" w:color="D9D9E3"/>
                            <w:bottom w:val="single" w:sz="2" w:space="0" w:color="D9D9E3"/>
                            <w:right w:val="single" w:sz="2" w:space="0" w:color="D9D9E3"/>
                          </w:divBdr>
                          <w:divsChild>
                            <w:div w:id="2004116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9483381">
      <w:bodyDiv w:val="1"/>
      <w:marLeft w:val="0"/>
      <w:marRight w:val="0"/>
      <w:marTop w:val="0"/>
      <w:marBottom w:val="0"/>
      <w:divBdr>
        <w:top w:val="none" w:sz="0" w:space="0" w:color="auto"/>
        <w:left w:val="none" w:sz="0" w:space="0" w:color="auto"/>
        <w:bottom w:val="none" w:sz="0" w:space="0" w:color="auto"/>
        <w:right w:val="none" w:sz="0" w:space="0" w:color="auto"/>
      </w:divBdr>
      <w:divsChild>
        <w:div w:id="5792851">
          <w:marLeft w:val="0"/>
          <w:marRight w:val="0"/>
          <w:marTop w:val="0"/>
          <w:marBottom w:val="0"/>
          <w:divBdr>
            <w:top w:val="single" w:sz="2" w:space="0" w:color="auto"/>
            <w:left w:val="single" w:sz="2" w:space="0" w:color="auto"/>
            <w:bottom w:val="single" w:sz="6" w:space="0" w:color="auto"/>
            <w:right w:val="single" w:sz="2" w:space="0" w:color="auto"/>
          </w:divBdr>
          <w:divsChild>
            <w:div w:id="1092238911">
              <w:marLeft w:val="0"/>
              <w:marRight w:val="0"/>
              <w:marTop w:val="100"/>
              <w:marBottom w:val="100"/>
              <w:divBdr>
                <w:top w:val="single" w:sz="2" w:space="0" w:color="D9D9E3"/>
                <w:left w:val="single" w:sz="2" w:space="0" w:color="D9D9E3"/>
                <w:bottom w:val="single" w:sz="2" w:space="0" w:color="D9D9E3"/>
                <w:right w:val="single" w:sz="2" w:space="0" w:color="D9D9E3"/>
              </w:divBdr>
              <w:divsChild>
                <w:div w:id="462967205">
                  <w:marLeft w:val="0"/>
                  <w:marRight w:val="0"/>
                  <w:marTop w:val="0"/>
                  <w:marBottom w:val="0"/>
                  <w:divBdr>
                    <w:top w:val="single" w:sz="2" w:space="0" w:color="D9D9E3"/>
                    <w:left w:val="single" w:sz="2" w:space="0" w:color="D9D9E3"/>
                    <w:bottom w:val="single" w:sz="2" w:space="0" w:color="D9D9E3"/>
                    <w:right w:val="single" w:sz="2" w:space="0" w:color="D9D9E3"/>
                  </w:divBdr>
                  <w:divsChild>
                    <w:div w:id="509755367">
                      <w:marLeft w:val="0"/>
                      <w:marRight w:val="0"/>
                      <w:marTop w:val="0"/>
                      <w:marBottom w:val="0"/>
                      <w:divBdr>
                        <w:top w:val="single" w:sz="2" w:space="0" w:color="D9D9E3"/>
                        <w:left w:val="single" w:sz="2" w:space="0" w:color="D9D9E3"/>
                        <w:bottom w:val="single" w:sz="2" w:space="0" w:color="D9D9E3"/>
                        <w:right w:val="single" w:sz="2" w:space="0" w:color="D9D9E3"/>
                      </w:divBdr>
                      <w:divsChild>
                        <w:div w:id="1535577196">
                          <w:marLeft w:val="0"/>
                          <w:marRight w:val="0"/>
                          <w:marTop w:val="0"/>
                          <w:marBottom w:val="0"/>
                          <w:divBdr>
                            <w:top w:val="single" w:sz="2" w:space="0" w:color="D9D9E3"/>
                            <w:left w:val="single" w:sz="2" w:space="0" w:color="D9D9E3"/>
                            <w:bottom w:val="single" w:sz="2" w:space="0" w:color="D9D9E3"/>
                            <w:right w:val="single" w:sz="2" w:space="0" w:color="D9D9E3"/>
                          </w:divBdr>
                          <w:divsChild>
                            <w:div w:id="127087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8507278">
      <w:bodyDiv w:val="1"/>
      <w:marLeft w:val="0"/>
      <w:marRight w:val="0"/>
      <w:marTop w:val="0"/>
      <w:marBottom w:val="0"/>
      <w:divBdr>
        <w:top w:val="none" w:sz="0" w:space="0" w:color="auto"/>
        <w:left w:val="none" w:sz="0" w:space="0" w:color="auto"/>
        <w:bottom w:val="none" w:sz="0" w:space="0" w:color="auto"/>
        <w:right w:val="none" w:sz="0" w:space="0" w:color="auto"/>
      </w:divBdr>
      <w:divsChild>
        <w:div w:id="209073455">
          <w:marLeft w:val="0"/>
          <w:marRight w:val="0"/>
          <w:marTop w:val="0"/>
          <w:marBottom w:val="0"/>
          <w:divBdr>
            <w:top w:val="single" w:sz="2" w:space="0" w:color="auto"/>
            <w:left w:val="single" w:sz="2" w:space="0" w:color="auto"/>
            <w:bottom w:val="single" w:sz="2" w:space="0" w:color="auto"/>
            <w:right w:val="single" w:sz="2" w:space="0" w:color="auto"/>
          </w:divBdr>
        </w:div>
      </w:divsChild>
    </w:div>
    <w:div w:id="2090417168">
      <w:bodyDiv w:val="1"/>
      <w:marLeft w:val="0"/>
      <w:marRight w:val="0"/>
      <w:marTop w:val="0"/>
      <w:marBottom w:val="0"/>
      <w:divBdr>
        <w:top w:val="none" w:sz="0" w:space="0" w:color="auto"/>
        <w:left w:val="none" w:sz="0" w:space="0" w:color="auto"/>
        <w:bottom w:val="none" w:sz="0" w:space="0" w:color="auto"/>
        <w:right w:val="none" w:sz="0" w:space="0" w:color="auto"/>
      </w:divBdr>
      <w:divsChild>
        <w:div w:id="832070473">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eol.com/search/article-detail?id=83448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migrationobservatory.ox.ac.uk/wp-content/uploads/2019/07/MigObs-Briefing-Migrants-in-the-UK-labour-market-an-overview.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bimaquest.niapune.org.in/index.php/bimaquest/article/view/45" TargetMode="External"/><Relationship Id="rId11" Type="http://schemas.openxmlformats.org/officeDocument/2006/relationships/hyperlink" Target="https://www.ceeol.com/search/article-detail?id=996106" TargetMode="External"/><Relationship Id="rId5" Type="http://schemas.openxmlformats.org/officeDocument/2006/relationships/webSettings" Target="webSettings.xml"/><Relationship Id="rId10" Type="http://schemas.openxmlformats.org/officeDocument/2006/relationships/hyperlink" Target="https://andrewsnotes.com/wp-content/uploads/2021/12/Strategic-Management-and-Change.pdf" TargetMode="External"/><Relationship Id="rId4" Type="http://schemas.openxmlformats.org/officeDocument/2006/relationships/settings" Target="settings.xml"/><Relationship Id="rId9" Type="http://schemas.openxmlformats.org/officeDocument/2006/relationships/hyperlink" Target="https://library.oapen.org/bitstream/handle/20.500.12657/46112/2021_Book_NextGenerationSupplyChains.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F4119-5D32-4754-96E8-93F237DCE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3167</Words>
  <Characters>18056</Characters>
  <Application>Microsoft Office Word</Application>
  <DocSecurity>0</DocSecurity>
  <Lines>150</Lines>
  <Paragraphs>42</Paragraphs>
  <ScaleCrop>false</ScaleCrop>
  <Company/>
  <LinksUpToDate>false</LinksUpToDate>
  <CharactersWithSpaces>21181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50</cp:revision>
  <dcterms:created xsi:type="dcterms:W3CDTF">2023-04-05T03:40:00Z</dcterms:created>
  <dcterms:modified xsi:type="dcterms:W3CDTF">2023-04-19T03:31:00Z</dcterms:modified>
</cp:coreProperties>
</file>