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3C92A" w14:textId="77777777" w:rsidR="00570D2B" w:rsidRDefault="00570D2B">
      <w:pPr>
        <w:spacing w:before="200" w:after="80" w:line="360" w:lineRule="auto"/>
        <w:jc w:val="center"/>
        <w:rPr>
          <w:rFonts w:ascii="Times New Roman" w:eastAsia="Times New Roman" w:hAnsi="Times New Roman" w:cs="Times New Roman"/>
          <w:b/>
          <w:bCs/>
          <w:sz w:val="40"/>
          <w:szCs w:val="40"/>
        </w:rPr>
      </w:pPr>
    </w:p>
    <w:p w14:paraId="3A493CAE" w14:textId="77777777" w:rsidR="00570D2B" w:rsidRDefault="00570D2B">
      <w:pPr>
        <w:spacing w:before="200" w:after="80" w:line="360" w:lineRule="auto"/>
        <w:jc w:val="center"/>
        <w:rPr>
          <w:rFonts w:ascii="Times New Roman" w:eastAsia="Times New Roman" w:hAnsi="Times New Roman" w:cs="Times New Roman"/>
          <w:b/>
          <w:bCs/>
          <w:sz w:val="40"/>
          <w:szCs w:val="40"/>
        </w:rPr>
      </w:pPr>
    </w:p>
    <w:p w14:paraId="26A9B2AF" w14:textId="77777777" w:rsidR="00570D2B" w:rsidRDefault="00000000">
      <w:pPr>
        <w:spacing w:before="200" w:after="80"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International Market Entry Project: Launch of a UK Organic Skincare Brand into Germany</w:t>
      </w:r>
    </w:p>
    <w:p w14:paraId="6753EF0E" w14:textId="77777777" w:rsidR="00D974F8" w:rsidRDefault="00000000" w:rsidP="00D974F8">
      <w:pPr>
        <w:spacing w:after="24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Student Name: Marian Gabriel Apostu</w:t>
      </w:r>
      <w:r>
        <w:rPr>
          <w:rFonts w:ascii="Times New Roman" w:eastAsia="Times New Roman" w:hAnsi="Times New Roman" w:cs="Times New Roman"/>
          <w:b/>
          <w:bCs/>
          <w:sz w:val="24"/>
          <w:szCs w:val="24"/>
        </w:rPr>
        <w:br/>
      </w:r>
    </w:p>
    <w:p w14:paraId="77EA513C" w14:textId="21979A1C" w:rsidR="00D974F8" w:rsidRDefault="00000000" w:rsidP="00D974F8">
      <w:pPr>
        <w:spacing w:after="24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Student ID Number: 2327280</w:t>
      </w:r>
      <w:r>
        <w:rPr>
          <w:rFonts w:ascii="Times New Roman" w:eastAsia="Times New Roman" w:hAnsi="Times New Roman" w:cs="Times New Roman"/>
          <w:b/>
          <w:bCs/>
          <w:sz w:val="24"/>
          <w:szCs w:val="24"/>
        </w:rPr>
        <w:br/>
      </w:r>
    </w:p>
    <w:p w14:paraId="13A9E6D4" w14:textId="4FFFE97B" w:rsidR="00D974F8" w:rsidRDefault="00D974F8" w:rsidP="00D974F8">
      <w:pPr>
        <w:spacing w:after="240" w:line="240" w:lineRule="auto"/>
        <w:jc w:val="center"/>
        <w:rPr>
          <w:rFonts w:ascii="Times New Roman" w:eastAsia="Times New Roman" w:hAnsi="Times New Roman" w:cs="Times New Roman"/>
          <w:b/>
          <w:bCs/>
          <w:sz w:val="24"/>
          <w:szCs w:val="24"/>
        </w:rPr>
      </w:pPr>
      <w:r w:rsidRPr="00D974F8">
        <w:rPr>
          <w:rFonts w:ascii="Times New Roman" w:eastAsia="Times New Roman" w:hAnsi="Times New Roman" w:cs="Times New Roman"/>
          <w:b/>
          <w:bCs/>
          <w:sz w:val="24"/>
          <w:szCs w:val="24"/>
        </w:rPr>
        <w:t xml:space="preserve">Module: Project Management </w:t>
      </w:r>
    </w:p>
    <w:p w14:paraId="303ADE30" w14:textId="77777777" w:rsidR="00D974F8" w:rsidRDefault="00D974F8" w:rsidP="00D974F8">
      <w:pPr>
        <w:spacing w:after="240" w:line="240" w:lineRule="auto"/>
        <w:jc w:val="center"/>
        <w:rPr>
          <w:rFonts w:ascii="Times New Roman" w:eastAsia="Times New Roman" w:hAnsi="Times New Roman" w:cs="Times New Roman"/>
          <w:b/>
          <w:bCs/>
          <w:sz w:val="24"/>
          <w:szCs w:val="24"/>
        </w:rPr>
      </w:pPr>
    </w:p>
    <w:p w14:paraId="33074860" w14:textId="0FE8A351" w:rsidR="00570D2B" w:rsidRDefault="00D974F8" w:rsidP="00D974F8">
      <w:pPr>
        <w:spacing w:after="240" w:line="240" w:lineRule="auto"/>
        <w:jc w:val="center"/>
        <w:rPr>
          <w:rFonts w:ascii="Times New Roman" w:eastAsia="Times New Roman" w:hAnsi="Times New Roman" w:cs="Times New Roman"/>
          <w:b/>
          <w:bCs/>
          <w:sz w:val="24"/>
          <w:szCs w:val="24"/>
        </w:rPr>
      </w:pPr>
      <w:r w:rsidRPr="00D974F8">
        <w:rPr>
          <w:rFonts w:ascii="Times New Roman" w:eastAsia="Times New Roman" w:hAnsi="Times New Roman" w:cs="Times New Roman"/>
          <w:b/>
          <w:bCs/>
          <w:sz w:val="24"/>
          <w:szCs w:val="24"/>
        </w:rPr>
        <w:t xml:space="preserve">Module </w:t>
      </w:r>
      <w:r w:rsidRPr="00D974F8">
        <w:rPr>
          <w:rFonts w:ascii="Times New Roman" w:eastAsia="Times New Roman" w:hAnsi="Times New Roman" w:cs="Times New Roman"/>
          <w:b/>
          <w:bCs/>
          <w:sz w:val="24"/>
          <w:szCs w:val="24"/>
        </w:rPr>
        <w:t>Code:</w:t>
      </w:r>
      <w:r w:rsidRPr="00D974F8">
        <w:rPr>
          <w:rFonts w:ascii="Times New Roman" w:eastAsia="Times New Roman" w:hAnsi="Times New Roman" w:cs="Times New Roman"/>
          <w:b/>
          <w:bCs/>
          <w:sz w:val="24"/>
          <w:szCs w:val="24"/>
        </w:rPr>
        <w:t xml:space="preserve"> LCBB6006</w:t>
      </w:r>
    </w:p>
    <w:p w14:paraId="39705F9F" w14:textId="77777777" w:rsidR="00570D2B" w:rsidRDefault="00570D2B">
      <w:pPr>
        <w:spacing w:before="200" w:line="360" w:lineRule="auto"/>
        <w:jc w:val="both"/>
        <w:rPr>
          <w:rFonts w:ascii="Times New Roman" w:eastAsia="Times New Roman" w:hAnsi="Times New Roman" w:cs="Times New Roman"/>
          <w:b/>
          <w:bCs/>
          <w:sz w:val="24"/>
          <w:szCs w:val="24"/>
        </w:rPr>
      </w:pPr>
    </w:p>
    <w:p w14:paraId="27111AF3" w14:textId="77777777" w:rsidR="00570D2B" w:rsidRDefault="00000000">
      <w:pPr>
        <w:spacing w:before="200" w:line="360" w:lineRule="auto"/>
        <w:jc w:val="both"/>
        <w:rPr>
          <w:rFonts w:ascii="Times New Roman" w:eastAsia="Times New Roman" w:hAnsi="Times New Roman" w:cs="Times New Roman"/>
          <w:b/>
          <w:bCs/>
          <w:sz w:val="24"/>
          <w:szCs w:val="24"/>
        </w:rPr>
      </w:pPr>
      <w:r>
        <w:br w:type="page"/>
      </w:r>
    </w:p>
    <w:p w14:paraId="56439AFE" w14:textId="77777777" w:rsidR="00570D2B" w:rsidRDefault="00000000">
      <w:pPr>
        <w:keepNext/>
        <w:keepLines/>
        <w:pBdr>
          <w:top w:val="nil"/>
          <w:left w:val="nil"/>
          <w:bottom w:val="nil"/>
          <w:right w:val="nil"/>
          <w:between w:val="nil"/>
        </w:pBdr>
        <w:spacing w:before="24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Table of Contents</w:t>
      </w:r>
    </w:p>
    <w:sdt>
      <w:sdtPr>
        <w:id w:val="-519180573"/>
        <w:docPartObj>
          <w:docPartGallery w:val="Table of Contents"/>
          <w:docPartUnique/>
        </w:docPartObj>
      </w:sdtPr>
      <w:sdtContent>
        <w:p w14:paraId="7A9DDD62" w14:textId="77777777" w:rsidR="00570D2B" w:rsidRDefault="00000000">
          <w:pPr>
            <w:pBdr>
              <w:top w:val="nil"/>
              <w:left w:val="nil"/>
              <w:bottom w:val="nil"/>
              <w:right w:val="nil"/>
              <w:between w:val="nil"/>
            </w:pBdr>
            <w:tabs>
              <w:tab w:val="right" w:leader="dot" w:pos="9019"/>
            </w:tabs>
            <w:spacing w:after="100" w:line="360" w:lineRule="auto"/>
            <w:rPr>
              <w:rFonts w:ascii="Times New Roman" w:eastAsia="Times New Roman" w:hAnsi="Times New Roman" w:cs="Times New Roman"/>
              <w:b/>
              <w:bCs/>
              <w:color w:val="000000"/>
              <w:sz w:val="24"/>
              <w:szCs w:val="24"/>
            </w:rPr>
          </w:pPr>
          <w:r>
            <w:fldChar w:fldCharType="begin"/>
          </w:r>
          <w:r>
            <w:instrText xml:space="preserve"> TOC \h \u \z \t "Heading 1,1,Heading 2,2,Heading 3,3,"</w:instrText>
          </w:r>
          <w:r>
            <w:fldChar w:fldCharType="separate"/>
          </w:r>
          <w:hyperlink w:anchor="_heading=h.7w4u1w8i5tqm">
            <w:r>
              <w:rPr>
                <w:rFonts w:ascii="Times New Roman" w:eastAsia="Times New Roman" w:hAnsi="Times New Roman" w:cs="Times New Roman"/>
                <w:b/>
                <w:bCs/>
                <w:color w:val="000000"/>
                <w:sz w:val="24"/>
                <w:szCs w:val="24"/>
              </w:rPr>
              <w:t>1. Introduction</w:t>
            </w:r>
            <w:r>
              <w:rPr>
                <w:rFonts w:ascii="Times New Roman" w:eastAsia="Times New Roman" w:hAnsi="Times New Roman" w:cs="Times New Roman"/>
                <w:b/>
                <w:bCs/>
                <w:color w:val="000000"/>
                <w:sz w:val="24"/>
                <w:szCs w:val="24"/>
              </w:rPr>
              <w:tab/>
              <w:t>2</w:t>
            </w:r>
          </w:hyperlink>
        </w:p>
        <w:p w14:paraId="1542F403" w14:textId="77777777" w:rsidR="00570D2B" w:rsidRDefault="00000000">
          <w:pPr>
            <w:pBdr>
              <w:top w:val="nil"/>
              <w:left w:val="nil"/>
              <w:bottom w:val="nil"/>
              <w:right w:val="nil"/>
              <w:between w:val="nil"/>
            </w:pBdr>
            <w:tabs>
              <w:tab w:val="right" w:leader="dot" w:pos="9019"/>
            </w:tabs>
            <w:spacing w:after="100" w:line="360" w:lineRule="auto"/>
            <w:rPr>
              <w:rFonts w:ascii="Times New Roman" w:eastAsia="Times New Roman" w:hAnsi="Times New Roman" w:cs="Times New Roman"/>
              <w:b/>
              <w:bCs/>
              <w:color w:val="000000"/>
              <w:sz w:val="24"/>
              <w:szCs w:val="24"/>
            </w:rPr>
          </w:pPr>
          <w:hyperlink w:anchor="_heading=h.3wa7fd5ihsvg">
            <w:r>
              <w:rPr>
                <w:rFonts w:ascii="Times New Roman" w:eastAsia="Times New Roman" w:hAnsi="Times New Roman" w:cs="Times New Roman"/>
                <w:b/>
                <w:bCs/>
                <w:color w:val="000000"/>
                <w:sz w:val="24"/>
                <w:szCs w:val="24"/>
              </w:rPr>
              <w:t>2. Project Aim, Objectives and Scope</w:t>
            </w:r>
            <w:r>
              <w:rPr>
                <w:rFonts w:ascii="Times New Roman" w:eastAsia="Times New Roman" w:hAnsi="Times New Roman" w:cs="Times New Roman"/>
                <w:b/>
                <w:bCs/>
                <w:color w:val="000000"/>
                <w:sz w:val="24"/>
                <w:szCs w:val="24"/>
              </w:rPr>
              <w:tab/>
              <w:t>2</w:t>
            </w:r>
          </w:hyperlink>
        </w:p>
        <w:p w14:paraId="4497D0DC" w14:textId="77777777" w:rsidR="00570D2B" w:rsidRDefault="00000000">
          <w:pPr>
            <w:pBdr>
              <w:top w:val="nil"/>
              <w:left w:val="nil"/>
              <w:bottom w:val="nil"/>
              <w:right w:val="nil"/>
              <w:between w:val="nil"/>
            </w:pBdr>
            <w:tabs>
              <w:tab w:val="right" w:leader="dot" w:pos="9019"/>
            </w:tabs>
            <w:spacing w:after="100" w:line="360" w:lineRule="auto"/>
            <w:ind w:left="220"/>
            <w:rPr>
              <w:rFonts w:ascii="Times New Roman" w:eastAsia="Times New Roman" w:hAnsi="Times New Roman" w:cs="Times New Roman"/>
              <w:b/>
              <w:bCs/>
              <w:color w:val="000000"/>
              <w:sz w:val="24"/>
              <w:szCs w:val="24"/>
            </w:rPr>
          </w:pPr>
          <w:hyperlink w:anchor="_heading=h.cfvz8bf6zlkv">
            <w:r>
              <w:rPr>
                <w:rFonts w:ascii="Times New Roman" w:eastAsia="Times New Roman" w:hAnsi="Times New Roman" w:cs="Times New Roman"/>
                <w:b/>
                <w:bCs/>
                <w:color w:val="000000"/>
                <w:sz w:val="24"/>
                <w:szCs w:val="24"/>
              </w:rPr>
              <w:t>2.1 Project Aim</w:t>
            </w:r>
            <w:r>
              <w:rPr>
                <w:rFonts w:ascii="Times New Roman" w:eastAsia="Times New Roman" w:hAnsi="Times New Roman" w:cs="Times New Roman"/>
                <w:b/>
                <w:bCs/>
                <w:color w:val="000000"/>
                <w:sz w:val="24"/>
                <w:szCs w:val="24"/>
              </w:rPr>
              <w:tab/>
              <w:t>2</w:t>
            </w:r>
          </w:hyperlink>
        </w:p>
        <w:p w14:paraId="0F34637D" w14:textId="77777777" w:rsidR="00570D2B" w:rsidRDefault="00000000">
          <w:pPr>
            <w:pBdr>
              <w:top w:val="nil"/>
              <w:left w:val="nil"/>
              <w:bottom w:val="nil"/>
              <w:right w:val="nil"/>
              <w:between w:val="nil"/>
            </w:pBdr>
            <w:tabs>
              <w:tab w:val="right" w:leader="dot" w:pos="9019"/>
            </w:tabs>
            <w:spacing w:after="100" w:line="360" w:lineRule="auto"/>
            <w:ind w:left="220"/>
            <w:rPr>
              <w:rFonts w:ascii="Times New Roman" w:eastAsia="Times New Roman" w:hAnsi="Times New Roman" w:cs="Times New Roman"/>
              <w:b/>
              <w:bCs/>
              <w:color w:val="000000"/>
              <w:sz w:val="24"/>
              <w:szCs w:val="24"/>
            </w:rPr>
          </w:pPr>
          <w:hyperlink w:anchor="_heading=h.okev0pk23zab">
            <w:r>
              <w:rPr>
                <w:rFonts w:ascii="Times New Roman" w:eastAsia="Times New Roman" w:hAnsi="Times New Roman" w:cs="Times New Roman"/>
                <w:b/>
                <w:bCs/>
                <w:color w:val="000000"/>
                <w:sz w:val="24"/>
                <w:szCs w:val="24"/>
              </w:rPr>
              <w:t>2.2 SMART Objectives</w:t>
            </w:r>
            <w:r>
              <w:rPr>
                <w:rFonts w:ascii="Times New Roman" w:eastAsia="Times New Roman" w:hAnsi="Times New Roman" w:cs="Times New Roman"/>
                <w:b/>
                <w:bCs/>
                <w:color w:val="000000"/>
                <w:sz w:val="24"/>
                <w:szCs w:val="24"/>
              </w:rPr>
              <w:tab/>
              <w:t>2</w:t>
            </w:r>
          </w:hyperlink>
        </w:p>
        <w:p w14:paraId="67D96489" w14:textId="77777777" w:rsidR="00570D2B" w:rsidRDefault="00000000">
          <w:pPr>
            <w:pBdr>
              <w:top w:val="nil"/>
              <w:left w:val="nil"/>
              <w:bottom w:val="nil"/>
              <w:right w:val="nil"/>
              <w:between w:val="nil"/>
            </w:pBdr>
            <w:tabs>
              <w:tab w:val="right" w:leader="dot" w:pos="9019"/>
            </w:tabs>
            <w:spacing w:after="100" w:line="360" w:lineRule="auto"/>
            <w:ind w:left="220"/>
            <w:rPr>
              <w:rFonts w:ascii="Times New Roman" w:eastAsia="Times New Roman" w:hAnsi="Times New Roman" w:cs="Times New Roman"/>
              <w:b/>
              <w:bCs/>
              <w:color w:val="000000"/>
              <w:sz w:val="24"/>
              <w:szCs w:val="24"/>
            </w:rPr>
          </w:pPr>
          <w:hyperlink w:anchor="_heading=h.www1a2rq84el">
            <w:r>
              <w:rPr>
                <w:rFonts w:ascii="Times New Roman" w:eastAsia="Times New Roman" w:hAnsi="Times New Roman" w:cs="Times New Roman"/>
                <w:b/>
                <w:bCs/>
                <w:color w:val="000000"/>
                <w:sz w:val="24"/>
                <w:szCs w:val="24"/>
              </w:rPr>
              <w:t>2.3 Project Scope</w:t>
            </w:r>
            <w:r>
              <w:rPr>
                <w:rFonts w:ascii="Times New Roman" w:eastAsia="Times New Roman" w:hAnsi="Times New Roman" w:cs="Times New Roman"/>
                <w:b/>
                <w:bCs/>
                <w:color w:val="000000"/>
                <w:sz w:val="24"/>
                <w:szCs w:val="24"/>
              </w:rPr>
              <w:tab/>
              <w:t>3</w:t>
            </w:r>
          </w:hyperlink>
        </w:p>
        <w:p w14:paraId="19F2C978" w14:textId="77777777" w:rsidR="00570D2B" w:rsidRDefault="00000000">
          <w:pPr>
            <w:pBdr>
              <w:top w:val="nil"/>
              <w:left w:val="nil"/>
              <w:bottom w:val="nil"/>
              <w:right w:val="nil"/>
              <w:between w:val="nil"/>
            </w:pBdr>
            <w:tabs>
              <w:tab w:val="right" w:leader="dot" w:pos="9019"/>
            </w:tabs>
            <w:spacing w:after="100" w:line="360" w:lineRule="auto"/>
            <w:rPr>
              <w:rFonts w:ascii="Times New Roman" w:eastAsia="Times New Roman" w:hAnsi="Times New Roman" w:cs="Times New Roman"/>
              <w:b/>
              <w:bCs/>
              <w:color w:val="000000"/>
              <w:sz w:val="24"/>
              <w:szCs w:val="24"/>
            </w:rPr>
          </w:pPr>
          <w:hyperlink w:anchor="_heading=h.utbmdeejemg9">
            <w:r>
              <w:rPr>
                <w:rFonts w:ascii="Times New Roman" w:eastAsia="Times New Roman" w:hAnsi="Times New Roman" w:cs="Times New Roman"/>
                <w:b/>
                <w:bCs/>
                <w:color w:val="000000"/>
                <w:sz w:val="24"/>
                <w:szCs w:val="24"/>
              </w:rPr>
              <w:t>3. Project Deliverables</w:t>
            </w:r>
            <w:r>
              <w:rPr>
                <w:rFonts w:ascii="Times New Roman" w:eastAsia="Times New Roman" w:hAnsi="Times New Roman" w:cs="Times New Roman"/>
                <w:b/>
                <w:bCs/>
                <w:color w:val="000000"/>
                <w:sz w:val="24"/>
                <w:szCs w:val="24"/>
              </w:rPr>
              <w:tab/>
              <w:t>3</w:t>
            </w:r>
          </w:hyperlink>
        </w:p>
        <w:p w14:paraId="1227B113" w14:textId="77777777" w:rsidR="00570D2B" w:rsidRDefault="00000000">
          <w:pPr>
            <w:pBdr>
              <w:top w:val="nil"/>
              <w:left w:val="nil"/>
              <w:bottom w:val="nil"/>
              <w:right w:val="nil"/>
              <w:between w:val="nil"/>
            </w:pBdr>
            <w:tabs>
              <w:tab w:val="right" w:leader="dot" w:pos="9019"/>
            </w:tabs>
            <w:spacing w:after="100" w:line="360" w:lineRule="auto"/>
            <w:rPr>
              <w:rFonts w:ascii="Times New Roman" w:eastAsia="Times New Roman" w:hAnsi="Times New Roman" w:cs="Times New Roman"/>
              <w:b/>
              <w:bCs/>
              <w:color w:val="000000"/>
              <w:sz w:val="24"/>
              <w:szCs w:val="24"/>
            </w:rPr>
          </w:pPr>
          <w:hyperlink w:anchor="_heading=h.l9fd1gpy5ei8">
            <w:r>
              <w:rPr>
                <w:rFonts w:ascii="Times New Roman" w:eastAsia="Times New Roman" w:hAnsi="Times New Roman" w:cs="Times New Roman"/>
                <w:b/>
                <w:bCs/>
                <w:color w:val="000000"/>
                <w:sz w:val="24"/>
                <w:szCs w:val="24"/>
              </w:rPr>
              <w:t>4. Project Constraints and Assumptions</w:t>
            </w:r>
            <w:r>
              <w:rPr>
                <w:rFonts w:ascii="Times New Roman" w:eastAsia="Times New Roman" w:hAnsi="Times New Roman" w:cs="Times New Roman"/>
                <w:b/>
                <w:bCs/>
                <w:color w:val="000000"/>
                <w:sz w:val="24"/>
                <w:szCs w:val="24"/>
              </w:rPr>
              <w:tab/>
              <w:t>4</w:t>
            </w:r>
          </w:hyperlink>
        </w:p>
        <w:p w14:paraId="17C0ED63" w14:textId="77777777" w:rsidR="00570D2B" w:rsidRDefault="00000000">
          <w:pPr>
            <w:pBdr>
              <w:top w:val="nil"/>
              <w:left w:val="nil"/>
              <w:bottom w:val="nil"/>
              <w:right w:val="nil"/>
              <w:between w:val="nil"/>
            </w:pBdr>
            <w:tabs>
              <w:tab w:val="right" w:leader="dot" w:pos="9019"/>
            </w:tabs>
            <w:spacing w:after="100" w:line="360" w:lineRule="auto"/>
            <w:rPr>
              <w:rFonts w:ascii="Times New Roman" w:eastAsia="Times New Roman" w:hAnsi="Times New Roman" w:cs="Times New Roman"/>
              <w:b/>
              <w:bCs/>
              <w:color w:val="000000"/>
              <w:sz w:val="24"/>
              <w:szCs w:val="24"/>
            </w:rPr>
          </w:pPr>
          <w:hyperlink w:anchor="_heading=h.ymj8xd9jn5cj">
            <w:r>
              <w:rPr>
                <w:rFonts w:ascii="Times New Roman" w:eastAsia="Times New Roman" w:hAnsi="Times New Roman" w:cs="Times New Roman"/>
                <w:b/>
                <w:bCs/>
                <w:color w:val="000000"/>
                <w:sz w:val="24"/>
                <w:szCs w:val="24"/>
              </w:rPr>
              <w:t>5. Work Breakdown Structure (WBS)</w:t>
            </w:r>
            <w:r>
              <w:rPr>
                <w:rFonts w:ascii="Times New Roman" w:eastAsia="Times New Roman" w:hAnsi="Times New Roman" w:cs="Times New Roman"/>
                <w:b/>
                <w:bCs/>
                <w:color w:val="000000"/>
                <w:sz w:val="24"/>
                <w:szCs w:val="24"/>
              </w:rPr>
              <w:tab/>
              <w:t>4</w:t>
            </w:r>
          </w:hyperlink>
        </w:p>
        <w:p w14:paraId="5F5FAD61" w14:textId="77777777" w:rsidR="00570D2B" w:rsidRDefault="00000000">
          <w:pPr>
            <w:pBdr>
              <w:top w:val="nil"/>
              <w:left w:val="nil"/>
              <w:bottom w:val="nil"/>
              <w:right w:val="nil"/>
              <w:between w:val="nil"/>
            </w:pBdr>
            <w:tabs>
              <w:tab w:val="right" w:leader="dot" w:pos="9019"/>
            </w:tabs>
            <w:spacing w:after="100" w:line="360" w:lineRule="auto"/>
            <w:rPr>
              <w:rFonts w:ascii="Times New Roman" w:eastAsia="Times New Roman" w:hAnsi="Times New Roman" w:cs="Times New Roman"/>
              <w:b/>
              <w:bCs/>
              <w:color w:val="000000"/>
              <w:sz w:val="24"/>
              <w:szCs w:val="24"/>
            </w:rPr>
          </w:pPr>
          <w:hyperlink w:anchor="_heading=h.4gg0iaaxe063">
            <w:r>
              <w:rPr>
                <w:rFonts w:ascii="Times New Roman" w:eastAsia="Times New Roman" w:hAnsi="Times New Roman" w:cs="Times New Roman"/>
                <w:b/>
                <w:bCs/>
                <w:color w:val="000000"/>
                <w:sz w:val="24"/>
                <w:szCs w:val="24"/>
              </w:rPr>
              <w:t>‌6. Project Timeline and Key Milestones</w:t>
            </w:r>
            <w:r>
              <w:rPr>
                <w:rFonts w:ascii="Times New Roman" w:eastAsia="Times New Roman" w:hAnsi="Times New Roman" w:cs="Times New Roman"/>
                <w:b/>
                <w:bCs/>
                <w:color w:val="000000"/>
                <w:sz w:val="24"/>
                <w:szCs w:val="24"/>
              </w:rPr>
              <w:tab/>
              <w:t>5</w:t>
            </w:r>
          </w:hyperlink>
        </w:p>
        <w:p w14:paraId="748B47D7" w14:textId="77777777" w:rsidR="00570D2B" w:rsidRDefault="00000000">
          <w:pPr>
            <w:pBdr>
              <w:top w:val="nil"/>
              <w:left w:val="nil"/>
              <w:bottom w:val="nil"/>
              <w:right w:val="nil"/>
              <w:between w:val="nil"/>
            </w:pBdr>
            <w:tabs>
              <w:tab w:val="right" w:leader="dot" w:pos="9019"/>
            </w:tabs>
            <w:spacing w:after="100" w:line="360" w:lineRule="auto"/>
            <w:rPr>
              <w:rFonts w:ascii="Times New Roman" w:eastAsia="Times New Roman" w:hAnsi="Times New Roman" w:cs="Times New Roman"/>
              <w:b/>
              <w:bCs/>
              <w:color w:val="000000"/>
              <w:sz w:val="24"/>
              <w:szCs w:val="24"/>
            </w:rPr>
          </w:pPr>
          <w:hyperlink w:anchor="_heading=h.m77160a3hriv">
            <w:r>
              <w:rPr>
                <w:rFonts w:ascii="Times New Roman" w:eastAsia="Times New Roman" w:hAnsi="Times New Roman" w:cs="Times New Roman"/>
                <w:b/>
                <w:bCs/>
                <w:color w:val="000000"/>
                <w:sz w:val="24"/>
                <w:szCs w:val="24"/>
              </w:rPr>
              <w:t>7. Resource Planning</w:t>
            </w:r>
            <w:r>
              <w:rPr>
                <w:rFonts w:ascii="Times New Roman" w:eastAsia="Times New Roman" w:hAnsi="Times New Roman" w:cs="Times New Roman"/>
                <w:b/>
                <w:bCs/>
                <w:color w:val="000000"/>
                <w:sz w:val="24"/>
                <w:szCs w:val="24"/>
              </w:rPr>
              <w:tab/>
              <w:t>6</w:t>
            </w:r>
          </w:hyperlink>
        </w:p>
        <w:p w14:paraId="1E4FE8A3" w14:textId="77777777" w:rsidR="00570D2B" w:rsidRDefault="00000000">
          <w:pPr>
            <w:pBdr>
              <w:top w:val="nil"/>
              <w:left w:val="nil"/>
              <w:bottom w:val="nil"/>
              <w:right w:val="nil"/>
              <w:between w:val="nil"/>
            </w:pBdr>
            <w:tabs>
              <w:tab w:val="right" w:leader="dot" w:pos="9019"/>
            </w:tabs>
            <w:spacing w:after="100" w:line="360" w:lineRule="auto"/>
            <w:ind w:left="220"/>
            <w:rPr>
              <w:rFonts w:ascii="Times New Roman" w:eastAsia="Times New Roman" w:hAnsi="Times New Roman" w:cs="Times New Roman"/>
              <w:b/>
              <w:bCs/>
              <w:color w:val="000000"/>
              <w:sz w:val="24"/>
              <w:szCs w:val="24"/>
            </w:rPr>
          </w:pPr>
          <w:hyperlink w:anchor="_heading=h.3bniphs72d5j">
            <w:r>
              <w:rPr>
                <w:rFonts w:ascii="Times New Roman" w:eastAsia="Times New Roman" w:hAnsi="Times New Roman" w:cs="Times New Roman"/>
                <w:b/>
                <w:bCs/>
                <w:color w:val="000000"/>
                <w:sz w:val="24"/>
                <w:szCs w:val="24"/>
              </w:rPr>
              <w:t>7.1 Human Resources</w:t>
            </w:r>
            <w:r>
              <w:rPr>
                <w:rFonts w:ascii="Times New Roman" w:eastAsia="Times New Roman" w:hAnsi="Times New Roman" w:cs="Times New Roman"/>
                <w:b/>
                <w:bCs/>
                <w:color w:val="000000"/>
                <w:sz w:val="24"/>
                <w:szCs w:val="24"/>
              </w:rPr>
              <w:tab/>
              <w:t>6</w:t>
            </w:r>
          </w:hyperlink>
        </w:p>
        <w:p w14:paraId="7A9C6D7C" w14:textId="77777777" w:rsidR="00570D2B" w:rsidRDefault="00000000">
          <w:pPr>
            <w:pBdr>
              <w:top w:val="nil"/>
              <w:left w:val="nil"/>
              <w:bottom w:val="nil"/>
              <w:right w:val="nil"/>
              <w:between w:val="nil"/>
            </w:pBdr>
            <w:tabs>
              <w:tab w:val="right" w:leader="dot" w:pos="9019"/>
            </w:tabs>
            <w:spacing w:after="100" w:line="360" w:lineRule="auto"/>
            <w:ind w:left="220"/>
            <w:rPr>
              <w:rFonts w:ascii="Times New Roman" w:eastAsia="Times New Roman" w:hAnsi="Times New Roman" w:cs="Times New Roman"/>
              <w:b/>
              <w:bCs/>
              <w:color w:val="000000"/>
              <w:sz w:val="24"/>
              <w:szCs w:val="24"/>
            </w:rPr>
          </w:pPr>
          <w:hyperlink w:anchor="_heading=h.5il18l2rurns">
            <w:r>
              <w:rPr>
                <w:rFonts w:ascii="Times New Roman" w:eastAsia="Times New Roman" w:hAnsi="Times New Roman" w:cs="Times New Roman"/>
                <w:b/>
                <w:bCs/>
                <w:color w:val="000000"/>
                <w:sz w:val="24"/>
                <w:szCs w:val="24"/>
              </w:rPr>
              <w:t>7.2 Material Resources:</w:t>
            </w:r>
            <w:r>
              <w:rPr>
                <w:rFonts w:ascii="Times New Roman" w:eastAsia="Times New Roman" w:hAnsi="Times New Roman" w:cs="Times New Roman"/>
                <w:b/>
                <w:bCs/>
                <w:color w:val="000000"/>
                <w:sz w:val="24"/>
                <w:szCs w:val="24"/>
              </w:rPr>
              <w:tab/>
              <w:t>6</w:t>
            </w:r>
          </w:hyperlink>
        </w:p>
        <w:p w14:paraId="5E2117B2" w14:textId="77777777" w:rsidR="00570D2B" w:rsidRDefault="00000000">
          <w:pPr>
            <w:pBdr>
              <w:top w:val="nil"/>
              <w:left w:val="nil"/>
              <w:bottom w:val="nil"/>
              <w:right w:val="nil"/>
              <w:between w:val="nil"/>
            </w:pBdr>
            <w:tabs>
              <w:tab w:val="right" w:leader="dot" w:pos="9019"/>
            </w:tabs>
            <w:spacing w:after="100" w:line="360" w:lineRule="auto"/>
            <w:ind w:left="220"/>
            <w:rPr>
              <w:rFonts w:ascii="Times New Roman" w:eastAsia="Times New Roman" w:hAnsi="Times New Roman" w:cs="Times New Roman"/>
              <w:b/>
              <w:bCs/>
              <w:color w:val="000000"/>
              <w:sz w:val="24"/>
              <w:szCs w:val="24"/>
            </w:rPr>
          </w:pPr>
          <w:hyperlink w:anchor="_heading=h.wpmz51r1d953">
            <w:r>
              <w:rPr>
                <w:rFonts w:ascii="Times New Roman" w:eastAsia="Times New Roman" w:hAnsi="Times New Roman" w:cs="Times New Roman"/>
                <w:b/>
                <w:bCs/>
                <w:color w:val="000000"/>
                <w:sz w:val="24"/>
                <w:szCs w:val="24"/>
              </w:rPr>
              <w:t>7.3 Financial Resources:</w:t>
            </w:r>
            <w:r>
              <w:rPr>
                <w:rFonts w:ascii="Times New Roman" w:eastAsia="Times New Roman" w:hAnsi="Times New Roman" w:cs="Times New Roman"/>
                <w:b/>
                <w:bCs/>
                <w:color w:val="000000"/>
                <w:sz w:val="24"/>
                <w:szCs w:val="24"/>
              </w:rPr>
              <w:tab/>
              <w:t>7</w:t>
            </w:r>
          </w:hyperlink>
        </w:p>
        <w:p w14:paraId="3696E600" w14:textId="77777777" w:rsidR="00570D2B" w:rsidRDefault="00000000">
          <w:pPr>
            <w:pBdr>
              <w:top w:val="nil"/>
              <w:left w:val="nil"/>
              <w:bottom w:val="nil"/>
              <w:right w:val="nil"/>
              <w:between w:val="nil"/>
            </w:pBdr>
            <w:tabs>
              <w:tab w:val="right" w:leader="dot" w:pos="9019"/>
            </w:tabs>
            <w:spacing w:after="100" w:line="360" w:lineRule="auto"/>
            <w:rPr>
              <w:rFonts w:ascii="Times New Roman" w:eastAsia="Times New Roman" w:hAnsi="Times New Roman" w:cs="Times New Roman"/>
              <w:b/>
              <w:bCs/>
              <w:color w:val="000000"/>
              <w:sz w:val="24"/>
              <w:szCs w:val="24"/>
            </w:rPr>
          </w:pPr>
          <w:hyperlink w:anchor="_heading=h.qcc9bxm805ib">
            <w:r>
              <w:rPr>
                <w:rFonts w:ascii="Times New Roman" w:eastAsia="Times New Roman" w:hAnsi="Times New Roman" w:cs="Times New Roman"/>
                <w:b/>
                <w:bCs/>
                <w:color w:val="000000"/>
                <w:sz w:val="24"/>
                <w:szCs w:val="24"/>
              </w:rPr>
              <w:t>8. Stakeholder Identification and Stakeholder Matrix</w:t>
            </w:r>
            <w:r>
              <w:rPr>
                <w:rFonts w:ascii="Times New Roman" w:eastAsia="Times New Roman" w:hAnsi="Times New Roman" w:cs="Times New Roman"/>
                <w:b/>
                <w:bCs/>
                <w:color w:val="000000"/>
                <w:sz w:val="24"/>
                <w:szCs w:val="24"/>
              </w:rPr>
              <w:tab/>
              <w:t>7</w:t>
            </w:r>
          </w:hyperlink>
        </w:p>
        <w:p w14:paraId="56025BC6" w14:textId="77777777" w:rsidR="00570D2B" w:rsidRDefault="00000000">
          <w:pPr>
            <w:pBdr>
              <w:top w:val="nil"/>
              <w:left w:val="nil"/>
              <w:bottom w:val="nil"/>
              <w:right w:val="nil"/>
              <w:between w:val="nil"/>
            </w:pBdr>
            <w:tabs>
              <w:tab w:val="right" w:leader="dot" w:pos="9019"/>
            </w:tabs>
            <w:spacing w:after="100" w:line="360" w:lineRule="auto"/>
            <w:rPr>
              <w:rFonts w:ascii="Times New Roman" w:eastAsia="Times New Roman" w:hAnsi="Times New Roman" w:cs="Times New Roman"/>
              <w:b/>
              <w:bCs/>
              <w:color w:val="000000"/>
              <w:sz w:val="24"/>
              <w:szCs w:val="24"/>
            </w:rPr>
          </w:pPr>
          <w:hyperlink w:anchor="_heading=h.slrnxmhy7yc5">
            <w:r>
              <w:rPr>
                <w:rFonts w:ascii="Times New Roman" w:eastAsia="Times New Roman" w:hAnsi="Times New Roman" w:cs="Times New Roman"/>
                <w:b/>
                <w:bCs/>
                <w:color w:val="000000"/>
                <w:sz w:val="24"/>
                <w:szCs w:val="24"/>
              </w:rPr>
              <w:t>9. Risk Considerations</w:t>
            </w:r>
            <w:r>
              <w:rPr>
                <w:rFonts w:ascii="Times New Roman" w:eastAsia="Times New Roman" w:hAnsi="Times New Roman" w:cs="Times New Roman"/>
                <w:b/>
                <w:bCs/>
                <w:color w:val="000000"/>
                <w:sz w:val="24"/>
                <w:szCs w:val="24"/>
              </w:rPr>
              <w:tab/>
              <w:t>8</w:t>
            </w:r>
          </w:hyperlink>
        </w:p>
        <w:p w14:paraId="3387A99A" w14:textId="77777777" w:rsidR="00570D2B" w:rsidRDefault="00000000">
          <w:pPr>
            <w:pBdr>
              <w:top w:val="nil"/>
              <w:left w:val="nil"/>
              <w:bottom w:val="nil"/>
              <w:right w:val="nil"/>
              <w:between w:val="nil"/>
            </w:pBdr>
            <w:tabs>
              <w:tab w:val="right" w:leader="dot" w:pos="9019"/>
            </w:tabs>
            <w:spacing w:after="100" w:line="360" w:lineRule="auto"/>
            <w:rPr>
              <w:rFonts w:ascii="Times New Roman" w:eastAsia="Times New Roman" w:hAnsi="Times New Roman" w:cs="Times New Roman"/>
              <w:b/>
              <w:bCs/>
              <w:color w:val="000000"/>
              <w:sz w:val="24"/>
              <w:szCs w:val="24"/>
            </w:rPr>
          </w:pPr>
          <w:hyperlink w:anchor="_heading=h.wlark85w1zjy">
            <w:r>
              <w:rPr>
                <w:rFonts w:ascii="Times New Roman" w:eastAsia="Times New Roman" w:hAnsi="Times New Roman" w:cs="Times New Roman"/>
                <w:b/>
                <w:bCs/>
                <w:color w:val="000000"/>
                <w:sz w:val="24"/>
                <w:szCs w:val="24"/>
              </w:rPr>
              <w:t>10. Conclusion</w:t>
            </w:r>
            <w:r>
              <w:rPr>
                <w:rFonts w:ascii="Times New Roman" w:eastAsia="Times New Roman" w:hAnsi="Times New Roman" w:cs="Times New Roman"/>
                <w:b/>
                <w:bCs/>
                <w:color w:val="000000"/>
                <w:sz w:val="24"/>
                <w:szCs w:val="24"/>
              </w:rPr>
              <w:tab/>
              <w:t>9</w:t>
            </w:r>
          </w:hyperlink>
        </w:p>
        <w:p w14:paraId="76823748" w14:textId="77777777" w:rsidR="00570D2B" w:rsidRDefault="00000000">
          <w:pPr>
            <w:pBdr>
              <w:top w:val="nil"/>
              <w:left w:val="nil"/>
              <w:bottom w:val="nil"/>
              <w:right w:val="nil"/>
              <w:between w:val="nil"/>
            </w:pBdr>
            <w:tabs>
              <w:tab w:val="right" w:leader="dot" w:pos="9019"/>
            </w:tabs>
            <w:spacing w:after="100" w:line="360" w:lineRule="auto"/>
            <w:rPr>
              <w:rFonts w:ascii="Times New Roman" w:eastAsia="Times New Roman" w:hAnsi="Times New Roman" w:cs="Times New Roman"/>
              <w:b/>
              <w:bCs/>
              <w:color w:val="000000"/>
              <w:sz w:val="24"/>
              <w:szCs w:val="24"/>
            </w:rPr>
          </w:pPr>
          <w:hyperlink w:anchor="_heading=h.ar3vz1sugedf">
            <w:r>
              <w:rPr>
                <w:rFonts w:ascii="Times New Roman" w:eastAsia="Times New Roman" w:hAnsi="Times New Roman" w:cs="Times New Roman"/>
                <w:b/>
                <w:bCs/>
                <w:color w:val="000000"/>
                <w:sz w:val="24"/>
                <w:szCs w:val="24"/>
              </w:rPr>
              <w:t>11. References</w:t>
            </w:r>
            <w:r>
              <w:rPr>
                <w:rFonts w:ascii="Times New Roman" w:eastAsia="Times New Roman" w:hAnsi="Times New Roman" w:cs="Times New Roman"/>
                <w:b/>
                <w:bCs/>
                <w:color w:val="000000"/>
                <w:sz w:val="24"/>
                <w:szCs w:val="24"/>
              </w:rPr>
              <w:tab/>
              <w:t>9</w:t>
            </w:r>
          </w:hyperlink>
        </w:p>
        <w:p w14:paraId="7C8FCA27" w14:textId="77777777" w:rsidR="00570D2B" w:rsidRDefault="00000000">
          <w:pPr>
            <w:spacing w:line="360" w:lineRule="auto"/>
          </w:pPr>
          <w:r>
            <w:fldChar w:fldCharType="end"/>
          </w:r>
        </w:p>
      </w:sdtContent>
    </w:sdt>
    <w:p w14:paraId="334B23E5" w14:textId="77777777" w:rsidR="00570D2B" w:rsidRDefault="00000000">
      <w:pPr>
        <w:rPr>
          <w:rFonts w:ascii="Times New Roman" w:eastAsia="Times New Roman" w:hAnsi="Times New Roman" w:cs="Times New Roman"/>
          <w:b/>
          <w:bCs/>
          <w:sz w:val="24"/>
          <w:szCs w:val="24"/>
        </w:rPr>
      </w:pPr>
      <w:bookmarkStart w:id="0" w:name="_heading=h.h1cf6d41djha" w:colFirst="0" w:colLast="0"/>
      <w:bookmarkEnd w:id="0"/>
      <w:r>
        <w:br w:type="page"/>
      </w:r>
    </w:p>
    <w:p w14:paraId="64ACC70E" w14:textId="77777777" w:rsidR="00570D2B" w:rsidRDefault="00000000">
      <w:pPr>
        <w:pStyle w:val="Heading1"/>
      </w:pPr>
      <w:bookmarkStart w:id="1" w:name="_heading=h.7w4u1w8i5tqm" w:colFirst="0" w:colLast="0"/>
      <w:bookmarkEnd w:id="1"/>
      <w:r>
        <w:lastRenderedPageBreak/>
        <w:t>1. Introduction</w:t>
      </w:r>
    </w:p>
    <w:p w14:paraId="535D4D22" w14:textId="77777777" w:rsidR="00570D2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international expansion of UK-based carbon-based skincare signifies a planned development chance in the competitive European marketplace. Germany, as Europe’s main economy, with a rising request for sustainable and usual cosmetic merchandises, offers significant possible for marketplace entry. This project aims to launch a UK carbon-based skincare make in Germany within a twelve-month timeframe, directing first-year sales of €500,000 (Kerzner, 2022). Through concentrating on marketplace study, controlling obedience, and custom-made advertising plans, the scheme bring into line with best does in global commercial growth (Project Management Institute, 2023). Marketplace admission schemes such as this need a methodical method to alleviate risks related with cross-border processes.</w:t>
      </w:r>
    </w:p>
    <w:p w14:paraId="3D650484" w14:textId="77777777" w:rsidR="00570D2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task will also mix structured working preparation to safeguard opportune delivery and stakeholder arrangement crossways manifold useful parts (Hillson and Murray-Webster, 2022). Key doings comprise founding retail companies, familiarising crops to local controlling values, and performing socially pertinent advertising campaigns. Reserve preparation, economic mistakes, and risk organisation will be dangerous to attaining the clear objectives (Too and Weaver, 2022). By means of applying a strong work failure construction and landmark following, the scheme seeks to safeguard performance answerability and real supremacy through the marketplace entry procedure.</w:t>
      </w:r>
    </w:p>
    <w:p w14:paraId="676B1CC2" w14:textId="77777777" w:rsidR="00570D2B" w:rsidRDefault="00000000">
      <w:pPr>
        <w:pStyle w:val="Heading1"/>
      </w:pPr>
      <w:bookmarkStart w:id="2" w:name="_heading=h.3wa7fd5ihsvg" w:colFirst="0" w:colLast="0"/>
      <w:bookmarkEnd w:id="2"/>
      <w:r>
        <w:t xml:space="preserve">2. Project Aim, Objectives and Scope </w:t>
      </w:r>
    </w:p>
    <w:p w14:paraId="133B3265" w14:textId="77777777" w:rsidR="00570D2B" w:rsidRDefault="00000000">
      <w:pPr>
        <w:pStyle w:val="Heading2"/>
      </w:pPr>
      <w:bookmarkStart w:id="3" w:name="_heading=h.cfvz8bf6zlkv" w:colFirst="0" w:colLast="0"/>
      <w:bookmarkEnd w:id="3"/>
      <w:r>
        <w:t>2.1 Project Aim</w:t>
      </w:r>
    </w:p>
    <w:p w14:paraId="61090017" w14:textId="77777777" w:rsidR="00570D2B" w:rsidRDefault="00000000">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general aim of this project is to positively present the UK organic skincare brand in Germany within 12 months, attaining marketplace entry willingness and making first-year sales revenue of €500,000.</w:t>
      </w:r>
    </w:p>
    <w:p w14:paraId="3155636C" w14:textId="77777777" w:rsidR="00570D2B" w:rsidRDefault="00000000">
      <w:pPr>
        <w:pStyle w:val="Heading2"/>
      </w:pPr>
      <w:bookmarkStart w:id="4" w:name="_heading=h.okev0pk23zab" w:colFirst="0" w:colLast="0"/>
      <w:bookmarkEnd w:id="4"/>
      <w:r>
        <w:t>2.2 SMART Objectives</w:t>
      </w:r>
    </w:p>
    <w:p w14:paraId="33D403BF" w14:textId="77777777" w:rsidR="00570D2B" w:rsidRDefault="00000000">
      <w:pPr>
        <w:numPr>
          <w:ilvl w:val="0"/>
          <w:numId w:val="1"/>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Conduct a complete German market study within three months to classify customer request tendencies.</w:t>
      </w:r>
    </w:p>
    <w:p w14:paraId="67A0843C" w14:textId="77777777" w:rsidR="00570D2B"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Complete control and creation obedience guarantee within six months to safeguard legal marketplace entrance.</w:t>
      </w:r>
    </w:p>
    <w:p w14:paraId="13FDE770" w14:textId="77777777" w:rsidR="00570D2B"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Found delivery companies with at smallest three German retailers before the authorised product launch.</w:t>
      </w:r>
    </w:p>
    <w:p w14:paraId="0EA46DE9" w14:textId="77777777" w:rsidR="00570D2B"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Grow and tailor a German-language advertising campaign custom-made to board consumer sections.</w:t>
      </w:r>
    </w:p>
    <w:p w14:paraId="55193C4A" w14:textId="77777777" w:rsidR="00570D2B"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Positively launch skincare crops in Germany by the finish of the month twelve.</w:t>
      </w:r>
    </w:p>
    <w:p w14:paraId="442AC903" w14:textId="77777777" w:rsidR="00570D2B" w:rsidRDefault="00000000">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Attain €500,000 revenue inside the first twelve months next marketplace promotion.</w:t>
      </w:r>
    </w:p>
    <w:p w14:paraId="386E41AC" w14:textId="77777777" w:rsidR="00570D2B" w:rsidRDefault="00000000">
      <w:pPr>
        <w:pStyle w:val="Heading2"/>
      </w:pPr>
      <w:bookmarkStart w:id="5" w:name="_heading=h.www1a2rq84el" w:colFirst="0" w:colLast="0"/>
      <w:bookmarkEnd w:id="5"/>
      <w:r>
        <w:t>2.3 Project Scope</w:t>
      </w:r>
    </w:p>
    <w:p w14:paraId="78DA2531" w14:textId="77777777" w:rsidR="00570D2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scope describes the limitations and deliverables obligatory for a fruitful entry into the German marketplace. Doings included marketplace investigation and contestant examination, safeguarding controlling obedience with EU cosmetic legislation, produce version finished wrapping conversion and label amendment, distribution station assortment, advertising campaign growth, logistics organization and presentation event preparation (Project Management Institute, 2023). A strong meaning of the possibility decreases vagueness and choice tiptoe and upholds organised switch throughout the preparation and application stages. Development into additional European marketplaces, growth of completely new creation lines and longstanding post-launch working running are excepted from the possibility of the project. The projected budget is £350,000, and the board timeframe is twelve months (European Commission, 2024). Key restraints comprise financial restraints, the strict supplies of EU cosmetic lawmaking, cultural version tests and possible supply chain disturbances, which could influence the project’s efficiency and danger.</w:t>
      </w:r>
    </w:p>
    <w:p w14:paraId="63D1D477" w14:textId="77777777" w:rsidR="00570D2B" w:rsidRDefault="00000000">
      <w:pPr>
        <w:pStyle w:val="Heading1"/>
      </w:pPr>
      <w:bookmarkStart w:id="6" w:name="_heading=h.utbmdeejemg9" w:colFirst="0" w:colLast="0"/>
      <w:bookmarkEnd w:id="6"/>
      <w:r>
        <w:t xml:space="preserve">3. Project Deliverables </w:t>
      </w:r>
    </w:p>
    <w:p w14:paraId="03D0C941" w14:textId="77777777" w:rsidR="00570D2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scheme will crop clear and quantifiable deliverables that will straight provision fruitful admission into the German marketplace. Key productions comprise a German marketplace investigation account, which gifts a methodical examination of manufacturing tendencies and customer behaviour, and a controlling obedience guarantee, which safeguards obedience with EU beautifying morals (Turner, 2022). Obviously, clear deliverables reinforce presentation dimension, answerability, and possibility switch through the scheme lifecycle. Additional deliverables comprise interpreted and legalised wrapping, delivery contracts with designated retailers, and advertising plans and publicity resources custom-made to German clientele (Association for Project Management, 2023). Supplementary productions will comprise a German e-commerce stage, logistics and supply chain outline, official product presentation </w:t>
      </w:r>
      <w:r>
        <w:rPr>
          <w:rFonts w:ascii="Times New Roman" w:eastAsia="Times New Roman" w:hAnsi="Times New Roman" w:cs="Times New Roman"/>
          <w:sz w:val="24"/>
          <w:szCs w:val="24"/>
        </w:rPr>
        <w:lastRenderedPageBreak/>
        <w:t>proceedings, and post-launch intelligences counting target-based presentation assessments. Clear deliverables ease organised nursing and recover the efficiency of project authority.‌</w:t>
      </w:r>
    </w:p>
    <w:p w14:paraId="7BC564ED" w14:textId="77777777" w:rsidR="00570D2B" w:rsidRDefault="00000000">
      <w:pPr>
        <w:pStyle w:val="Heading1"/>
      </w:pPr>
      <w:bookmarkStart w:id="7" w:name="_heading=h.l9fd1gpy5ei8" w:colFirst="0" w:colLast="0"/>
      <w:bookmarkEnd w:id="7"/>
      <w:r>
        <w:t>4. Project Constraints and Assumptions</w:t>
      </w:r>
    </w:p>
    <w:p w14:paraId="5EBDDFA4" w14:textId="77777777" w:rsidR="00570D2B" w:rsidRDefault="00000000">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The planning and application choices for this project are ruled by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amount</w:t>
      </w:r>
      <w:proofErr w:type="gramEnd"/>
      <w:r>
        <w:rPr>
          <w:rFonts w:ascii="Times New Roman" w:eastAsia="Times New Roman" w:hAnsi="Times New Roman" w:cs="Times New Roman"/>
          <w:sz w:val="24"/>
          <w:szCs w:val="24"/>
        </w:rPr>
        <w:t xml:space="preserve"> of key restraints. The fixed budget of £350,000, the twelve-month conclusion limit, the dependence on EU cosmetic controlling endorsement, and the dependability of the dealer limit organisation suppleness (Kerzner, 2022). Possibility, cost and agenda presentation need to be systematically checked to evade cost invades and delays. Actual restraint organisation reinforces the switch procedure and upsurges planned arrangement in a multifaceted project setting (Kerzner, 2022). In adding, the scheme relies on a number of key moulds, such as steady UK–EU trade relatives, reliable customer request for organic skincare products, wieldy conversation rate variations and the nonappearance of main political or economic unpredictability. Knowing these moulds allows for loan preparation and organised risk extenuation (Project Management Institute, 2023). Strong certification of </w:t>
      </w:r>
      <w:proofErr w:type="spellStart"/>
      <w:r>
        <w:rPr>
          <w:rFonts w:ascii="Times New Roman" w:eastAsia="Times New Roman" w:hAnsi="Times New Roman" w:cs="Times New Roman"/>
          <w:sz w:val="24"/>
          <w:szCs w:val="24"/>
        </w:rPr>
        <w:t>molds</w:t>
      </w:r>
      <w:proofErr w:type="spellEnd"/>
      <w:r>
        <w:rPr>
          <w:rFonts w:ascii="Times New Roman" w:eastAsia="Times New Roman" w:hAnsi="Times New Roman" w:cs="Times New Roman"/>
          <w:sz w:val="24"/>
          <w:szCs w:val="24"/>
        </w:rPr>
        <w:t xml:space="preserve"> upsurges prediction correctness and ropes a well-versed executive through the scheme lifecycle.</w:t>
      </w:r>
    </w:p>
    <w:p w14:paraId="3539870C" w14:textId="77777777" w:rsidR="00570D2B" w:rsidRDefault="00000000">
      <w:pPr>
        <w:pStyle w:val="Heading1"/>
      </w:pPr>
      <w:bookmarkStart w:id="8" w:name="_heading=h.ymj8xd9jn5cj" w:colFirst="0" w:colLast="0"/>
      <w:bookmarkEnd w:id="8"/>
      <w:r>
        <w:t>5. Work Breakdown Structure (WBS)</w:t>
      </w:r>
    </w:p>
    <w:p w14:paraId="7AFEA37C" w14:textId="77777777" w:rsidR="00570D2B" w:rsidRDefault="00000000">
      <w:pPr>
        <w:spacing w:before="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B9608D3" wp14:editId="75DD87AD">
            <wp:extent cx="5734050" cy="2981325"/>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t="9817" b="38103"/>
                    <a:stretch>
                      <a:fillRect/>
                    </a:stretch>
                  </pic:blipFill>
                  <pic:spPr>
                    <a:xfrm>
                      <a:off x="0" y="0"/>
                      <a:ext cx="5734050" cy="2981325"/>
                    </a:xfrm>
                    <a:prstGeom prst="rect">
                      <a:avLst/>
                    </a:prstGeom>
                    <a:ln w="25400">
                      <a:solidFill>
                        <a:srgbClr val="000000"/>
                      </a:solidFill>
                      <a:prstDash val="solid"/>
                    </a:ln>
                  </pic:spPr>
                </pic:pic>
              </a:graphicData>
            </a:graphic>
          </wp:inline>
        </w:drawing>
      </w:r>
    </w:p>
    <w:p w14:paraId="15D2BADE" w14:textId="77777777" w:rsidR="00570D2B" w:rsidRDefault="00000000">
      <w:pPr>
        <w:spacing w:before="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Work Breakdown Structure (WBS) for International Market Entry Project</w:t>
      </w:r>
    </w:p>
    <w:p w14:paraId="5057A300" w14:textId="77777777" w:rsidR="00570D2B" w:rsidRDefault="00000000">
      <w:pPr>
        <w:spacing w:before="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Self-created)</w:t>
      </w:r>
    </w:p>
    <w:p w14:paraId="4D15145C" w14:textId="77777777" w:rsidR="00570D2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figure demonstrates a level-based work breakdown structure (WBS) for a global market admission project. At Level 1, the general project impartial is wrecked depressed into main work letters, such as marketplace investigation, controlling obedience, creation version, delivery scheme application, advertising campaign, and launch application (Project Management Institute, 2023). Such an organised separation elucidates errands, upsurges planning correctness, and rationalises the delivery of errands crossways diverse effort parts. At Level 2 and Level 3, each main effort set is alienated into more exact doings, such as manufacturing examination, guarantee gaining, wrapping conversion, logistics dealer assortment, and digital advertising growth (Kerzner, 2022). This step-by-step embellishment improves effort transparency, sequencing, and reserve organisation, and assistances decrease vagueness and possibility creep. In between a multifaceted scheme into lesser mechanisms, brands switch and nursing more actual through the scheme life series.</w:t>
      </w:r>
    </w:p>
    <w:p w14:paraId="3CBAF3B3" w14:textId="77777777" w:rsidR="00570D2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flowchart arrangement visually validates logical relations amid responsibilities and highpoints interdependencies across stages, chiefly amid agreement, logistics, and advertising activities. By arranging deliverables into quantifiable effort letters, the WBS ropes breakthrough following and performance appraisal. Such pictorial preparation tools are extensively recognised as vital devices for risk discount, investor message, and implementation competence in global project surroundings (Too and Weaver, 2022).‌</w:t>
      </w:r>
    </w:p>
    <w:p w14:paraId="6B23F18B" w14:textId="77777777" w:rsidR="00570D2B" w:rsidRDefault="00000000">
      <w:pPr>
        <w:pStyle w:val="Heading1"/>
      </w:pPr>
      <w:bookmarkStart w:id="9" w:name="_heading=h.4gg0iaaxe063" w:colFirst="0" w:colLast="0"/>
      <w:bookmarkEnd w:id="9"/>
      <w:r>
        <w:t xml:space="preserve">‌6. Project Timeline and Key Milestones </w:t>
      </w:r>
    </w:p>
    <w:tbl>
      <w:tblPr>
        <w:tblStyle w:val="a2"/>
        <w:tblW w:w="9025" w:type="dxa"/>
        <w:tblBorders>
          <w:top w:val="nil"/>
          <w:left w:val="nil"/>
          <w:bottom w:val="nil"/>
          <w:right w:val="nil"/>
          <w:insideH w:val="nil"/>
          <w:insideV w:val="nil"/>
        </w:tblBorders>
        <w:tblLayout w:type="fixed"/>
        <w:tblLook w:val="0600" w:firstRow="0" w:lastRow="0" w:firstColumn="0" w:lastColumn="0" w:noHBand="1" w:noVBand="1"/>
      </w:tblPr>
      <w:tblGrid>
        <w:gridCol w:w="808"/>
        <w:gridCol w:w="1306"/>
        <w:gridCol w:w="3745"/>
        <w:gridCol w:w="1181"/>
        <w:gridCol w:w="1985"/>
      </w:tblGrid>
      <w:tr w:rsidR="00570D2B" w14:paraId="6E7A9F6F" w14:textId="77777777">
        <w:trPr>
          <w:trHeight w:val="800"/>
        </w:trPr>
        <w:tc>
          <w:tcPr>
            <w:tcW w:w="808" w:type="dxa"/>
            <w:tcBorders>
              <w:top w:val="single" w:sz="4" w:space="0" w:color="000000"/>
              <w:left w:val="single" w:sz="4" w:space="0" w:color="000000"/>
              <w:bottom w:val="single" w:sz="4" w:space="0" w:color="000000"/>
              <w:right w:val="single" w:sz="4" w:space="0" w:color="000000"/>
            </w:tcBorders>
            <w:shd w:val="clear" w:color="auto" w:fill="CCCCCC"/>
            <w:tcMar>
              <w:top w:w="100" w:type="dxa"/>
              <w:left w:w="100" w:type="dxa"/>
              <w:bottom w:w="100" w:type="dxa"/>
              <w:right w:w="100" w:type="dxa"/>
            </w:tcMar>
          </w:tcPr>
          <w:p w14:paraId="5CF64154" w14:textId="77777777" w:rsidR="00570D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Phase</w:t>
            </w:r>
          </w:p>
        </w:tc>
        <w:tc>
          <w:tcPr>
            <w:tcW w:w="1306" w:type="dxa"/>
            <w:tcBorders>
              <w:top w:val="single" w:sz="4" w:space="0" w:color="000000"/>
              <w:left w:val="single" w:sz="4" w:space="0" w:color="000000"/>
              <w:bottom w:val="single" w:sz="4" w:space="0" w:color="000000"/>
              <w:right w:val="single" w:sz="4" w:space="0" w:color="000000"/>
            </w:tcBorders>
            <w:shd w:val="clear" w:color="auto" w:fill="CCCCCC"/>
            <w:tcMar>
              <w:top w:w="100" w:type="dxa"/>
              <w:left w:w="100" w:type="dxa"/>
              <w:bottom w:w="100" w:type="dxa"/>
              <w:right w:w="100" w:type="dxa"/>
            </w:tcMar>
          </w:tcPr>
          <w:p w14:paraId="6E3519A4" w14:textId="77777777" w:rsidR="00570D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Timeframe</w:t>
            </w:r>
          </w:p>
        </w:tc>
        <w:tc>
          <w:tcPr>
            <w:tcW w:w="3745" w:type="dxa"/>
            <w:tcBorders>
              <w:top w:val="single" w:sz="4" w:space="0" w:color="000000"/>
              <w:left w:val="single" w:sz="4" w:space="0" w:color="000000"/>
              <w:bottom w:val="single" w:sz="4" w:space="0" w:color="000000"/>
              <w:right w:val="single" w:sz="4" w:space="0" w:color="000000"/>
            </w:tcBorders>
            <w:shd w:val="clear" w:color="auto" w:fill="CCCCCC"/>
            <w:tcMar>
              <w:top w:w="100" w:type="dxa"/>
              <w:left w:w="100" w:type="dxa"/>
              <w:bottom w:w="100" w:type="dxa"/>
              <w:right w:w="100" w:type="dxa"/>
            </w:tcMar>
          </w:tcPr>
          <w:p w14:paraId="06259886" w14:textId="77777777" w:rsidR="00570D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Key Activities</w:t>
            </w:r>
          </w:p>
        </w:tc>
        <w:tc>
          <w:tcPr>
            <w:tcW w:w="1181" w:type="dxa"/>
            <w:tcBorders>
              <w:top w:val="single" w:sz="4" w:space="0" w:color="000000"/>
              <w:left w:val="single" w:sz="4" w:space="0" w:color="000000"/>
              <w:bottom w:val="single" w:sz="4" w:space="0" w:color="000000"/>
              <w:right w:val="single" w:sz="4" w:space="0" w:color="000000"/>
            </w:tcBorders>
            <w:shd w:val="clear" w:color="auto" w:fill="CCCCCC"/>
            <w:tcMar>
              <w:top w:w="100" w:type="dxa"/>
              <w:left w:w="100" w:type="dxa"/>
              <w:bottom w:w="100" w:type="dxa"/>
              <w:right w:w="100" w:type="dxa"/>
            </w:tcMar>
          </w:tcPr>
          <w:p w14:paraId="6B590E8A" w14:textId="77777777" w:rsidR="00570D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Milestone</w:t>
            </w:r>
          </w:p>
        </w:tc>
        <w:tc>
          <w:tcPr>
            <w:tcW w:w="1985" w:type="dxa"/>
            <w:tcBorders>
              <w:top w:val="single" w:sz="4" w:space="0" w:color="000000"/>
              <w:left w:val="single" w:sz="4" w:space="0" w:color="000000"/>
              <w:bottom w:val="single" w:sz="4" w:space="0" w:color="000000"/>
              <w:right w:val="single" w:sz="4" w:space="0" w:color="000000"/>
            </w:tcBorders>
            <w:shd w:val="clear" w:color="auto" w:fill="CCCCCC"/>
            <w:tcMar>
              <w:top w:w="100" w:type="dxa"/>
              <w:left w:w="100" w:type="dxa"/>
              <w:bottom w:w="100" w:type="dxa"/>
              <w:right w:w="100" w:type="dxa"/>
            </w:tcMar>
          </w:tcPr>
          <w:p w14:paraId="528FB75F" w14:textId="77777777" w:rsidR="00570D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Milestone Description</w:t>
            </w:r>
          </w:p>
        </w:tc>
      </w:tr>
      <w:tr w:rsidR="00570D2B" w14:paraId="3B717604" w14:textId="77777777">
        <w:trPr>
          <w:trHeight w:val="1085"/>
        </w:trPr>
        <w:tc>
          <w:tcPr>
            <w:tcW w:w="808"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7143630D"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Phase 1</w:t>
            </w:r>
          </w:p>
        </w:tc>
        <w:tc>
          <w:tcPr>
            <w:tcW w:w="1306"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413BE222"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Months 1–3</w:t>
            </w:r>
          </w:p>
        </w:tc>
        <w:tc>
          <w:tcPr>
            <w:tcW w:w="374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315F084C"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Market study, industry analysis, contestant benchmarking, consumer investigation</w:t>
            </w:r>
          </w:p>
        </w:tc>
        <w:tc>
          <w:tcPr>
            <w:tcW w:w="1181"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25CE0C33"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Milestone 1</w:t>
            </w:r>
          </w:p>
        </w:tc>
        <w:tc>
          <w:tcPr>
            <w:tcW w:w="198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6CB6CA08"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Market Research Completed</w:t>
            </w:r>
          </w:p>
        </w:tc>
      </w:tr>
      <w:tr w:rsidR="00570D2B" w14:paraId="03F9D7F6" w14:textId="77777777">
        <w:trPr>
          <w:trHeight w:val="800"/>
        </w:trPr>
        <w:tc>
          <w:tcPr>
            <w:tcW w:w="808"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0AC93A84"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Phase 2</w:t>
            </w:r>
          </w:p>
        </w:tc>
        <w:tc>
          <w:tcPr>
            <w:tcW w:w="1306"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64D6A33B"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Months 4–6</w:t>
            </w:r>
          </w:p>
        </w:tc>
        <w:tc>
          <w:tcPr>
            <w:tcW w:w="374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19410100"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Regulatory evaluation, product testing, and documentation progression</w:t>
            </w:r>
          </w:p>
        </w:tc>
        <w:tc>
          <w:tcPr>
            <w:tcW w:w="1181"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6DD02C6C"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Milestone 2</w:t>
            </w:r>
          </w:p>
        </w:tc>
        <w:tc>
          <w:tcPr>
            <w:tcW w:w="198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664519C0"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Regulatory Approval Secured</w:t>
            </w:r>
          </w:p>
        </w:tc>
      </w:tr>
      <w:tr w:rsidR="00570D2B" w14:paraId="06A5B244" w14:textId="77777777">
        <w:trPr>
          <w:trHeight w:val="1085"/>
        </w:trPr>
        <w:tc>
          <w:tcPr>
            <w:tcW w:w="808"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22DE997D"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Phase 3</w:t>
            </w:r>
          </w:p>
        </w:tc>
        <w:tc>
          <w:tcPr>
            <w:tcW w:w="1306"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50B30ED3"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Months 6–9</w:t>
            </w:r>
          </w:p>
        </w:tc>
        <w:tc>
          <w:tcPr>
            <w:tcW w:w="374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004C9A42"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Retailer talks, logistics breadwinner choice, warehouse arrangement</w:t>
            </w:r>
          </w:p>
        </w:tc>
        <w:tc>
          <w:tcPr>
            <w:tcW w:w="1181"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15C69525"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Milestone 3</w:t>
            </w:r>
          </w:p>
        </w:tc>
        <w:tc>
          <w:tcPr>
            <w:tcW w:w="198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7E5464A3"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Distribution Agreements Finalised</w:t>
            </w:r>
          </w:p>
        </w:tc>
      </w:tr>
      <w:tr w:rsidR="00570D2B" w14:paraId="54B59D2E" w14:textId="77777777">
        <w:trPr>
          <w:trHeight w:val="1085"/>
        </w:trPr>
        <w:tc>
          <w:tcPr>
            <w:tcW w:w="808"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1DB499B8"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Phase 4</w:t>
            </w:r>
          </w:p>
        </w:tc>
        <w:tc>
          <w:tcPr>
            <w:tcW w:w="1306"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3479F878"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Months 9–11</w:t>
            </w:r>
          </w:p>
        </w:tc>
        <w:tc>
          <w:tcPr>
            <w:tcW w:w="374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63DD827"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plan growth, digital campaign groundwork, and influencer companies</w:t>
            </w:r>
          </w:p>
        </w:tc>
        <w:tc>
          <w:tcPr>
            <w:tcW w:w="1181"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4D9A31B9"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Milestone 4</w:t>
            </w:r>
          </w:p>
        </w:tc>
        <w:tc>
          <w:tcPr>
            <w:tcW w:w="198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2F727314"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Campaign Ready</w:t>
            </w:r>
          </w:p>
        </w:tc>
      </w:tr>
      <w:tr w:rsidR="00570D2B" w14:paraId="758354EE" w14:textId="77777777">
        <w:trPr>
          <w:trHeight w:val="800"/>
        </w:trPr>
        <w:tc>
          <w:tcPr>
            <w:tcW w:w="808"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565BE286"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Phase 5</w:t>
            </w:r>
          </w:p>
        </w:tc>
        <w:tc>
          <w:tcPr>
            <w:tcW w:w="1306"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1E0E0F57"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Month 12</w:t>
            </w:r>
          </w:p>
        </w:tc>
        <w:tc>
          <w:tcPr>
            <w:tcW w:w="374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1C6F3C39"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Launch event preparation, PR campaign, creation announcement</w:t>
            </w:r>
          </w:p>
        </w:tc>
        <w:tc>
          <w:tcPr>
            <w:tcW w:w="1181"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72661259"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Milestone 5</w:t>
            </w:r>
          </w:p>
        </w:tc>
        <w:tc>
          <w:tcPr>
            <w:tcW w:w="198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50DAD0A6"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Official German Market Launch</w:t>
            </w:r>
          </w:p>
        </w:tc>
      </w:tr>
    </w:tbl>
    <w:p w14:paraId="4A5E2C7D" w14:textId="77777777" w:rsidR="00570D2B" w:rsidRDefault="00570D2B">
      <w:pPr>
        <w:rPr>
          <w:rFonts w:ascii="Times New Roman" w:eastAsia="Times New Roman" w:hAnsi="Times New Roman" w:cs="Times New Roman"/>
          <w:sz w:val="24"/>
          <w:szCs w:val="24"/>
        </w:rPr>
      </w:pPr>
    </w:p>
    <w:p w14:paraId="19DDA555" w14:textId="77777777" w:rsidR="00570D2B" w:rsidRDefault="00000000">
      <w:pPr>
        <w:pStyle w:val="Heading1"/>
      </w:pPr>
      <w:bookmarkStart w:id="10" w:name="_heading=h.m77160a3hriv" w:colFirst="0" w:colLast="0"/>
      <w:bookmarkEnd w:id="10"/>
      <w:r>
        <w:t xml:space="preserve">7. Resource Planning </w:t>
      </w:r>
    </w:p>
    <w:p w14:paraId="671C7343" w14:textId="77777777" w:rsidR="00570D2B" w:rsidRDefault="00000000">
      <w:pPr>
        <w:pStyle w:val="Heading2"/>
      </w:pPr>
      <w:bookmarkStart w:id="11" w:name="_heading=h.3bniphs72d5j" w:colFirst="0" w:colLast="0"/>
      <w:bookmarkEnd w:id="11"/>
      <w:r>
        <w:t>7.1 Human Resources</w:t>
      </w:r>
    </w:p>
    <w:p w14:paraId="497EB2D2" w14:textId="77777777" w:rsidR="00570D2B" w:rsidRDefault="00000000">
      <w:pPr>
        <w:spacing w:before="20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 well-organised human resources construction is vital for the fruitful conclusion of this international marketplace entry scheme. The project manager is accountable for planned omission, organisation, and performance of nursing at all heights. The marketplace investigation analyst ropes planned choices by as long as data-driven visions, while the lawful advisor safeguards controlling obedience under the EU cosmetic outline (Lock, 2022). Role clarity recovers answerability, message, and overall scheme recital in a complex setting. The advertising executive leads the marketing and campaign application, reinforced by the logistics manager, who accomplishes supply chain and delivery stations. The finance officer supervises cheap switch and economic broadcasting to guarantee agreement with expenditure bounds (Meredith, Mantel and Shafer, 2023). In addition, the local German market consultant decreases doubt in international growth by if cultural and market-specific know-how. Multi-faceted, real teamwork reinforces executive and increases project flexibility in altering worldwide marketplaces.</w:t>
      </w:r>
    </w:p>
    <w:p w14:paraId="1C9F0832" w14:textId="77777777" w:rsidR="00570D2B" w:rsidRDefault="00000000">
      <w:pPr>
        <w:pStyle w:val="Heading2"/>
      </w:pPr>
      <w:bookmarkStart w:id="12" w:name="_heading=h.5il18l2rurns" w:colFirst="0" w:colLast="0"/>
      <w:bookmarkEnd w:id="12"/>
      <w:r>
        <w:t>7.2 Material Resources:</w:t>
      </w:r>
    </w:p>
    <w:p w14:paraId="1C0A1AD7" w14:textId="77777777" w:rsidR="00570D2B" w:rsidRDefault="00000000">
      <w:pPr>
        <w:spacing w:before="20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Physical assets production a vital role in safeguarding working willingness and applying unified marketplace admission. Product frameworks essential to be correctly estimated to meet possible German requests, evading extra list costs (Christopher, 2022). Wrapping resources need to be restricted to meet EU beautifying </w:t>
      </w:r>
      <w:proofErr w:type="spellStart"/>
      <w:r>
        <w:rPr>
          <w:rFonts w:ascii="Times New Roman" w:eastAsia="Times New Roman" w:hAnsi="Times New Roman" w:cs="Times New Roman"/>
          <w:sz w:val="24"/>
          <w:szCs w:val="24"/>
        </w:rPr>
        <w:t>labeling</w:t>
      </w:r>
      <w:proofErr w:type="spellEnd"/>
      <w:r>
        <w:rPr>
          <w:rFonts w:ascii="Times New Roman" w:eastAsia="Times New Roman" w:hAnsi="Times New Roman" w:cs="Times New Roman"/>
          <w:sz w:val="24"/>
          <w:szCs w:val="24"/>
        </w:rPr>
        <w:t xml:space="preserve"> morals and sustainability prospects. Effective resources preparation upsurges supply chain competence, decreases waste, and donates to general project performance and worth making (Christopher, 2022). Marketing materials, counting publicity gratified and exclusive resources, provision the communication plan and make putting in the German marketplace. Additionally, IT schemes for e-commerce are vital to ease online dealings, payment dispensation, and client data organisation (Laudon </w:t>
      </w:r>
      <w:r>
        <w:rPr>
          <w:rFonts w:ascii="Times New Roman" w:eastAsia="Times New Roman" w:hAnsi="Times New Roman" w:cs="Times New Roman"/>
          <w:sz w:val="24"/>
          <w:szCs w:val="24"/>
        </w:rPr>
        <w:lastRenderedPageBreak/>
        <w:t>and Laudon, 2023). A robust digital substructure recovers the organisation of actions, augments the customer knowledge, and reinforces competitive benefit in a global setting.</w:t>
      </w:r>
    </w:p>
    <w:p w14:paraId="4AB4782E" w14:textId="77777777" w:rsidR="00570D2B" w:rsidRDefault="00000000">
      <w:pPr>
        <w:pStyle w:val="Heading2"/>
      </w:pPr>
      <w:bookmarkStart w:id="13" w:name="_heading=h.wpmz51r1d953" w:colFirst="0" w:colLast="0"/>
      <w:bookmarkEnd w:id="13"/>
      <w:r>
        <w:t>7.3 Financial Resources:</w:t>
      </w:r>
    </w:p>
    <w:p w14:paraId="087360E5" w14:textId="77777777" w:rsidR="00570D2B" w:rsidRDefault="00570D2B">
      <w:pPr>
        <w:rPr>
          <w:rFonts w:ascii="Times New Roman" w:eastAsia="Times New Roman" w:hAnsi="Times New Roman" w:cs="Times New Roman"/>
          <w:sz w:val="24"/>
          <w:szCs w:val="24"/>
        </w:rPr>
      </w:pPr>
    </w:p>
    <w:tbl>
      <w:tblPr>
        <w:tblStyle w:val="a3"/>
        <w:tblW w:w="9025" w:type="dxa"/>
        <w:tblBorders>
          <w:top w:val="nil"/>
          <w:left w:val="nil"/>
          <w:bottom w:val="nil"/>
          <w:right w:val="nil"/>
          <w:insideH w:val="nil"/>
          <w:insideV w:val="nil"/>
        </w:tblBorders>
        <w:tblLayout w:type="fixed"/>
        <w:tblLook w:val="0600" w:firstRow="0" w:lastRow="0" w:firstColumn="0" w:lastColumn="0" w:noHBand="1" w:noVBand="1"/>
      </w:tblPr>
      <w:tblGrid>
        <w:gridCol w:w="1626"/>
        <w:gridCol w:w="1371"/>
        <w:gridCol w:w="2076"/>
        <w:gridCol w:w="3952"/>
      </w:tblGrid>
      <w:tr w:rsidR="00570D2B" w14:paraId="0BA8B2A2" w14:textId="77777777">
        <w:trPr>
          <w:trHeight w:val="800"/>
        </w:trPr>
        <w:tc>
          <w:tcPr>
            <w:tcW w:w="1626"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00" w:type="dxa"/>
              <w:bottom w:w="100" w:type="dxa"/>
              <w:right w:w="100" w:type="dxa"/>
            </w:tcMar>
          </w:tcPr>
          <w:p w14:paraId="4D58DF0C" w14:textId="77777777" w:rsidR="00570D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Budget Category</w:t>
            </w:r>
          </w:p>
        </w:tc>
        <w:tc>
          <w:tcPr>
            <w:tcW w:w="1371"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00" w:type="dxa"/>
              <w:bottom w:w="100" w:type="dxa"/>
              <w:right w:w="100" w:type="dxa"/>
            </w:tcMar>
          </w:tcPr>
          <w:p w14:paraId="6571AF7E" w14:textId="77777777" w:rsidR="00570D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Allocation (£)</w:t>
            </w:r>
          </w:p>
        </w:tc>
        <w:tc>
          <w:tcPr>
            <w:tcW w:w="2076"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00" w:type="dxa"/>
              <w:bottom w:w="100" w:type="dxa"/>
              <w:right w:w="100" w:type="dxa"/>
            </w:tcMar>
          </w:tcPr>
          <w:p w14:paraId="55665056" w14:textId="77777777" w:rsidR="00570D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Percentage of Total Budget</w:t>
            </w:r>
          </w:p>
        </w:tc>
        <w:tc>
          <w:tcPr>
            <w:tcW w:w="3952"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00" w:type="dxa"/>
              <w:bottom w:w="100" w:type="dxa"/>
              <w:right w:w="100" w:type="dxa"/>
            </w:tcMar>
          </w:tcPr>
          <w:p w14:paraId="5124CBBB" w14:textId="77777777" w:rsidR="00570D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Purpose</w:t>
            </w:r>
          </w:p>
        </w:tc>
      </w:tr>
      <w:tr w:rsidR="00570D2B" w14:paraId="1F827C64" w14:textId="77777777">
        <w:trPr>
          <w:trHeight w:val="800"/>
        </w:trPr>
        <w:tc>
          <w:tcPr>
            <w:tcW w:w="1626"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61D9A154"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Research</w:t>
            </w:r>
          </w:p>
        </w:tc>
        <w:tc>
          <w:tcPr>
            <w:tcW w:w="1371"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750F015C"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£50,000</w:t>
            </w:r>
          </w:p>
        </w:tc>
        <w:tc>
          <w:tcPr>
            <w:tcW w:w="2076"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5BB40B33"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3952"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251E8935"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Marketplace study, business examination, customer visions</w:t>
            </w:r>
          </w:p>
        </w:tc>
      </w:tr>
      <w:tr w:rsidR="00570D2B" w14:paraId="6EDB12C2" w14:textId="77777777">
        <w:trPr>
          <w:trHeight w:val="800"/>
        </w:trPr>
        <w:tc>
          <w:tcPr>
            <w:tcW w:w="1626"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6BEABC67"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Compliance</w:t>
            </w:r>
          </w:p>
        </w:tc>
        <w:tc>
          <w:tcPr>
            <w:tcW w:w="1371"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274A9E7A"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£70,000</w:t>
            </w:r>
          </w:p>
        </w:tc>
        <w:tc>
          <w:tcPr>
            <w:tcW w:w="2076"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74AE66E3"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3952"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61AE17FC"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Controlling review, creation testing, and guarantee costs</w:t>
            </w:r>
          </w:p>
        </w:tc>
      </w:tr>
      <w:tr w:rsidR="00570D2B" w14:paraId="5600FBF2" w14:textId="77777777">
        <w:trPr>
          <w:trHeight w:val="800"/>
        </w:trPr>
        <w:tc>
          <w:tcPr>
            <w:tcW w:w="1626"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656B921D"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w:t>
            </w:r>
          </w:p>
        </w:tc>
        <w:tc>
          <w:tcPr>
            <w:tcW w:w="1371"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6AD14344"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£120,000</w:t>
            </w:r>
          </w:p>
        </w:tc>
        <w:tc>
          <w:tcPr>
            <w:tcW w:w="2076"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790E74A5"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c>
          <w:tcPr>
            <w:tcW w:w="3952"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3A9DE257"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Campaign growth, digital elevation, influencer companies</w:t>
            </w:r>
          </w:p>
        </w:tc>
      </w:tr>
      <w:tr w:rsidR="00570D2B" w14:paraId="322B7F4F" w14:textId="77777777">
        <w:trPr>
          <w:trHeight w:val="800"/>
        </w:trPr>
        <w:tc>
          <w:tcPr>
            <w:tcW w:w="1626"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7ECE52AB"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Logistics</w:t>
            </w:r>
          </w:p>
        </w:tc>
        <w:tc>
          <w:tcPr>
            <w:tcW w:w="1371"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C466F91"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£80,000</w:t>
            </w:r>
          </w:p>
        </w:tc>
        <w:tc>
          <w:tcPr>
            <w:tcW w:w="2076"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532FAD9"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3952"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FCE2342"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Distribution arrangement, warehousing, transport</w:t>
            </w:r>
          </w:p>
        </w:tc>
      </w:tr>
      <w:tr w:rsidR="00570D2B" w14:paraId="485B2D65" w14:textId="77777777">
        <w:trPr>
          <w:trHeight w:val="515"/>
        </w:trPr>
        <w:tc>
          <w:tcPr>
            <w:tcW w:w="1626"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9BFB57E"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Contingency</w:t>
            </w:r>
          </w:p>
        </w:tc>
        <w:tc>
          <w:tcPr>
            <w:tcW w:w="1371"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5AA27AAA"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£30,000</w:t>
            </w:r>
          </w:p>
        </w:tc>
        <w:tc>
          <w:tcPr>
            <w:tcW w:w="2076"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2648A812"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3952"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C648BFC"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Risk bumper for unexpected expenditures</w:t>
            </w:r>
          </w:p>
        </w:tc>
      </w:tr>
      <w:tr w:rsidR="00570D2B" w14:paraId="6385446B" w14:textId="77777777">
        <w:trPr>
          <w:trHeight w:val="515"/>
        </w:trPr>
        <w:tc>
          <w:tcPr>
            <w:tcW w:w="1626"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6CE95647"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Total Budget</w:t>
            </w:r>
          </w:p>
        </w:tc>
        <w:tc>
          <w:tcPr>
            <w:tcW w:w="1371"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4E9FD2C9"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£350,000</w:t>
            </w:r>
          </w:p>
        </w:tc>
        <w:tc>
          <w:tcPr>
            <w:tcW w:w="2076"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64663F8F"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100%</w:t>
            </w:r>
          </w:p>
        </w:tc>
        <w:tc>
          <w:tcPr>
            <w:tcW w:w="3952"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41A14949"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bl>
    <w:p w14:paraId="0A9EA0FB" w14:textId="77777777" w:rsidR="00570D2B" w:rsidRDefault="00570D2B">
      <w:pPr>
        <w:rPr>
          <w:rFonts w:ascii="Times New Roman" w:eastAsia="Times New Roman" w:hAnsi="Times New Roman" w:cs="Times New Roman"/>
          <w:sz w:val="24"/>
          <w:szCs w:val="24"/>
        </w:rPr>
      </w:pPr>
    </w:p>
    <w:p w14:paraId="02926413" w14:textId="77777777" w:rsidR="00570D2B" w:rsidRDefault="00000000">
      <w:pPr>
        <w:pStyle w:val="Heading1"/>
      </w:pPr>
      <w:bookmarkStart w:id="14" w:name="_heading=h.qcc9bxm805ib" w:colFirst="0" w:colLast="0"/>
      <w:bookmarkEnd w:id="14"/>
      <w:r>
        <w:t xml:space="preserve">8. Stakeholder Identification and Stakeholder Matrix </w:t>
      </w:r>
    </w:p>
    <w:p w14:paraId="4515EACB" w14:textId="77777777" w:rsidR="00570D2B" w:rsidRDefault="00000000">
      <w:pPr>
        <w:spacing w:before="20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Stakeholder Identification</w:t>
      </w:r>
    </w:p>
    <w:p w14:paraId="74DD48EF" w14:textId="77777777" w:rsidR="00570D2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stakeholder documentation is important to attaining planned arrangements, plummeting confrontation, and consolidation message in global schemes. This marketplace admission ingenuity covers internal savers such as the Company CEO, Project Manager, UK Employees, Finance Officer, and Investors, composed with external factors including German Retail Partners, Customers, Controlling Establishments, Logistics Breadwinners, Advertising Activity, and Traders (Routledge &amp; CRC Press, 2020). Strong stakeholder charting improves transparency, answerability, and organised appointment crossways organisational limits. A stakeholder medium categorises stakeholders rendering to their comparative control and attention, allowing distinguished organisational plans. High-power, high-interest shareholders </w:t>
      </w:r>
      <w:r>
        <w:rPr>
          <w:rFonts w:ascii="Times New Roman" w:eastAsia="Times New Roman" w:hAnsi="Times New Roman" w:cs="Times New Roman"/>
          <w:sz w:val="24"/>
          <w:szCs w:val="24"/>
        </w:rPr>
        <w:lastRenderedPageBreak/>
        <w:t>need near teamwork and incessant messaging, while low-power collections should be checked and kept knowledgeable (Olander and Landin, 2022). Organised stakeholder examination recovers battle extenuation, hope organisation, and executive excellence in multifaceted surroundings, eventually consolidation scheme performance and longstanding value creation.</w:t>
      </w:r>
    </w:p>
    <w:p w14:paraId="6843EBD6" w14:textId="77777777" w:rsidR="00570D2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bCs/>
          <w:sz w:val="24"/>
          <w:szCs w:val="24"/>
        </w:rPr>
        <w:t>Stakeholder Matrix</w:t>
      </w:r>
    </w:p>
    <w:tbl>
      <w:tblPr>
        <w:tblStyle w:val="a4"/>
        <w:tblW w:w="8865" w:type="dxa"/>
        <w:tblBorders>
          <w:top w:val="nil"/>
          <w:left w:val="nil"/>
          <w:bottom w:val="nil"/>
          <w:right w:val="nil"/>
          <w:insideH w:val="nil"/>
          <w:insideV w:val="nil"/>
        </w:tblBorders>
        <w:tblLayout w:type="fixed"/>
        <w:tblLook w:val="0600" w:firstRow="0" w:lastRow="0" w:firstColumn="0" w:lastColumn="0" w:noHBand="1" w:noVBand="1"/>
      </w:tblPr>
      <w:tblGrid>
        <w:gridCol w:w="2520"/>
        <w:gridCol w:w="1065"/>
        <w:gridCol w:w="1050"/>
        <w:gridCol w:w="4230"/>
      </w:tblGrid>
      <w:tr w:rsidR="00570D2B" w14:paraId="193F87CA" w14:textId="77777777">
        <w:trPr>
          <w:trHeight w:val="515"/>
        </w:trPr>
        <w:tc>
          <w:tcPr>
            <w:tcW w:w="2520" w:type="dxa"/>
            <w:tcBorders>
              <w:top w:val="single" w:sz="4" w:space="0" w:color="000000"/>
              <w:left w:val="single" w:sz="4" w:space="0" w:color="000000"/>
              <w:bottom w:val="single" w:sz="4" w:space="0" w:color="000000"/>
              <w:right w:val="single" w:sz="4" w:space="0" w:color="000000"/>
            </w:tcBorders>
            <w:shd w:val="clear" w:color="auto" w:fill="CCCCCC"/>
            <w:tcMar>
              <w:top w:w="100" w:type="dxa"/>
              <w:left w:w="100" w:type="dxa"/>
              <w:bottom w:w="100" w:type="dxa"/>
              <w:right w:w="100" w:type="dxa"/>
            </w:tcMar>
          </w:tcPr>
          <w:p w14:paraId="10BB6A0E" w14:textId="77777777" w:rsidR="00570D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Stakeholder</w:t>
            </w:r>
          </w:p>
        </w:tc>
        <w:tc>
          <w:tcPr>
            <w:tcW w:w="1065" w:type="dxa"/>
            <w:tcBorders>
              <w:top w:val="single" w:sz="4" w:space="0" w:color="000000"/>
              <w:left w:val="single" w:sz="4" w:space="0" w:color="000000"/>
              <w:bottom w:val="single" w:sz="4" w:space="0" w:color="000000"/>
              <w:right w:val="single" w:sz="4" w:space="0" w:color="000000"/>
            </w:tcBorders>
            <w:shd w:val="clear" w:color="auto" w:fill="CCCCCC"/>
            <w:tcMar>
              <w:top w:w="100" w:type="dxa"/>
              <w:left w:w="100" w:type="dxa"/>
              <w:bottom w:w="100" w:type="dxa"/>
              <w:right w:w="100" w:type="dxa"/>
            </w:tcMar>
          </w:tcPr>
          <w:p w14:paraId="00E0517D" w14:textId="77777777" w:rsidR="00570D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Power</w:t>
            </w:r>
          </w:p>
        </w:tc>
        <w:tc>
          <w:tcPr>
            <w:tcW w:w="1050" w:type="dxa"/>
            <w:tcBorders>
              <w:top w:val="single" w:sz="4" w:space="0" w:color="000000"/>
              <w:left w:val="single" w:sz="4" w:space="0" w:color="000000"/>
              <w:bottom w:val="single" w:sz="4" w:space="0" w:color="000000"/>
              <w:right w:val="single" w:sz="4" w:space="0" w:color="000000"/>
            </w:tcBorders>
            <w:shd w:val="clear" w:color="auto" w:fill="CCCCCC"/>
            <w:tcMar>
              <w:top w:w="100" w:type="dxa"/>
              <w:left w:w="100" w:type="dxa"/>
              <w:bottom w:w="100" w:type="dxa"/>
              <w:right w:w="100" w:type="dxa"/>
            </w:tcMar>
          </w:tcPr>
          <w:p w14:paraId="38A2D6F1" w14:textId="77777777" w:rsidR="00570D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Interest</w:t>
            </w:r>
          </w:p>
        </w:tc>
        <w:tc>
          <w:tcPr>
            <w:tcW w:w="4230" w:type="dxa"/>
            <w:tcBorders>
              <w:top w:val="single" w:sz="4" w:space="0" w:color="000000"/>
              <w:left w:val="single" w:sz="4" w:space="0" w:color="000000"/>
              <w:bottom w:val="single" w:sz="4" w:space="0" w:color="000000"/>
              <w:right w:val="single" w:sz="4" w:space="0" w:color="000000"/>
            </w:tcBorders>
            <w:shd w:val="clear" w:color="auto" w:fill="CCCCCC"/>
            <w:tcMar>
              <w:top w:w="100" w:type="dxa"/>
              <w:left w:w="100" w:type="dxa"/>
              <w:bottom w:w="100" w:type="dxa"/>
              <w:right w:w="100" w:type="dxa"/>
            </w:tcMar>
          </w:tcPr>
          <w:p w14:paraId="5A1CADAC" w14:textId="77777777" w:rsidR="00570D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Management Strategy</w:t>
            </w:r>
          </w:p>
        </w:tc>
      </w:tr>
      <w:tr w:rsidR="00570D2B" w14:paraId="78BAABC9" w14:textId="77777777">
        <w:trPr>
          <w:trHeight w:val="515"/>
        </w:trPr>
        <w:tc>
          <w:tcPr>
            <w:tcW w:w="2520"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3548FDDE"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Company CEO</w:t>
            </w:r>
          </w:p>
        </w:tc>
        <w:tc>
          <w:tcPr>
            <w:tcW w:w="106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C3FEAF0"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05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B24E95B"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423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62191EAD"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Manage closely</w:t>
            </w:r>
          </w:p>
        </w:tc>
      </w:tr>
      <w:tr w:rsidR="00570D2B" w14:paraId="6A6C918B" w14:textId="77777777">
        <w:trPr>
          <w:trHeight w:val="515"/>
        </w:trPr>
        <w:tc>
          <w:tcPr>
            <w:tcW w:w="2520"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2C5D2F2A"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Project Manager</w:t>
            </w:r>
          </w:p>
        </w:tc>
        <w:tc>
          <w:tcPr>
            <w:tcW w:w="106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0DE71C87"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05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763E1858"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423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738D5BD"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Lead and coordinate</w:t>
            </w:r>
          </w:p>
        </w:tc>
      </w:tr>
      <w:tr w:rsidR="00570D2B" w14:paraId="0E571175" w14:textId="77777777">
        <w:trPr>
          <w:trHeight w:val="515"/>
        </w:trPr>
        <w:tc>
          <w:tcPr>
            <w:tcW w:w="2520"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62187230"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Investors</w:t>
            </w:r>
          </w:p>
        </w:tc>
        <w:tc>
          <w:tcPr>
            <w:tcW w:w="106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5EE17C78"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05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0B70EA0E"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423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05CFC221"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Keep satisfied</w:t>
            </w:r>
          </w:p>
        </w:tc>
      </w:tr>
      <w:tr w:rsidR="00570D2B" w14:paraId="564E9AAB" w14:textId="77777777">
        <w:trPr>
          <w:trHeight w:val="515"/>
        </w:trPr>
        <w:tc>
          <w:tcPr>
            <w:tcW w:w="2520"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3D456216"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German Retail Partners</w:t>
            </w:r>
          </w:p>
        </w:tc>
        <w:tc>
          <w:tcPr>
            <w:tcW w:w="106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29D0C2C1"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05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8CC3B02"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423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5E008DD9"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Strategic partnership</w:t>
            </w:r>
          </w:p>
        </w:tc>
      </w:tr>
      <w:tr w:rsidR="00570D2B" w14:paraId="0E632381" w14:textId="77777777">
        <w:trPr>
          <w:trHeight w:val="515"/>
        </w:trPr>
        <w:tc>
          <w:tcPr>
            <w:tcW w:w="2520"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20906DFC"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Regulatory Authorities</w:t>
            </w:r>
          </w:p>
        </w:tc>
        <w:tc>
          <w:tcPr>
            <w:tcW w:w="106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5FD82A8C"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05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02E51A13"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423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2A25FCE2"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Safeguard obedience and even writing</w:t>
            </w:r>
          </w:p>
        </w:tc>
      </w:tr>
      <w:tr w:rsidR="00570D2B" w14:paraId="71DFF2E8" w14:textId="77777777">
        <w:trPr>
          <w:trHeight w:val="515"/>
        </w:trPr>
        <w:tc>
          <w:tcPr>
            <w:tcW w:w="2520"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0C55B53A"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German Consumers</w:t>
            </w:r>
          </w:p>
        </w:tc>
        <w:tc>
          <w:tcPr>
            <w:tcW w:w="106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F162FBC"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105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21322BF2"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423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1CCCA4EE"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Engage actively</w:t>
            </w:r>
          </w:p>
        </w:tc>
      </w:tr>
      <w:tr w:rsidR="00570D2B" w14:paraId="50F8E62E" w14:textId="77777777">
        <w:trPr>
          <w:trHeight w:val="515"/>
        </w:trPr>
        <w:tc>
          <w:tcPr>
            <w:tcW w:w="2520"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3776B42E"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Agency</w:t>
            </w:r>
          </w:p>
        </w:tc>
        <w:tc>
          <w:tcPr>
            <w:tcW w:w="106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5FEB12F7"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105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584367CB"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423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2CF1BD53"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Collaborate closely</w:t>
            </w:r>
          </w:p>
        </w:tc>
      </w:tr>
      <w:tr w:rsidR="00570D2B" w14:paraId="4D2994EF" w14:textId="77777777">
        <w:trPr>
          <w:trHeight w:val="515"/>
        </w:trPr>
        <w:tc>
          <w:tcPr>
            <w:tcW w:w="2520"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77A3420F"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Logistics Providers</w:t>
            </w:r>
          </w:p>
        </w:tc>
        <w:tc>
          <w:tcPr>
            <w:tcW w:w="106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D2A2100"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105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6440D809"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423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26ACC5B6"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Monitor performance</w:t>
            </w:r>
          </w:p>
        </w:tc>
      </w:tr>
      <w:tr w:rsidR="00570D2B" w14:paraId="2108F4E4" w14:textId="77777777">
        <w:trPr>
          <w:trHeight w:val="515"/>
        </w:trPr>
        <w:tc>
          <w:tcPr>
            <w:tcW w:w="2520"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4F43690B"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Suppliers</w:t>
            </w:r>
          </w:p>
        </w:tc>
        <w:tc>
          <w:tcPr>
            <w:tcW w:w="106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6821AB21"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105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6EAEEC8C"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423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7B5B5B6"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Maintain communication</w:t>
            </w:r>
          </w:p>
        </w:tc>
      </w:tr>
      <w:tr w:rsidR="00570D2B" w14:paraId="3BD612D3" w14:textId="77777777">
        <w:trPr>
          <w:trHeight w:val="515"/>
        </w:trPr>
        <w:tc>
          <w:tcPr>
            <w:tcW w:w="2520" w:type="dxa"/>
            <w:tcBorders>
              <w:top w:val="single" w:sz="4" w:space="0" w:color="000000"/>
              <w:left w:val="single" w:sz="4" w:space="0" w:color="000000"/>
              <w:bottom w:val="single" w:sz="4" w:space="0" w:color="000000"/>
              <w:right w:val="single" w:sz="4" w:space="0" w:color="000000"/>
            </w:tcBorders>
            <w:shd w:val="clear" w:color="auto" w:fill="F4CCCC"/>
            <w:tcMar>
              <w:top w:w="100" w:type="dxa"/>
              <w:left w:w="100" w:type="dxa"/>
              <w:bottom w:w="100" w:type="dxa"/>
              <w:right w:w="100" w:type="dxa"/>
            </w:tcMar>
          </w:tcPr>
          <w:p w14:paraId="6FA78646"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UK Employees</w:t>
            </w:r>
          </w:p>
        </w:tc>
        <w:tc>
          <w:tcPr>
            <w:tcW w:w="106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08D71528"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105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3E535E66"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423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1F5931BE" w14:textId="77777777" w:rsidR="00570D2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Keep informed</w:t>
            </w:r>
          </w:p>
        </w:tc>
      </w:tr>
    </w:tbl>
    <w:p w14:paraId="1E9D0976" w14:textId="77777777" w:rsidR="00570D2B" w:rsidRDefault="00570D2B">
      <w:pPr>
        <w:rPr>
          <w:rFonts w:ascii="Times New Roman" w:eastAsia="Times New Roman" w:hAnsi="Times New Roman" w:cs="Times New Roman"/>
          <w:sz w:val="24"/>
          <w:szCs w:val="24"/>
        </w:rPr>
      </w:pPr>
    </w:p>
    <w:p w14:paraId="0980C16C" w14:textId="77777777" w:rsidR="00570D2B" w:rsidRDefault="00000000">
      <w:pPr>
        <w:pStyle w:val="Heading1"/>
      </w:pPr>
      <w:bookmarkStart w:id="15" w:name="_heading=h.slrnxmhy7yc5" w:colFirst="0" w:colLast="0"/>
      <w:bookmarkEnd w:id="15"/>
      <w:r>
        <w:t>9. Risk Considerations</w:t>
      </w:r>
    </w:p>
    <w:p w14:paraId="2B88FFA3" w14:textId="77777777" w:rsidR="00570D2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risks related to this global marketplace admission scheme comprise postponements in controlling endorsements, supply chain disturbances, national incongruities in advertising approaches, conversation rate instability, and possible modest responses. If not proactively managed, these risks can have a significant impact on cost, schedule, and overall performance (Hillson and Murray-Webster, 2022). Worldwide projects are additional subtle to external </w:t>
      </w:r>
      <w:r>
        <w:rPr>
          <w:rFonts w:ascii="Times New Roman" w:eastAsia="Times New Roman" w:hAnsi="Times New Roman" w:cs="Times New Roman"/>
          <w:sz w:val="24"/>
          <w:szCs w:val="24"/>
        </w:rPr>
        <w:lastRenderedPageBreak/>
        <w:t>doubts and cross-border difficulties, so organised risk documentation is essential at the preparation stage. Each known risk should be measured in a complete risk list founded on likelihood and influence, and suitable extenuation plans should be strongminded. For instance, other cheap assets are obliging in plummeting monetary dangers, and other dealers can mitigate logistical disturbances (Hopkinson, 2023). Incessant nursing and appraisal procedures reinforce organisational pliability and adaptive volume. Structured risk organisation improves the excellence of choices and recovers the likelihood of attaining scheme objectives.</w:t>
      </w:r>
    </w:p>
    <w:p w14:paraId="41C3DAEB" w14:textId="77777777" w:rsidR="00570D2B" w:rsidRDefault="00000000">
      <w:pPr>
        <w:pStyle w:val="Heading1"/>
      </w:pPr>
      <w:bookmarkStart w:id="16" w:name="_heading=h.wlark85w1zjy" w:colFirst="0" w:colLast="0"/>
      <w:bookmarkEnd w:id="16"/>
      <w:r>
        <w:t xml:space="preserve">10. Conclusion </w:t>
      </w:r>
    </w:p>
    <w:p w14:paraId="11B246E2" w14:textId="77777777" w:rsidR="00570D2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the fruitful admission of the UK organic skincare into the German marketplace needs a methodical and well-coordinated tactic surrounding marketplace investigation, controlling obedience, creation edition, delivery, and advertising. The project’s clear aim, SMART objectives, and possibility safeguard position with planned urgencies while justifying risks related to cross-border processes (Project Management Institute, 2023). Through founding quantifiable deliverables and organised milestones, the project improves accountability, allows presentation following, and delivers an outline for knowledgeable executives. Real resource preparation and investor appointment are vital to safeguard working competence and marketplace receipt.</w:t>
      </w:r>
    </w:p>
    <w:p w14:paraId="7F5619F3" w14:textId="77777777" w:rsidR="00570D2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risk organisation and active nursing reinforce the project’s pliability in illogicality of possible contests such as controlling postponements, supply chain disturbances, and national changes in advertising plans. Mixing human, physical, and economic capitals safeguards willingness for implementation while improving cheap distribution and working presentation (Christopher, 2022). Generally, by realising an organised scheme organisation outline with strong objectives, distinct deliverables, and complete risk vindication, the plan is located to achieve fruitful marketplace admission, encounter the first-year revenue board, and found a basis for upcoming growing in the European skincare division.</w:t>
      </w:r>
    </w:p>
    <w:p w14:paraId="252E74EB" w14:textId="77777777" w:rsidR="00570D2B" w:rsidRDefault="00000000">
      <w:pPr>
        <w:pStyle w:val="Heading1"/>
      </w:pPr>
      <w:bookmarkStart w:id="17" w:name="_heading=h.ar3vz1sugedf" w:colFirst="0" w:colLast="0"/>
      <w:bookmarkEnd w:id="17"/>
      <w:r>
        <w:t>11. References</w:t>
      </w:r>
    </w:p>
    <w:p w14:paraId="024815BF" w14:textId="77777777" w:rsidR="00570D2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Association for Project Management (2023). APM Body of Knowledge. 8th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Princes Risborough: APM. Available at: https://www.apm.org.uk/resources/find-a-resource/apm-body-of-knowledge/</w:t>
      </w:r>
    </w:p>
    <w:p w14:paraId="2276E09C" w14:textId="77777777" w:rsidR="00570D2B" w:rsidRDefault="00000000">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Christopher, M. (2022). Logistics and Supply Chain Management. 6th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Harlow: Pearson. Available at: https://www.pearson.com/en-gb/subject-catalog/p/logistics-and-supply-chain-management/P200000003479</w:t>
      </w:r>
    </w:p>
    <w:p w14:paraId="45937832" w14:textId="77777777" w:rsidR="00570D2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European Commission (2024) Cosmetics – EU rules and regulations. Available at: https://single-market-economy.ec.europa.eu/sectors/cosmetics_en</w:t>
      </w:r>
    </w:p>
    <w:p w14:paraId="4576F77F" w14:textId="77777777" w:rsidR="00570D2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Kerzner, H. (2022). Project Management: A Systems Approach to Planning, Scheduling, and Controlling. [online] Available at: https://ftp.idu.ac.id/wp-content/uploads/ebook/ip/BUKU%20MANAJEMEN%20PROYEK/project-management-harold-kerzner1.pdf.</w:t>
      </w:r>
    </w:p>
    <w:p w14:paraId="00019B1B" w14:textId="77777777" w:rsidR="00570D2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Kerzner, H. (2022). Project Management: A Systems Approach to Planning, Scheduling, and Controlling. 13th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Hoboken: Wiley. Available at: https://www.wiley.com/en-gb/Project+Management%3A+A+Systems+Approach+to+Planning%2C+Scheduling%2C+and+Controlling%2C+13th+Edition-p-9781119803834</w:t>
      </w:r>
    </w:p>
    <w:p w14:paraId="58A817B9" w14:textId="77777777" w:rsidR="00570D2B" w:rsidRDefault="00000000">
      <w:pPr>
        <w:spacing w:before="20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Laudon, K.C. and Laudon, J.P. (2023). Management Information Systems: Managing the Digital Firm. 17th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Harlow: Pearson. Available at: https://www.pearson.com/en-gb/subject-catalog/p/management-information-systems/P200000010518</w:t>
      </w:r>
    </w:p>
    <w:p w14:paraId="43A307E6" w14:textId="77777777" w:rsidR="00570D2B" w:rsidRDefault="00000000">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Lock, D. (2022). Project Management. [online] Routledge.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://doi.org/10.4324/9781315245911</w:t>
      </w:r>
      <w:proofErr w:type="gramEnd"/>
      <w:r>
        <w:rPr>
          <w:rFonts w:ascii="Times New Roman" w:eastAsia="Times New Roman" w:hAnsi="Times New Roman" w:cs="Times New Roman"/>
          <w:sz w:val="24"/>
          <w:szCs w:val="24"/>
        </w:rPr>
        <w:t>.</w:t>
      </w:r>
    </w:p>
    <w:p w14:paraId="6072D546" w14:textId="77777777" w:rsidR="00570D2B" w:rsidRDefault="00000000">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Meredith, J.R., Mantel, S.J. and Shafer, S.M. (2023) Project Management: A Managerial Approach. 11th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Hoboken: Wiley. Available at: https://www.wiley.com/en-us/Project+Management%3A+A+Managerial+Approach%2C+11th+Edition-p-9781119803834</w:t>
      </w:r>
    </w:p>
    <w:p w14:paraId="306CCCA7" w14:textId="77777777" w:rsidR="00570D2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Olander, S. and Landin, A. (2022). Evaluation of stakeholder influence in the implementation of construction projects. International Journal of Project Management, 23(4), pp.321–328.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://doi.org/10.1016/j.ijproman.2005.02.002</w:t>
      </w:r>
      <w:proofErr w:type="gramEnd"/>
      <w:r>
        <w:rPr>
          <w:rFonts w:ascii="Times New Roman" w:eastAsia="Times New Roman" w:hAnsi="Times New Roman" w:cs="Times New Roman"/>
          <w:sz w:val="24"/>
          <w:szCs w:val="24"/>
        </w:rPr>
        <w:t>.</w:t>
      </w:r>
    </w:p>
    <w:p w14:paraId="58F3DD8F" w14:textId="77777777" w:rsidR="00570D2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Management Institute (2023) A guide to the Project Management Body of Knowledge (PMBOK® Guide). 7th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Newtown Square, PA: PMI. Available at: https://www.pmi.org/pmbok-guide-standards</w:t>
      </w:r>
    </w:p>
    <w:p w14:paraId="1E87AE50" w14:textId="77777777" w:rsidR="00570D2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Project Management Institute (2023). Process Groups: A Practice Guide. Newtown Square, PA: PMI. Available at: https://www.pmi.org/pmbok-guide-standards/practice-guides/process-groups</w:t>
      </w:r>
    </w:p>
    <w:p w14:paraId="5636F419" w14:textId="77777777" w:rsidR="00570D2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Routledge &amp; CRC Press. (2020). Stakeholder Relationship Management: A Maturity Model for Organisational Implementation. [online] Available at: https://www.routledge.com/Stakeholder-Relationship-Management-A-Maturity-Model-for-Organisational-Implementation/Bourne/p/book/9781032838182.</w:t>
      </w:r>
    </w:p>
    <w:p w14:paraId="153F5666" w14:textId="77777777" w:rsidR="00570D2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Too, E. and Weaver, P. (2022). (PDF) The management of project management: A conceptual framework for project governance. [online] ResearchGate. Available at: https://www.researchgate.net/publication/266620368_The_management_of_project_management_A_conceptual_framework_for_project_governance.</w:t>
      </w:r>
    </w:p>
    <w:p w14:paraId="39E24F70" w14:textId="77777777" w:rsidR="00570D2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Turner, J.R. (2022). The Handbook of Project-Based Management. [online] Available at: https://ftp.idu.ac.id/wp-content/uploads/ebook/ip/BUKU%20MANAJEMEN%20PROYEK/02949.pdf.</w:t>
      </w:r>
    </w:p>
    <w:p w14:paraId="3A0E40FF" w14:textId="77777777" w:rsidR="00570D2B" w:rsidRDefault="00570D2B">
      <w:pPr>
        <w:spacing w:before="200" w:line="360" w:lineRule="auto"/>
        <w:jc w:val="both"/>
        <w:rPr>
          <w:rFonts w:ascii="Times New Roman" w:eastAsia="Times New Roman" w:hAnsi="Times New Roman" w:cs="Times New Roman"/>
          <w:sz w:val="24"/>
          <w:szCs w:val="24"/>
        </w:rPr>
      </w:pPr>
    </w:p>
    <w:p w14:paraId="4FE05126" w14:textId="77777777" w:rsidR="00570D2B" w:rsidRDefault="00570D2B">
      <w:pPr>
        <w:spacing w:before="200" w:after="240" w:line="360" w:lineRule="auto"/>
        <w:jc w:val="both"/>
        <w:rPr>
          <w:rFonts w:ascii="Times New Roman" w:eastAsia="Times New Roman" w:hAnsi="Times New Roman" w:cs="Times New Roman"/>
          <w:b/>
          <w:bCs/>
          <w:sz w:val="24"/>
          <w:szCs w:val="24"/>
        </w:rPr>
      </w:pPr>
    </w:p>
    <w:sectPr w:rsidR="00570D2B">
      <w:footerReference w:type="default" r:id="rId9"/>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949D1" w14:textId="77777777" w:rsidR="0064113A" w:rsidRDefault="0064113A">
      <w:pPr>
        <w:spacing w:line="240" w:lineRule="auto"/>
      </w:pPr>
      <w:r>
        <w:separator/>
      </w:r>
    </w:p>
  </w:endnote>
  <w:endnote w:type="continuationSeparator" w:id="0">
    <w:p w14:paraId="2650F38F" w14:textId="77777777" w:rsidR="0064113A" w:rsidRDefault="006411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BF3673B-824B-4A63-B970-803BF865F034}"/>
  </w:font>
  <w:font w:name="Cambria">
    <w:panose1 w:val="02040503050406030204"/>
    <w:charset w:val="00"/>
    <w:family w:val="roman"/>
    <w:pitch w:val="variable"/>
    <w:sig w:usb0="E00006FF" w:usb1="420024FF" w:usb2="02000000" w:usb3="00000000" w:csb0="0000019F" w:csb1="00000000"/>
    <w:embedRegular r:id="rId2" w:fontKey="{B96A9B75-C683-4D7D-9C53-DD8D67056BF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2CD7B" w14:textId="77777777" w:rsidR="00570D2B" w:rsidRDefault="00000000">
    <w:pPr>
      <w:jc w:val="right"/>
    </w:pPr>
    <w:r>
      <w:fldChar w:fldCharType="begin"/>
    </w:r>
    <w:r>
      <w:instrText>PAGE</w:instrText>
    </w:r>
    <w:r>
      <w:fldChar w:fldCharType="separate"/>
    </w:r>
    <w:r w:rsidR="00D974F8">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FA312" w14:textId="77777777" w:rsidR="0064113A" w:rsidRDefault="0064113A">
      <w:pPr>
        <w:spacing w:line="240" w:lineRule="auto"/>
      </w:pPr>
      <w:r>
        <w:separator/>
      </w:r>
    </w:p>
  </w:footnote>
  <w:footnote w:type="continuationSeparator" w:id="0">
    <w:p w14:paraId="129C2028" w14:textId="77777777" w:rsidR="0064113A" w:rsidRDefault="006411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E7001"/>
    <w:multiLevelType w:val="multilevel"/>
    <w:tmpl w:val="C50012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27276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D2B"/>
    <w:rsid w:val="00570D2B"/>
    <w:rsid w:val="0064113A"/>
    <w:rsid w:val="00672B9C"/>
    <w:rsid w:val="00D97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89606"/>
  <w15:docId w15:val="{0642F286-805B-41C5-8AF5-C568B05E8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00"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spacing w:before="200" w:after="8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paragraph" w:styleId="TOCHeading">
    <w:name w:val="TOC Heading"/>
    <w:basedOn w:val="Heading1"/>
    <w:next w:val="Normal"/>
    <w:uiPriority w:val="39"/>
    <w:unhideWhenUsed/>
    <w:qFormat/>
    <w:rsid w:val="00A01827"/>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A01827"/>
    <w:pPr>
      <w:spacing w:after="100"/>
    </w:pPr>
  </w:style>
  <w:style w:type="paragraph" w:styleId="TOC2">
    <w:name w:val="toc 2"/>
    <w:basedOn w:val="Normal"/>
    <w:next w:val="Normal"/>
    <w:autoRedefine/>
    <w:uiPriority w:val="39"/>
    <w:unhideWhenUsed/>
    <w:rsid w:val="00A01827"/>
    <w:pPr>
      <w:spacing w:after="100"/>
      <w:ind w:left="220"/>
    </w:pPr>
  </w:style>
  <w:style w:type="character" w:styleId="Hyperlink">
    <w:name w:val="Hyperlink"/>
    <w:basedOn w:val="DefaultParagraphFont"/>
    <w:uiPriority w:val="99"/>
    <w:unhideWhenUsed/>
    <w:rsid w:val="00A01827"/>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sGZDhO8QeS0UGggWQLoqhgD3UQ==">CgMxLjAyDmguaDFjZjZkNDFkamhhMg5oLjd3NHUxdzhpNXRxbTIOaC4zd2E3ZmQ1aWhzdmcyDmguY2Z2ejhiZjZ6bGt2Mg5oLm9rZXYwcGsyM3phYjIOaC53d3cxYTJycTg0ZWwyDmgudXRibWRlZWplbWc5Mg5oLmw5ZmQxZ3B5NWVpODIOaC55bWo4eGQ5am41Y2oyDmguNGdnMGlhYXhlMDYzMg5oLm03NzE2MGEzaHJpdjIOaC4zYm5pcGhzNzJkNWoyDmguNWlsMThsMnJ1cm5zMg5oLndwbXo1MXIxZDk1MzIOaC5xY2M5YnhtODA1aWIyDmguc2xybnhtaHk3eWM1Mg5oLndsYXJrODV3MXpqeTIOaC5hcjN2ejFzdWdlZGY4AHIhMUFBdU81cTdtY2xhZFVmclRoLWZCekxGWmRXSW1LTjV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2952</Words>
  <Characters>16827</Characters>
  <Application>Microsoft Office Word</Application>
  <DocSecurity>0</DocSecurity>
  <Lines>140</Lines>
  <Paragraphs>39</Paragraphs>
  <ScaleCrop>false</ScaleCrop>
  <Company/>
  <LinksUpToDate>false</LinksUpToDate>
  <CharactersWithSpaces>19740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2026-02-23T10:20:00Z</dcterms:created>
  <dcterms:modified xsi:type="dcterms:W3CDTF">2026-03-01T08:34:00Z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32a10a43-73b6-4d78-9b28-7e6da028d692</vt:lpwstr>
  </property>
</Properties>
</file>