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1D9CA26E" w:rsidR="00DD5969" w:rsidRPr="0000375B" w:rsidRDefault="00DD5969" w:rsidP="00DD5969">
      <w:pPr>
        <w:spacing w:before="212"/>
        <w:rPr>
          <w:rFonts w:ascii="Arial"/>
          <w:b/>
          <w:sz w:val="48"/>
          <w:szCs w:val="48"/>
          <w:lang w:val="fr-FR"/>
        </w:rPr>
      </w:pPr>
      <w:r w:rsidRPr="0000375B">
        <w:rPr>
          <w:rFonts w:ascii="Arial"/>
          <w:b/>
          <w:sz w:val="48"/>
          <w:szCs w:val="48"/>
          <w:lang w:val="fr-FR"/>
        </w:rPr>
        <w:t>MODULE CODE:</w:t>
      </w:r>
      <w:r w:rsidR="0007198D">
        <w:rPr>
          <w:rFonts w:ascii="Arial"/>
          <w:b/>
          <w:sz w:val="48"/>
          <w:szCs w:val="48"/>
          <w:lang w:val="fr-FR"/>
        </w:rPr>
        <w:t xml:space="preserve"> </w:t>
      </w:r>
      <w:r w:rsidR="0000375B" w:rsidRPr="0000375B">
        <w:rPr>
          <w:rFonts w:ascii="Arial"/>
          <w:b/>
          <w:sz w:val="48"/>
          <w:szCs w:val="48"/>
          <w:lang w:val="fr-FR"/>
        </w:rPr>
        <w:t>EC</w:t>
      </w:r>
      <w:r w:rsidR="0000375B">
        <w:rPr>
          <w:rFonts w:ascii="Arial"/>
          <w:b/>
          <w:sz w:val="48"/>
          <w:szCs w:val="48"/>
          <w:lang w:val="fr-FR"/>
        </w:rPr>
        <w:t>AD</w:t>
      </w:r>
      <w:r w:rsidR="0007198D">
        <w:rPr>
          <w:rFonts w:ascii="Arial"/>
          <w:b/>
          <w:sz w:val="48"/>
          <w:szCs w:val="48"/>
          <w:lang w:val="fr-FR"/>
        </w:rPr>
        <w:t>5</w:t>
      </w:r>
      <w:r w:rsidR="0000375B">
        <w:rPr>
          <w:rFonts w:ascii="Arial"/>
          <w:b/>
          <w:sz w:val="48"/>
          <w:szCs w:val="48"/>
          <w:lang w:val="fr-FR"/>
        </w:rPr>
        <w:t>01</w:t>
      </w:r>
      <w:r w:rsidR="0007198D">
        <w:rPr>
          <w:rFonts w:ascii="Arial"/>
          <w:b/>
          <w:sz w:val="48"/>
          <w:szCs w:val="48"/>
          <w:lang w:val="fr-FR"/>
        </w:rPr>
        <w:t>3</w:t>
      </w:r>
    </w:p>
    <w:p w14:paraId="5051A2D5" w14:textId="77777777" w:rsidR="00347EA1" w:rsidRPr="0000375B" w:rsidRDefault="00347EA1" w:rsidP="00DD5969">
      <w:pPr>
        <w:spacing w:before="212"/>
        <w:rPr>
          <w:rFonts w:ascii="Arial"/>
          <w:b/>
          <w:sz w:val="48"/>
          <w:szCs w:val="48"/>
          <w:lang w:val="fr-FR"/>
        </w:rPr>
      </w:pPr>
    </w:p>
    <w:p w14:paraId="7681432B" w14:textId="2BF4AE69" w:rsidR="00DD5969" w:rsidRPr="00DD5969" w:rsidRDefault="00DD5969" w:rsidP="00DD5969">
      <w:pPr>
        <w:spacing w:before="3"/>
        <w:rPr>
          <w:rFonts w:ascii="Arial"/>
          <w:b/>
          <w:sz w:val="48"/>
          <w:szCs w:val="48"/>
        </w:rPr>
      </w:pPr>
      <w:r w:rsidRPr="00DD5969">
        <w:rPr>
          <w:rFonts w:ascii="Arial"/>
          <w:b/>
          <w:sz w:val="48"/>
          <w:szCs w:val="48"/>
        </w:rPr>
        <w:t>STUDENT NAME:</w:t>
      </w:r>
      <w:r w:rsidR="0063799F">
        <w:rPr>
          <w:rFonts w:ascii="Arial"/>
          <w:b/>
          <w:sz w:val="48"/>
          <w:szCs w:val="48"/>
        </w:rPr>
        <w:t xml:space="preserve"> Charlotte Howell</w:t>
      </w:r>
    </w:p>
    <w:p w14:paraId="0D16D138" w14:textId="77777777" w:rsidR="00DD5969" w:rsidRPr="00DD5969" w:rsidRDefault="00DD5969" w:rsidP="00DD5969">
      <w:pPr>
        <w:spacing w:before="3"/>
        <w:rPr>
          <w:rFonts w:ascii="Arial"/>
          <w:b/>
          <w:sz w:val="48"/>
          <w:szCs w:val="48"/>
        </w:rPr>
      </w:pPr>
    </w:p>
    <w:p w14:paraId="18107AFF" w14:textId="69FDFE4C"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63799F">
        <w:rPr>
          <w:rFonts w:ascii="Arial"/>
          <w:b/>
          <w:sz w:val="48"/>
          <w:szCs w:val="48"/>
        </w:rPr>
        <w:t xml:space="preserve"> 2308966</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053AAD8E" w14:textId="1DB0942F" w:rsidR="0000375B" w:rsidRPr="008E16C2" w:rsidRDefault="00B103B9">
      <w:pPr>
        <w:rPr>
          <w:b/>
          <w:bCs/>
          <w:sz w:val="32"/>
          <w:szCs w:val="32"/>
          <w:u w:val="single"/>
        </w:rPr>
      </w:pPr>
      <w:r w:rsidRPr="00E243A8">
        <w:rPr>
          <w:b/>
          <w:bCs/>
          <w:sz w:val="32"/>
          <w:szCs w:val="32"/>
          <w:u w:val="single"/>
        </w:rPr>
        <w:lastRenderedPageBreak/>
        <w:t>AI Acknowledgeme</w:t>
      </w:r>
      <w:r w:rsidR="008E16C2">
        <w:rPr>
          <w:b/>
          <w:bCs/>
          <w:sz w:val="32"/>
          <w:szCs w:val="32"/>
          <w:u w:val="single"/>
        </w:rPr>
        <w:t>t</w:t>
      </w:r>
    </w:p>
    <w:p w14:paraId="00DEC237" w14:textId="77777777" w:rsidR="0000375B" w:rsidRDefault="0000375B">
      <w:pPr>
        <w:rPr>
          <w:sz w:val="16"/>
          <w:szCs w:val="16"/>
        </w:rPr>
      </w:pPr>
    </w:p>
    <w:p w14:paraId="3595309B" w14:textId="148C8EEC" w:rsidR="00B414E2" w:rsidRDefault="00B414E2" w:rsidP="00A105B9">
      <w:r w:rsidRPr="00DD5969">
        <w:t xml:space="preserve">I acknowledge the use of </w:t>
      </w:r>
      <w:proofErr w:type="spellStart"/>
      <w:r>
        <w:t>Grammaly</w:t>
      </w:r>
      <w:proofErr w:type="spellEnd"/>
      <w:r w:rsidRPr="00DD5969">
        <w:t xml:space="preserve">  </w:t>
      </w:r>
      <w:hyperlink r:id="rId6" w:history="1">
        <w:r w:rsidRPr="000A6159">
          <w:rPr>
            <w:rStyle w:val="Hyperlink"/>
          </w:rPr>
          <w:t>https://www.grammarly.com/</w:t>
        </w:r>
      </w:hyperlink>
      <w:r>
        <w:t xml:space="preserve"> </w:t>
      </w:r>
      <w:r w:rsidRPr="00DD5969">
        <w:t xml:space="preserve">on </w:t>
      </w:r>
      <w:r w:rsidR="00E80A5A">
        <w:t>23</w:t>
      </w:r>
      <w:r>
        <w:t>/0</w:t>
      </w:r>
      <w:r w:rsidR="00E80A5A">
        <w:t>4</w:t>
      </w:r>
      <w:r>
        <w:t>/2025 using the prompt.</w:t>
      </w:r>
    </w:p>
    <w:p w14:paraId="37768C3E" w14:textId="77777777" w:rsidR="00B414E2" w:rsidRPr="00067419" w:rsidRDefault="00B414E2" w:rsidP="00A105B9">
      <w:pPr>
        <w:pStyle w:val="ListParagraph"/>
        <w:numPr>
          <w:ilvl w:val="0"/>
          <w:numId w:val="1"/>
        </w:numPr>
      </w:pPr>
      <w:r w:rsidRPr="00067419">
        <w:t>Please check the following text for readability, grammar and s</w:t>
      </w:r>
      <w:r>
        <w:t>pelling</w:t>
      </w:r>
      <w:r w:rsidRPr="00067419">
        <w:t>.</w:t>
      </w:r>
    </w:p>
    <w:p w14:paraId="59EEE982" w14:textId="18FAF5D6" w:rsidR="00B414E2" w:rsidRDefault="00B414E2" w:rsidP="00A105B9">
      <w:r w:rsidRPr="00DD5969">
        <w:t xml:space="preserve">I acknowledge the use of </w:t>
      </w:r>
      <w:r>
        <w:t>MyBib</w:t>
      </w:r>
      <w:r w:rsidRPr="00CE596A">
        <w:t xml:space="preserve"> </w:t>
      </w:r>
      <w:hyperlink r:id="rId7" w:history="1">
        <w:r w:rsidRPr="000A6159">
          <w:rPr>
            <w:rStyle w:val="Hyperlink"/>
          </w:rPr>
          <w:t>https://www.mybib.com/</w:t>
        </w:r>
      </w:hyperlink>
      <w:r>
        <w:t xml:space="preserve"> </w:t>
      </w:r>
      <w:r w:rsidRPr="00DD5969">
        <w:t xml:space="preserve">on </w:t>
      </w:r>
      <w:r w:rsidR="00E80A5A">
        <w:t>27</w:t>
      </w:r>
      <w:r>
        <w:t>/0</w:t>
      </w:r>
      <w:r w:rsidR="00E80A5A">
        <w:t>4</w:t>
      </w:r>
      <w:r>
        <w:t>/2025 using the prompt.</w:t>
      </w:r>
    </w:p>
    <w:p w14:paraId="3D8108E7" w14:textId="3491E849" w:rsidR="00B414E2" w:rsidRPr="00DD5969" w:rsidRDefault="00B414E2" w:rsidP="00A105B9">
      <w:pPr>
        <w:pStyle w:val="ListParagraph"/>
        <w:numPr>
          <w:ilvl w:val="0"/>
          <w:numId w:val="2"/>
        </w:numPr>
      </w:pPr>
      <w:r>
        <w:t>Please store and</w:t>
      </w:r>
      <w:r w:rsidRPr="00DD5969">
        <w:t xml:space="preserve"> </w:t>
      </w:r>
      <w:r>
        <w:t>check my references are in order</w:t>
      </w:r>
      <w:r w:rsidRPr="00DD5969">
        <w:t xml:space="preserve">. </w:t>
      </w:r>
    </w:p>
    <w:p w14:paraId="1A3F563E" w14:textId="77777777" w:rsidR="00B414E2" w:rsidRPr="00DD5969" w:rsidRDefault="00B414E2" w:rsidP="00A105B9"/>
    <w:p w14:paraId="0ADC5794" w14:textId="77777777" w:rsidR="00B414E2" w:rsidRDefault="00B414E2" w:rsidP="00A105B9">
      <w:r w:rsidRPr="00DD5969">
        <w:t xml:space="preserve">I confirm that I have not presented any AI generated text as my own work. </w:t>
      </w:r>
    </w:p>
    <w:p w14:paraId="42186E15" w14:textId="77777777" w:rsidR="00B414E2" w:rsidRPr="00067419" w:rsidRDefault="00B414E2" w:rsidP="00A105B9">
      <w:r w:rsidRPr="00DD5969">
        <w:t xml:space="preserve">I confirm </w:t>
      </w:r>
      <w:r>
        <w:t xml:space="preserve">that </w:t>
      </w:r>
      <w:r w:rsidRPr="00DD5969">
        <w:t>I have copies of my drafts, notes, and other resources I used before and after the use of AI tools which I may be asked to provide in evidence.</w:t>
      </w:r>
    </w:p>
    <w:p w14:paraId="2F521E63" w14:textId="77777777" w:rsidR="0000375B" w:rsidRDefault="0000375B">
      <w:pPr>
        <w:rPr>
          <w:sz w:val="16"/>
          <w:szCs w:val="16"/>
        </w:rPr>
      </w:pPr>
    </w:p>
    <w:p w14:paraId="36D1742B" w14:textId="77777777" w:rsidR="0000375B" w:rsidRDefault="0000375B">
      <w:pPr>
        <w:rPr>
          <w:sz w:val="16"/>
          <w:szCs w:val="16"/>
        </w:rPr>
      </w:pPr>
    </w:p>
    <w:p w14:paraId="5154171D" w14:textId="77777777" w:rsidR="0000375B" w:rsidRDefault="0000375B">
      <w:pPr>
        <w:rPr>
          <w:b/>
          <w:bCs/>
        </w:rPr>
      </w:pPr>
      <w:r w:rsidRPr="0000375B">
        <w:rPr>
          <w:b/>
          <w:bCs/>
        </w:rPr>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0000375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0000375B">
        <w:tc>
          <w:tcPr>
            <w:tcW w:w="4508" w:type="dxa"/>
          </w:tcPr>
          <w:p w14:paraId="76BEE28D" w14:textId="64B672DE" w:rsidR="0000375B" w:rsidRPr="00AF5877" w:rsidRDefault="000B4A89" w:rsidP="008C483B">
            <w:pPr>
              <w:pStyle w:val="li1"/>
              <w:numPr>
                <w:ilvl w:val="0"/>
                <w:numId w:val="5"/>
              </w:numPr>
              <w:divId w:val="1394233697"/>
              <w:rPr>
                <w:rFonts w:asciiTheme="minorHAnsi" w:eastAsia="Times New Roman" w:hAnsiTheme="minorHAnsi"/>
                <w:sz w:val="22"/>
                <w:szCs w:val="22"/>
              </w:rPr>
            </w:pPr>
            <w:r w:rsidRPr="00AF5877">
              <w:rPr>
                <w:rStyle w:val="s1"/>
                <w:rFonts w:asciiTheme="minorHAnsi" w:eastAsia="Times New Roman" w:hAnsiTheme="minorHAnsi"/>
                <w:sz w:val="22"/>
                <w:szCs w:val="22"/>
              </w:rPr>
              <w:t>Continue to broaden your literacy scope, tapping into cutting-edge research and diverse academic discussions.</w:t>
            </w:r>
          </w:p>
          <w:p w14:paraId="0EDC9850" w14:textId="77777777" w:rsidR="0000375B" w:rsidRPr="00AF5877" w:rsidRDefault="0000375B" w:rsidP="00DD5969">
            <w:pPr>
              <w:rPr>
                <w:sz w:val="22"/>
                <w:szCs w:val="22"/>
              </w:rPr>
            </w:pPr>
          </w:p>
        </w:tc>
        <w:tc>
          <w:tcPr>
            <w:tcW w:w="4508" w:type="dxa"/>
          </w:tcPr>
          <w:p w14:paraId="3FCBF01B" w14:textId="77BAD23D" w:rsidR="0000375B" w:rsidRPr="00045170" w:rsidRDefault="00B66BD8" w:rsidP="00DD5969">
            <w:pPr>
              <w:rPr>
                <w:sz w:val="20"/>
                <w:szCs w:val="20"/>
              </w:rPr>
            </w:pPr>
            <w:r w:rsidRPr="00045170">
              <w:rPr>
                <w:rFonts w:eastAsia="Times New Roman"/>
                <w:color w:val="000000"/>
                <w:sz w:val="20"/>
                <w:szCs w:val="20"/>
              </w:rPr>
              <w:t>I have looked at new ideas and research about reading and working with the community to help children enjoy books more.</w:t>
            </w:r>
          </w:p>
        </w:tc>
      </w:tr>
      <w:tr w:rsidR="0000375B" w14:paraId="2411A5A2" w14:textId="77777777" w:rsidTr="0000375B">
        <w:tc>
          <w:tcPr>
            <w:tcW w:w="4508" w:type="dxa"/>
          </w:tcPr>
          <w:p w14:paraId="73ED8D37" w14:textId="1EDE7979" w:rsidR="0000375B" w:rsidRPr="00AF5877" w:rsidRDefault="00AF5877" w:rsidP="008C483B">
            <w:pPr>
              <w:pStyle w:val="li1"/>
              <w:numPr>
                <w:ilvl w:val="0"/>
                <w:numId w:val="5"/>
              </w:numPr>
              <w:divId w:val="1370105461"/>
              <w:rPr>
                <w:rFonts w:asciiTheme="minorHAnsi" w:eastAsia="Times New Roman" w:hAnsiTheme="minorHAnsi"/>
                <w:sz w:val="22"/>
                <w:szCs w:val="22"/>
              </w:rPr>
            </w:pPr>
            <w:r w:rsidRPr="00AF5877">
              <w:rPr>
                <w:rStyle w:val="s1"/>
                <w:rFonts w:asciiTheme="minorHAnsi" w:eastAsia="Times New Roman" w:hAnsiTheme="minorHAnsi"/>
                <w:sz w:val="22"/>
                <w:szCs w:val="22"/>
              </w:rPr>
              <w:t>Use your professional standards and relevant literature to guide next steps. What impact will your findings have on your own future teaching practice?</w:t>
            </w:r>
          </w:p>
          <w:p w14:paraId="2A59CA2F" w14:textId="77777777" w:rsidR="0000375B" w:rsidRPr="00AF5877" w:rsidRDefault="0000375B" w:rsidP="00DD5969">
            <w:pPr>
              <w:rPr>
                <w:sz w:val="22"/>
                <w:szCs w:val="22"/>
              </w:rPr>
            </w:pPr>
          </w:p>
        </w:tc>
        <w:tc>
          <w:tcPr>
            <w:tcW w:w="4508" w:type="dxa"/>
          </w:tcPr>
          <w:p w14:paraId="51AE3AC6" w14:textId="258EDFEC" w:rsidR="0000375B" w:rsidRPr="008C483B" w:rsidRDefault="00C56B7B" w:rsidP="00DD5969">
            <w:pPr>
              <w:rPr>
                <w:sz w:val="20"/>
                <w:szCs w:val="20"/>
              </w:rPr>
            </w:pPr>
            <w:r w:rsidRPr="008C483B">
              <w:rPr>
                <w:rFonts w:eastAsia="Times New Roman"/>
                <w:color w:val="000000"/>
                <w:sz w:val="20"/>
                <w:szCs w:val="20"/>
              </w:rPr>
              <w:t>I’ve used the teaching standards to think about how this project will help me work better with others and support children’s learning in the future</w:t>
            </w:r>
            <w:r w:rsidRPr="008C483B">
              <w:rPr>
                <w:rFonts w:eastAsia="Times New Roman"/>
                <w:color w:val="000000"/>
                <w:sz w:val="20"/>
                <w:szCs w:val="20"/>
              </w:rPr>
              <w:t xml:space="preserve"> and my own teachi</w:t>
            </w:r>
            <w:r w:rsidR="008C483B" w:rsidRPr="008C483B">
              <w:rPr>
                <w:rFonts w:eastAsia="Times New Roman"/>
                <w:color w:val="000000"/>
                <w:sz w:val="20"/>
                <w:szCs w:val="20"/>
              </w:rPr>
              <w:t>ng practice.</w:t>
            </w:r>
          </w:p>
        </w:tc>
      </w:tr>
    </w:tbl>
    <w:p w14:paraId="7F589502"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090E061" w:rsidR="0000375B" w:rsidRDefault="0000375B">
      <w:pPr>
        <w:rPr>
          <w:sz w:val="16"/>
          <w:szCs w:val="16"/>
        </w:rPr>
      </w:pPr>
      <w:r>
        <w:rPr>
          <w:sz w:val="16"/>
          <w:szCs w:val="16"/>
        </w:rPr>
        <w:br w:type="page"/>
      </w:r>
    </w:p>
    <w:p w14:paraId="6C6F16C6" w14:textId="6F090BC7" w:rsidR="0000375B" w:rsidRPr="005F73F6" w:rsidRDefault="0000375B" w:rsidP="0000375B">
      <w:pPr>
        <w:rPr>
          <w:b/>
          <w:bCs/>
          <w:u w:val="single"/>
        </w:rPr>
      </w:pPr>
      <w:r w:rsidRPr="005F73F6">
        <w:rPr>
          <w:b/>
          <w:bCs/>
          <w:u w:val="single"/>
        </w:rPr>
        <w:lastRenderedPageBreak/>
        <w:t>Create a community profile for your PTE1 school. Using relevant literature, suggest ways in which the school could make use of its location and community to support pupil learning.</w:t>
      </w:r>
    </w:p>
    <w:p w14:paraId="535B423D" w14:textId="77777777" w:rsidR="005F73F6" w:rsidRPr="007B131E" w:rsidRDefault="005F73F6">
      <w:pPr>
        <w:pStyle w:val="p1"/>
        <w:divId w:val="90318656"/>
        <w:rPr>
          <w:rFonts w:asciiTheme="minorHAnsi" w:hAnsiTheme="minorHAnsi"/>
        </w:rPr>
      </w:pPr>
      <w:r w:rsidRPr="007B131E">
        <w:rPr>
          <w:rStyle w:val="s1"/>
          <w:rFonts w:asciiTheme="minorHAnsi" w:hAnsiTheme="minorHAnsi"/>
        </w:rPr>
        <w:t>Within my year 6 teaching placement class, there is a diverse spectrum of reading abilities, from pupils requiring additional support with comprehension to more able and talented (MAT) learners who read fluently and critically. While some students show a strong enthusiasm for reading, others, particularly hesitant readers, fail to interact with texts meaningfully. Witnessing this gap in ability levels firsthand causes many challenges for teachers, increasing workload due to the vast differentiation levels needed (</w:t>
      </w:r>
      <w:proofErr w:type="spellStart"/>
      <w:r w:rsidRPr="007B131E">
        <w:rPr>
          <w:rStyle w:val="s1"/>
          <w:rFonts w:asciiTheme="minorHAnsi" w:hAnsiTheme="minorHAnsi"/>
        </w:rPr>
        <w:t>Denby</w:t>
      </w:r>
      <w:proofErr w:type="spellEnd"/>
      <w:r w:rsidRPr="007B131E">
        <w:rPr>
          <w:rStyle w:val="s1"/>
          <w:rFonts w:asciiTheme="minorHAnsi" w:hAnsiTheme="minorHAnsi"/>
        </w:rPr>
        <w:t>, 1970). Further influencing my pedagogical approach of incorporating social-emotional learning, it aims to provide inclusive, real-world learning experiences that appeal to all children (Impact Wales, 2022).</w:t>
      </w:r>
    </w:p>
    <w:p w14:paraId="6923A337" w14:textId="22EC03D2" w:rsidR="005F73F6" w:rsidRPr="007B131E" w:rsidRDefault="005F73F6">
      <w:pPr>
        <w:pStyle w:val="p1"/>
        <w:divId w:val="90318656"/>
        <w:rPr>
          <w:rFonts w:asciiTheme="minorHAnsi" w:hAnsiTheme="minorHAnsi"/>
        </w:rPr>
      </w:pPr>
      <w:r w:rsidRPr="007B131E">
        <w:rPr>
          <w:rStyle w:val="s1"/>
          <w:rFonts w:asciiTheme="minorHAnsi" w:hAnsiTheme="minorHAnsi"/>
        </w:rPr>
        <w:t>The proposed school-community project, ‘Reading Buddies Across Generations,’ will establish a weekly reading and storytelling program between Year 6 students and elderly volunteers who live in the local community. The reading sessions will occur at school, and the program serves two main objectives: improving literacy skills through social engagement and developing empathy between different age groups (Sheldon-Dean &amp; Phillips, 2023).</w:t>
      </w:r>
    </w:p>
    <w:p w14:paraId="17396D05" w14:textId="77777777" w:rsidR="005F73F6" w:rsidRPr="007B131E" w:rsidRDefault="005F73F6">
      <w:pPr>
        <w:pStyle w:val="p1"/>
        <w:divId w:val="90318656"/>
        <w:rPr>
          <w:rFonts w:asciiTheme="minorHAnsi" w:hAnsiTheme="minorHAnsi"/>
        </w:rPr>
      </w:pPr>
      <w:r w:rsidRPr="007B131E">
        <w:rPr>
          <w:rStyle w:val="s1"/>
          <w:rFonts w:asciiTheme="minorHAnsi" w:hAnsiTheme="minorHAnsi"/>
        </w:rPr>
        <w:t xml:space="preserve">Studies have demonstrated that pupil engagement and social literacy are powerful motivators for young readers (Bryson and Siegel, 2012). </w:t>
      </w:r>
      <w:proofErr w:type="spellStart"/>
      <w:r w:rsidRPr="007B131E">
        <w:rPr>
          <w:rStyle w:val="s1"/>
          <w:rFonts w:asciiTheme="minorHAnsi" w:hAnsiTheme="minorHAnsi"/>
        </w:rPr>
        <w:t>Kernan</w:t>
      </w:r>
      <w:proofErr w:type="spellEnd"/>
      <w:r w:rsidRPr="007B131E">
        <w:rPr>
          <w:rStyle w:val="s1"/>
          <w:rFonts w:asciiTheme="minorHAnsi" w:hAnsiTheme="minorHAnsi"/>
        </w:rPr>
        <w:t xml:space="preserve"> and </w:t>
      </w:r>
      <w:proofErr w:type="spellStart"/>
      <w:r w:rsidRPr="007B131E">
        <w:rPr>
          <w:rStyle w:val="s1"/>
          <w:rFonts w:asciiTheme="minorHAnsi" w:hAnsiTheme="minorHAnsi"/>
        </w:rPr>
        <w:t>Cortellesi</w:t>
      </w:r>
      <w:proofErr w:type="spellEnd"/>
      <w:r w:rsidRPr="007B131E">
        <w:rPr>
          <w:rStyle w:val="s1"/>
          <w:rFonts w:asciiTheme="minorHAnsi" w:hAnsiTheme="minorHAnsi"/>
        </w:rPr>
        <w:t xml:space="preserve"> (2022) state that intergenerational learning projects create engaging environments, developing mutual respect while breaking age-related stereotypes and improving communication abilities. These projects support Donaldson’s (2022) vision in the Curriculum for Wales by promoting authentic, community-connected learning that develops ethical, informed citizens.</w:t>
      </w:r>
    </w:p>
    <w:p w14:paraId="11180BD9" w14:textId="77777777" w:rsidR="005F73F6" w:rsidRPr="007B131E" w:rsidRDefault="005F73F6">
      <w:pPr>
        <w:pStyle w:val="p1"/>
        <w:divId w:val="90318656"/>
        <w:rPr>
          <w:rFonts w:asciiTheme="minorHAnsi" w:hAnsiTheme="minorHAnsi"/>
        </w:rPr>
      </w:pPr>
      <w:r w:rsidRPr="007B131E">
        <w:rPr>
          <w:rStyle w:val="s1"/>
          <w:rFonts w:asciiTheme="minorHAnsi" w:hAnsiTheme="minorHAnsi"/>
        </w:rPr>
        <w:t>This initiative intends to expand reading experiences by allowing students to interact with older generations through shared stories and conversation, contributing to a more inclusive, compassionate and caring school culture (Gadsden and Hall, 1996).</w:t>
      </w:r>
    </w:p>
    <w:p w14:paraId="1EAE5B6B" w14:textId="77777777" w:rsidR="00B01AF8" w:rsidRPr="007B131E" w:rsidRDefault="00B01AF8">
      <w:pPr>
        <w:pStyle w:val="p1"/>
        <w:divId w:val="90318656"/>
        <w:rPr>
          <w:rStyle w:val="s1"/>
          <w:rFonts w:asciiTheme="minorHAnsi" w:hAnsiTheme="minorHAnsi"/>
        </w:rPr>
      </w:pPr>
    </w:p>
    <w:p w14:paraId="07472FDA" w14:textId="61CD5E7A" w:rsidR="005F73F6" w:rsidRPr="007B131E" w:rsidRDefault="005F73F6">
      <w:pPr>
        <w:pStyle w:val="p1"/>
        <w:divId w:val="90318656"/>
        <w:rPr>
          <w:rFonts w:asciiTheme="minorHAnsi" w:hAnsiTheme="minorHAnsi"/>
        </w:rPr>
      </w:pPr>
      <w:r w:rsidRPr="007B131E">
        <w:rPr>
          <w:rStyle w:val="s1"/>
          <w:rFonts w:asciiTheme="minorHAnsi" w:hAnsiTheme="minorHAnsi"/>
        </w:rPr>
        <w:t>My ‘Reading Buddies Across Generations’ project draws its foundation from research demonstrating the advantages of reading for pleasure, intergenerational learning, and school-community partnerships. The proposal seeks to develop literacy skills, empathy, and community awareness through weekly reading and storytelling sessions between Year 6 students and older adults. This section critically justifies the project by reviewing relevant academic and professional literature.</w:t>
      </w:r>
    </w:p>
    <w:p w14:paraId="510378B7" w14:textId="77777777" w:rsidR="005F73F6" w:rsidRPr="007B131E" w:rsidRDefault="005F73F6">
      <w:pPr>
        <w:pStyle w:val="p2"/>
        <w:divId w:val="90318656"/>
        <w:rPr>
          <w:rFonts w:asciiTheme="minorHAnsi" w:hAnsiTheme="minorHAnsi"/>
        </w:rPr>
      </w:pPr>
    </w:p>
    <w:p w14:paraId="0D3AD901" w14:textId="77777777" w:rsidR="005F73F6" w:rsidRPr="007B131E" w:rsidRDefault="005F73F6">
      <w:pPr>
        <w:pStyle w:val="p1"/>
        <w:divId w:val="90318656"/>
        <w:rPr>
          <w:rFonts w:asciiTheme="minorHAnsi" w:hAnsiTheme="minorHAnsi"/>
        </w:rPr>
      </w:pPr>
      <w:r w:rsidRPr="007B131E">
        <w:rPr>
          <w:rStyle w:val="s1"/>
          <w:rFonts w:asciiTheme="minorHAnsi" w:hAnsiTheme="minorHAnsi"/>
        </w:rPr>
        <w:t xml:space="preserve">Reading for pleasure is a fundamental force that drives literacy growth and academic success (National Literacy Trust, 2024). According to Clark and </w:t>
      </w:r>
      <w:proofErr w:type="spellStart"/>
      <w:r w:rsidRPr="007B131E">
        <w:rPr>
          <w:rStyle w:val="s1"/>
          <w:rFonts w:asciiTheme="minorHAnsi" w:hAnsiTheme="minorHAnsi"/>
        </w:rPr>
        <w:t>Rumbold</w:t>
      </w:r>
      <w:proofErr w:type="spellEnd"/>
      <w:r w:rsidRPr="007B131E">
        <w:rPr>
          <w:rStyle w:val="s1"/>
          <w:rFonts w:asciiTheme="minorHAnsi" w:hAnsiTheme="minorHAnsi"/>
        </w:rPr>
        <w:t xml:space="preserve"> (2006), reading for pleasure enhances vocabulary and comprehension skills while creating a positive relationship between reading enjoyment and higher academic achievement in all subjects. Reluctant readers tend to show better engagement when reading occurs in social or relaxed environments rather than traditional reading tasks (International Reading Association &amp; </w:t>
      </w:r>
      <w:proofErr w:type="spellStart"/>
      <w:r w:rsidRPr="007B131E">
        <w:rPr>
          <w:rStyle w:val="s1"/>
          <w:rFonts w:asciiTheme="minorHAnsi" w:hAnsiTheme="minorHAnsi"/>
        </w:rPr>
        <w:t>Ciani</w:t>
      </w:r>
      <w:proofErr w:type="spellEnd"/>
      <w:r w:rsidRPr="007B131E">
        <w:rPr>
          <w:rStyle w:val="s1"/>
          <w:rFonts w:asciiTheme="minorHAnsi" w:hAnsiTheme="minorHAnsi"/>
        </w:rPr>
        <w:t>, 1981).</w:t>
      </w:r>
    </w:p>
    <w:p w14:paraId="25A3AAA5" w14:textId="77777777" w:rsidR="005F73F6" w:rsidRPr="007B131E" w:rsidRDefault="005F73F6">
      <w:pPr>
        <w:pStyle w:val="p1"/>
        <w:divId w:val="90318656"/>
        <w:rPr>
          <w:rFonts w:asciiTheme="minorHAnsi" w:hAnsiTheme="minorHAnsi"/>
        </w:rPr>
      </w:pPr>
      <w:r w:rsidRPr="007B131E">
        <w:rPr>
          <w:rStyle w:val="s1"/>
          <w:rFonts w:asciiTheme="minorHAnsi" w:hAnsiTheme="minorHAnsi"/>
        </w:rPr>
        <w:t>Reading models from peers and adults help students develop their reading fluency and confidence (DfE, 2012). Topping (2015) states that reading partnerships between peers and across generations create supportive spaces which help students develop reading stamina and maintain positive reading behaviours. Students replicate reading behaviours such as expression, pacing, and enthusiasm when they see fluent readers demonstrate these skills (Sheldon-Dean and Phillips, 2023). The proposed elderly volunteer partnership offers authentic and accessible adult modelling, substantially affecting developing readers' (</w:t>
      </w:r>
      <w:proofErr w:type="spellStart"/>
      <w:r w:rsidRPr="007B131E">
        <w:rPr>
          <w:rStyle w:val="s1"/>
          <w:rFonts w:asciiTheme="minorHAnsi" w:hAnsiTheme="minorHAnsi"/>
        </w:rPr>
        <w:t>Kernan</w:t>
      </w:r>
      <w:proofErr w:type="spellEnd"/>
      <w:r w:rsidRPr="007B131E">
        <w:rPr>
          <w:rStyle w:val="s1"/>
          <w:rFonts w:asciiTheme="minorHAnsi" w:hAnsiTheme="minorHAnsi"/>
        </w:rPr>
        <w:t xml:space="preserve"> and </w:t>
      </w:r>
      <w:proofErr w:type="spellStart"/>
      <w:r w:rsidRPr="007B131E">
        <w:rPr>
          <w:rStyle w:val="s1"/>
          <w:rFonts w:asciiTheme="minorHAnsi" w:hAnsiTheme="minorHAnsi"/>
        </w:rPr>
        <w:t>Cortellesi</w:t>
      </w:r>
      <w:proofErr w:type="spellEnd"/>
      <w:r w:rsidRPr="007B131E">
        <w:rPr>
          <w:rStyle w:val="s1"/>
          <w:rFonts w:asciiTheme="minorHAnsi" w:hAnsiTheme="minorHAnsi"/>
        </w:rPr>
        <w:t>, 2020).</w:t>
      </w:r>
    </w:p>
    <w:p w14:paraId="12D64706" w14:textId="77777777" w:rsidR="005F73F6" w:rsidRPr="007B131E" w:rsidRDefault="005F73F6">
      <w:pPr>
        <w:pStyle w:val="p1"/>
        <w:divId w:val="90318656"/>
        <w:rPr>
          <w:rFonts w:asciiTheme="minorHAnsi" w:hAnsiTheme="minorHAnsi"/>
        </w:rPr>
      </w:pPr>
      <w:r w:rsidRPr="007B131E">
        <w:rPr>
          <w:rStyle w:val="s1"/>
          <w:rFonts w:asciiTheme="minorHAnsi" w:hAnsiTheme="minorHAnsi"/>
        </w:rPr>
        <w:t>Given the diverse abilities within my current Year 6 class, including several more able and talented (MAT) learners, this approach also offers opportunities for pupils to discuss more complex texts and themes, enriching their higher-order thinking skills and deepening their engagement with literature (University of Exeter, 2023).</w:t>
      </w:r>
    </w:p>
    <w:p w14:paraId="416F64CE" w14:textId="77777777" w:rsidR="005F73F6" w:rsidRPr="007B131E" w:rsidRDefault="005F73F6">
      <w:pPr>
        <w:pStyle w:val="p2"/>
        <w:divId w:val="90318656"/>
        <w:rPr>
          <w:rFonts w:asciiTheme="minorHAnsi" w:hAnsiTheme="minorHAnsi"/>
        </w:rPr>
      </w:pPr>
    </w:p>
    <w:p w14:paraId="697B1271" w14:textId="77777777" w:rsidR="005F73F6" w:rsidRPr="007B131E" w:rsidRDefault="005F73F6">
      <w:pPr>
        <w:pStyle w:val="p1"/>
        <w:divId w:val="90318656"/>
        <w:rPr>
          <w:rFonts w:asciiTheme="minorHAnsi" w:hAnsiTheme="minorHAnsi"/>
        </w:rPr>
      </w:pPr>
      <w:r w:rsidRPr="007B131E">
        <w:rPr>
          <w:rStyle w:val="s1"/>
          <w:rFonts w:asciiTheme="minorHAnsi" w:hAnsiTheme="minorHAnsi"/>
        </w:rPr>
        <w:t>The project utilises intergenerational learning benefits through interactions between older and younger participants who work together to achieve mutual development (Felicia, 2011). Kaplan (2002) identifies empathy, respect, and improved communication as key outcomes of such programmes. The relationships between children and older adults help both groups develop socially and emotionally while providing older adults a sense of purpose and connection (</w:t>
      </w:r>
      <w:proofErr w:type="spellStart"/>
      <w:r w:rsidRPr="007B131E">
        <w:rPr>
          <w:rStyle w:val="s1"/>
          <w:rFonts w:asciiTheme="minorHAnsi" w:hAnsiTheme="minorHAnsi"/>
        </w:rPr>
        <w:t>Coristine</w:t>
      </w:r>
      <w:proofErr w:type="spellEnd"/>
      <w:r w:rsidRPr="007B131E">
        <w:rPr>
          <w:rStyle w:val="s1"/>
          <w:rFonts w:asciiTheme="minorHAnsi" w:hAnsiTheme="minorHAnsi"/>
        </w:rPr>
        <w:t xml:space="preserve"> &amp; </w:t>
      </w:r>
      <w:proofErr w:type="spellStart"/>
      <w:r w:rsidRPr="007B131E">
        <w:rPr>
          <w:rStyle w:val="s1"/>
          <w:rFonts w:asciiTheme="minorHAnsi" w:hAnsiTheme="minorHAnsi"/>
        </w:rPr>
        <w:t>Rivolta</w:t>
      </w:r>
      <w:proofErr w:type="spellEnd"/>
      <w:r w:rsidRPr="007B131E">
        <w:rPr>
          <w:rStyle w:val="s1"/>
          <w:rFonts w:asciiTheme="minorHAnsi" w:hAnsiTheme="minorHAnsi"/>
        </w:rPr>
        <w:t>, 2022).</w:t>
      </w:r>
    </w:p>
    <w:p w14:paraId="317F7090" w14:textId="77777777" w:rsidR="005F73F6" w:rsidRPr="007B131E" w:rsidRDefault="005F73F6">
      <w:pPr>
        <w:pStyle w:val="p1"/>
        <w:divId w:val="90318656"/>
        <w:rPr>
          <w:rFonts w:asciiTheme="minorHAnsi" w:hAnsiTheme="minorHAnsi"/>
        </w:rPr>
      </w:pPr>
      <w:r w:rsidRPr="007B131E">
        <w:rPr>
          <w:rStyle w:val="s1"/>
          <w:rFonts w:asciiTheme="minorHAnsi" w:hAnsiTheme="minorHAnsi"/>
        </w:rPr>
        <w:t>Furthermore, intergenerational projects can break down age-related preconceptions. According to Newman and Hatton-Yeo (2008), many younger generations have restricted perspectives about ageing and older generations. Students learn to value different life experiences and cultural knowledge by developing meaningful relationships with senior volunteers (</w:t>
      </w:r>
      <w:proofErr w:type="spellStart"/>
      <w:r w:rsidRPr="007B131E">
        <w:rPr>
          <w:rStyle w:val="s1"/>
          <w:rFonts w:asciiTheme="minorHAnsi" w:hAnsiTheme="minorHAnsi"/>
        </w:rPr>
        <w:t>Sobel</w:t>
      </w:r>
      <w:proofErr w:type="spellEnd"/>
      <w:r w:rsidRPr="007B131E">
        <w:rPr>
          <w:rStyle w:val="s1"/>
          <w:rFonts w:asciiTheme="minorHAnsi" w:hAnsiTheme="minorHAnsi"/>
        </w:rPr>
        <w:t xml:space="preserve"> and Alston, 2021). This contact humanises older generations and helps students acquire vital values like patience, compassion, and curiosity (Howarth, 2025), all connected with the Curriculum for Wales' Health and Well-Being and Ethical, Informed Citizens' goals (Welsh Government, 2022).</w:t>
      </w:r>
      <w:r w:rsidRPr="007B131E">
        <w:rPr>
          <w:rStyle w:val="apple-converted-space"/>
          <w:rFonts w:asciiTheme="minorHAnsi" w:hAnsiTheme="minorHAnsi"/>
        </w:rPr>
        <w:t> </w:t>
      </w:r>
    </w:p>
    <w:p w14:paraId="010E134B" w14:textId="77777777" w:rsidR="005F73F6" w:rsidRPr="007B131E" w:rsidRDefault="005F73F6">
      <w:pPr>
        <w:pStyle w:val="p1"/>
        <w:divId w:val="90318656"/>
        <w:rPr>
          <w:rFonts w:asciiTheme="minorHAnsi" w:hAnsiTheme="minorHAnsi"/>
        </w:rPr>
      </w:pPr>
      <w:r w:rsidRPr="007B131E">
        <w:rPr>
          <w:rStyle w:val="s1"/>
          <w:rFonts w:asciiTheme="minorHAnsi" w:hAnsiTheme="minorHAnsi"/>
        </w:rPr>
        <w:lastRenderedPageBreak/>
        <w:t>The advantages created by these programs exist in a mutual relationship with elderly volunteers experiencing</w:t>
      </w:r>
      <w:r w:rsidRPr="007B131E">
        <w:rPr>
          <w:rStyle w:val="s2"/>
          <w:rFonts w:asciiTheme="minorHAnsi" w:hAnsiTheme="minorHAnsi"/>
          <w:b w:val="0"/>
          <w:bCs w:val="0"/>
        </w:rPr>
        <w:t xml:space="preserve"> </w:t>
      </w:r>
      <w:r w:rsidRPr="007B131E">
        <w:rPr>
          <w:rStyle w:val="s1"/>
          <w:rFonts w:asciiTheme="minorHAnsi" w:hAnsiTheme="minorHAnsi"/>
        </w:rPr>
        <w:t>improved well-being</w:t>
      </w:r>
      <w:r w:rsidRPr="007B131E">
        <w:rPr>
          <w:rStyle w:val="s2"/>
          <w:rFonts w:asciiTheme="minorHAnsi" w:hAnsiTheme="minorHAnsi"/>
          <w:b w:val="0"/>
          <w:bCs w:val="0"/>
        </w:rPr>
        <w:t xml:space="preserve"> </w:t>
      </w:r>
      <w:r w:rsidRPr="007B131E">
        <w:rPr>
          <w:rStyle w:val="s1"/>
          <w:rFonts w:asciiTheme="minorHAnsi" w:hAnsiTheme="minorHAnsi"/>
        </w:rPr>
        <w:t>and</w:t>
      </w:r>
      <w:r w:rsidRPr="007B131E">
        <w:rPr>
          <w:rStyle w:val="s2"/>
          <w:rFonts w:asciiTheme="minorHAnsi" w:hAnsiTheme="minorHAnsi"/>
          <w:b w:val="0"/>
          <w:bCs w:val="0"/>
        </w:rPr>
        <w:t xml:space="preserve"> </w:t>
      </w:r>
      <w:r w:rsidRPr="007B131E">
        <w:rPr>
          <w:rStyle w:val="s1"/>
          <w:rFonts w:asciiTheme="minorHAnsi" w:hAnsiTheme="minorHAnsi"/>
        </w:rPr>
        <w:t>reporting</w:t>
      </w:r>
      <w:r w:rsidRPr="007B131E">
        <w:rPr>
          <w:rStyle w:val="s2"/>
          <w:rFonts w:asciiTheme="minorHAnsi" w:hAnsiTheme="minorHAnsi"/>
          <w:b w:val="0"/>
          <w:bCs w:val="0"/>
        </w:rPr>
        <w:t xml:space="preserve"> </w:t>
      </w:r>
      <w:r w:rsidRPr="007B131E">
        <w:rPr>
          <w:rStyle w:val="s1"/>
          <w:rFonts w:asciiTheme="minorHAnsi" w:hAnsiTheme="minorHAnsi"/>
        </w:rPr>
        <w:t>reduced loneliness and isolation when participating in meaningful intergenerational activities (</w:t>
      </w:r>
      <w:proofErr w:type="spellStart"/>
      <w:r w:rsidRPr="007B131E">
        <w:rPr>
          <w:rStyle w:val="s1"/>
          <w:rFonts w:asciiTheme="minorHAnsi" w:hAnsiTheme="minorHAnsi"/>
        </w:rPr>
        <w:t>Gigliotti</w:t>
      </w:r>
      <w:proofErr w:type="spellEnd"/>
      <w:r w:rsidRPr="007B131E">
        <w:rPr>
          <w:rStyle w:val="s1"/>
          <w:rFonts w:asciiTheme="minorHAnsi" w:hAnsiTheme="minorHAnsi"/>
        </w:rPr>
        <w:t xml:space="preserve"> &amp; </w:t>
      </w:r>
      <w:proofErr w:type="spellStart"/>
      <w:r w:rsidRPr="007B131E">
        <w:rPr>
          <w:rStyle w:val="s1"/>
          <w:rFonts w:asciiTheme="minorHAnsi" w:hAnsiTheme="minorHAnsi"/>
        </w:rPr>
        <w:t>Jarrott</w:t>
      </w:r>
      <w:proofErr w:type="spellEnd"/>
      <w:r w:rsidRPr="007B131E">
        <w:rPr>
          <w:rStyle w:val="s1"/>
          <w:rFonts w:asciiTheme="minorHAnsi" w:hAnsiTheme="minorHAnsi"/>
        </w:rPr>
        <w:t>, 2005). School-community partnerships provide essential social interaction and community connectedness when loneliness among the elderly has become a significant issue, especially after COVID (Gross et al., 2015).</w:t>
      </w:r>
      <w:r w:rsidRPr="007B131E">
        <w:rPr>
          <w:rStyle w:val="apple-converted-space"/>
          <w:rFonts w:asciiTheme="minorHAnsi" w:hAnsiTheme="minorHAnsi"/>
        </w:rPr>
        <w:t> </w:t>
      </w:r>
    </w:p>
    <w:p w14:paraId="1406C298" w14:textId="77777777" w:rsidR="005F73F6" w:rsidRPr="007B131E" w:rsidRDefault="005F73F6">
      <w:pPr>
        <w:pStyle w:val="p1"/>
        <w:divId w:val="90318656"/>
        <w:rPr>
          <w:rFonts w:asciiTheme="minorHAnsi" w:hAnsiTheme="minorHAnsi"/>
        </w:rPr>
      </w:pPr>
      <w:r w:rsidRPr="007B131E">
        <w:rPr>
          <w:rStyle w:val="s1"/>
          <w:rFonts w:asciiTheme="minorHAnsi" w:hAnsiTheme="minorHAnsi"/>
        </w:rPr>
        <w:t xml:space="preserve">While many researchers advocate for intergenerational learning, others raise serious concerns regarding its practical and pedagogical limits. For example, </w:t>
      </w:r>
      <w:proofErr w:type="spellStart"/>
      <w:r w:rsidRPr="007B131E">
        <w:rPr>
          <w:rStyle w:val="s1"/>
          <w:rFonts w:asciiTheme="minorHAnsi" w:hAnsiTheme="minorHAnsi"/>
        </w:rPr>
        <w:t>VanderVen</w:t>
      </w:r>
      <w:proofErr w:type="spellEnd"/>
      <w:r w:rsidRPr="007B131E">
        <w:rPr>
          <w:rStyle w:val="s1"/>
          <w:rFonts w:asciiTheme="minorHAnsi" w:hAnsiTheme="minorHAnsi"/>
        </w:rPr>
        <w:t xml:space="preserve"> (2011) warns that not all intergenerational initiatives are inherently beneficial; success is determined by how well-structured and purposefully constructed the interactions are. </w:t>
      </w:r>
      <w:proofErr w:type="spellStart"/>
      <w:r w:rsidRPr="007B131E">
        <w:rPr>
          <w:rStyle w:val="s1"/>
          <w:rFonts w:asciiTheme="minorHAnsi" w:hAnsiTheme="minorHAnsi"/>
        </w:rPr>
        <w:t>VanerVen</w:t>
      </w:r>
      <w:proofErr w:type="spellEnd"/>
      <w:r w:rsidRPr="007B131E">
        <w:rPr>
          <w:rStyle w:val="s1"/>
          <w:rFonts w:asciiTheme="minorHAnsi" w:hAnsiTheme="minorHAnsi"/>
        </w:rPr>
        <w:t xml:space="preserve"> (2011) contends that without careful design, activities risk becoming </w:t>
      </w:r>
      <w:proofErr w:type="spellStart"/>
      <w:r w:rsidRPr="007B131E">
        <w:rPr>
          <w:rStyle w:val="s1"/>
          <w:rFonts w:asciiTheme="minorHAnsi" w:hAnsiTheme="minorHAnsi"/>
        </w:rPr>
        <w:t>tokenistic</w:t>
      </w:r>
      <w:proofErr w:type="spellEnd"/>
      <w:r w:rsidRPr="007B131E">
        <w:rPr>
          <w:rStyle w:val="s1"/>
          <w:rFonts w:asciiTheme="minorHAnsi" w:hAnsiTheme="minorHAnsi"/>
        </w:rPr>
        <w:t xml:space="preserve"> or too idealistic, failing to promote authentic, reciprocal learning; Instead of promoting mutual respect and understanding, poorly guided sessions may perpetuate preconceptions or cause disengagement.</w:t>
      </w:r>
    </w:p>
    <w:p w14:paraId="62640A59" w14:textId="77777777" w:rsidR="005F73F6" w:rsidRPr="007B131E" w:rsidRDefault="005F73F6">
      <w:pPr>
        <w:pStyle w:val="p1"/>
        <w:divId w:val="90318656"/>
        <w:rPr>
          <w:rFonts w:asciiTheme="minorHAnsi" w:hAnsiTheme="minorHAnsi"/>
        </w:rPr>
      </w:pPr>
      <w:r w:rsidRPr="007B131E">
        <w:rPr>
          <w:rStyle w:val="s1"/>
          <w:rFonts w:asciiTheme="minorHAnsi" w:hAnsiTheme="minorHAnsi"/>
        </w:rPr>
        <w:t xml:space="preserve">Similarly, </w:t>
      </w:r>
      <w:proofErr w:type="spellStart"/>
      <w:r w:rsidRPr="007B131E">
        <w:rPr>
          <w:rStyle w:val="s1"/>
          <w:rFonts w:asciiTheme="minorHAnsi" w:hAnsiTheme="minorHAnsi"/>
        </w:rPr>
        <w:t>Kuehne</w:t>
      </w:r>
      <w:proofErr w:type="spellEnd"/>
      <w:r w:rsidRPr="007B131E">
        <w:rPr>
          <w:rStyle w:val="s1"/>
          <w:rFonts w:asciiTheme="minorHAnsi" w:hAnsiTheme="minorHAnsi"/>
        </w:rPr>
        <w:t xml:space="preserve"> (2006) challenges whether intergenerational programs always provide the favourable results that are frequently highlighted; it was emphasised the need for rigorous, longitudinal research, arguing that many studies depend on anecdotal or short-term data, which may fail to capture the complexities of outcomes or unintended repercussions (</w:t>
      </w:r>
      <w:proofErr w:type="spellStart"/>
      <w:r w:rsidRPr="007B131E">
        <w:rPr>
          <w:rStyle w:val="s1"/>
          <w:rFonts w:asciiTheme="minorHAnsi" w:hAnsiTheme="minorHAnsi"/>
        </w:rPr>
        <w:t>Kernan</w:t>
      </w:r>
      <w:proofErr w:type="spellEnd"/>
      <w:r w:rsidRPr="007B131E">
        <w:rPr>
          <w:rStyle w:val="s1"/>
          <w:rFonts w:asciiTheme="minorHAnsi" w:hAnsiTheme="minorHAnsi"/>
        </w:rPr>
        <w:t xml:space="preserve"> and </w:t>
      </w:r>
      <w:proofErr w:type="spellStart"/>
      <w:r w:rsidRPr="007B131E">
        <w:rPr>
          <w:rStyle w:val="s1"/>
          <w:rFonts w:asciiTheme="minorHAnsi" w:hAnsiTheme="minorHAnsi"/>
        </w:rPr>
        <w:t>Cortellesi</w:t>
      </w:r>
      <w:proofErr w:type="spellEnd"/>
      <w:r w:rsidRPr="007B131E">
        <w:rPr>
          <w:rStyle w:val="s1"/>
          <w:rFonts w:asciiTheme="minorHAnsi" w:hAnsiTheme="minorHAnsi"/>
        </w:rPr>
        <w:t>, 2020).</w:t>
      </w:r>
    </w:p>
    <w:p w14:paraId="32EDE877" w14:textId="77777777" w:rsidR="005F73F6" w:rsidRPr="007B131E" w:rsidRDefault="005F73F6">
      <w:pPr>
        <w:pStyle w:val="p2"/>
        <w:divId w:val="90318656"/>
        <w:rPr>
          <w:rFonts w:asciiTheme="minorHAnsi" w:hAnsiTheme="minorHAnsi"/>
        </w:rPr>
      </w:pPr>
    </w:p>
    <w:p w14:paraId="6BFBDD38" w14:textId="77777777" w:rsidR="005F73F6" w:rsidRPr="007B131E" w:rsidRDefault="005F73F6">
      <w:pPr>
        <w:pStyle w:val="p1"/>
        <w:divId w:val="90318656"/>
        <w:rPr>
          <w:rFonts w:asciiTheme="minorHAnsi" w:hAnsiTheme="minorHAnsi"/>
        </w:rPr>
      </w:pPr>
      <w:r w:rsidRPr="007B131E">
        <w:rPr>
          <w:rStyle w:val="s1"/>
          <w:rFonts w:asciiTheme="minorHAnsi" w:hAnsiTheme="minorHAnsi"/>
        </w:rPr>
        <w:t>The project supports educational goals which extend to community involvement in education. The school-family-community partnership framework developed by Epstein (2011) includes six types of involvement, “collaborating with the community” being one of them. The framework includes using community resources, services, and expert knowledge to support learning; the project demonstrates how schools can enhance their curriculum through elderly volunteers from local care homes, libraries, and retirement groups while building stronger community connections.</w:t>
      </w:r>
    </w:p>
    <w:p w14:paraId="38628BD4" w14:textId="77777777" w:rsidR="005F73F6" w:rsidRPr="007B131E" w:rsidRDefault="005F73F6">
      <w:pPr>
        <w:pStyle w:val="p1"/>
        <w:divId w:val="90318656"/>
        <w:rPr>
          <w:rFonts w:asciiTheme="minorHAnsi" w:hAnsiTheme="minorHAnsi"/>
        </w:rPr>
      </w:pPr>
      <w:r w:rsidRPr="007B131E">
        <w:rPr>
          <w:rStyle w:val="s1"/>
          <w:rFonts w:asciiTheme="minorHAnsi" w:hAnsiTheme="minorHAnsi"/>
        </w:rPr>
        <w:t>Donaldson (2022) stresses this in the Curriculum for Wales, pushing students to grow into "ethical, informed citizens who are ready to be citizens of Wales and the world." School-community programs like these expose pupils to a variety of experiences while also instilling a feeling of social responsibility and civic consciousness (Welsh Government, 2022).</w:t>
      </w:r>
    </w:p>
    <w:p w14:paraId="379B1FCE" w14:textId="77777777" w:rsidR="005F73F6" w:rsidRPr="007B131E" w:rsidRDefault="005F73F6">
      <w:pPr>
        <w:pStyle w:val="p1"/>
        <w:divId w:val="90318656"/>
        <w:rPr>
          <w:rFonts w:asciiTheme="minorHAnsi" w:hAnsiTheme="minorHAnsi"/>
        </w:rPr>
      </w:pPr>
      <w:r w:rsidRPr="007B131E">
        <w:rPr>
          <w:rStyle w:val="s1"/>
          <w:rFonts w:asciiTheme="minorHAnsi" w:hAnsiTheme="minorHAnsi"/>
        </w:rPr>
        <w:t xml:space="preserve">The design of this project is directly informed by the current needs of my learners and their broader context. Following the disruption of COVID-19, national and local data reflect a decline in reading engagement and stamina among primary-aged pupils (National Literacy Trust, 2022). Classroom observations show that </w:t>
      </w:r>
      <w:r w:rsidRPr="007B131E">
        <w:rPr>
          <w:rStyle w:val="s1"/>
          <w:rFonts w:asciiTheme="minorHAnsi" w:hAnsiTheme="minorHAnsi"/>
        </w:rPr>
        <w:lastRenderedPageBreak/>
        <w:t>independent book engagement occurs among some students, yet reluctant readers tend to stay away from reading unless teachers make it meaningful, social, and fun (School Library Association, 2024).</w:t>
      </w:r>
    </w:p>
    <w:p w14:paraId="551FE8DE" w14:textId="77777777" w:rsidR="005F73F6" w:rsidRPr="007B131E" w:rsidRDefault="005F73F6">
      <w:pPr>
        <w:pStyle w:val="p1"/>
        <w:divId w:val="90318656"/>
        <w:rPr>
          <w:rFonts w:asciiTheme="minorHAnsi" w:hAnsiTheme="minorHAnsi"/>
        </w:rPr>
      </w:pPr>
      <w:r w:rsidRPr="007B131E">
        <w:rPr>
          <w:rStyle w:val="s1"/>
          <w:rFonts w:asciiTheme="minorHAnsi" w:hAnsiTheme="minorHAnsi"/>
        </w:rPr>
        <w:t>Classroom observations in my professional placement demonstrate that some children participate in independent book reading; nonetheless, hesitant readers tend to avoid reading unless teachers make it relevant, sociable, and enjoyable. According to recent statistics from the National Literacy Trust (2024), just 34.6% of children and young people aged 8 to 18 enjoy reading in their spare time, the lowest proportion reported since 2005, underlining the urgent need for efforts to rekindle reading desire. The Reading Buddies Across Generations project creates an encouraging atmosphere where hesitant readers may strengthen their innate urge to read by turning reading into a shared, real-world experience. The project also aligns with the pedagogical principles that value real-world learning and social-emotional development as integral to academic success (Impact Wales, 2022). By allowing students to engage with actual individuals outside of their small school circle, we increase reading outcomes and create a classroom culture of inclusiveness, empathy, and respect (Howarth, 2025).</w:t>
      </w:r>
    </w:p>
    <w:p w14:paraId="44356DFB" w14:textId="77777777" w:rsidR="005F73F6" w:rsidRPr="007B131E" w:rsidRDefault="005F73F6">
      <w:pPr>
        <w:pStyle w:val="p1"/>
        <w:divId w:val="90318656"/>
        <w:rPr>
          <w:rFonts w:asciiTheme="minorHAnsi" w:hAnsiTheme="minorHAnsi"/>
        </w:rPr>
      </w:pPr>
      <w:r w:rsidRPr="007B131E">
        <w:rPr>
          <w:rStyle w:val="s1"/>
          <w:rFonts w:asciiTheme="minorHAnsi" w:hAnsiTheme="minorHAnsi"/>
        </w:rPr>
        <w:t>Simultaneously, the initiative addresses a broader societal issue: senior loneliness, which has worsened in recent years with Age UK's 2024 report; approximately 940,000 older people in the UK—equating to 7% of those aged 65 and over—report feeling often lonely (AGE UK, 2022). Care homes and community centres in the region have indicated interest in outreach activities that enhance residents' social involvement, indicating a high potential for mutual benefit and sustainability.</w:t>
      </w:r>
    </w:p>
    <w:p w14:paraId="50C90E26" w14:textId="77777777" w:rsidR="005F73F6" w:rsidRPr="007B131E" w:rsidRDefault="005F73F6">
      <w:pPr>
        <w:pStyle w:val="p2"/>
        <w:divId w:val="90318656"/>
        <w:rPr>
          <w:rFonts w:asciiTheme="minorHAnsi" w:hAnsiTheme="minorHAnsi"/>
        </w:rPr>
      </w:pPr>
    </w:p>
    <w:p w14:paraId="02203853" w14:textId="77777777" w:rsidR="005F73F6" w:rsidRPr="007B131E" w:rsidRDefault="005F73F6">
      <w:pPr>
        <w:pStyle w:val="p1"/>
        <w:divId w:val="90318656"/>
        <w:rPr>
          <w:rFonts w:asciiTheme="minorHAnsi" w:hAnsiTheme="minorHAnsi"/>
        </w:rPr>
      </w:pPr>
      <w:r w:rsidRPr="007B131E">
        <w:rPr>
          <w:rStyle w:val="s1"/>
          <w:rFonts w:asciiTheme="minorHAnsi" w:hAnsiTheme="minorHAnsi"/>
        </w:rPr>
        <w:t>The main objectives of the "Reading Buddies Across Generations" project are twofold: first, to enhance the literacy skills of Year 6 students through practical reading activities, and second, to foster intergenerational relationships and combat loneliness among the elderly. The project, which links students with the elderly through storytelling, aligns with the Curriculum for Wales (Donaldson, 2022), particularly the need to develop ethical, educated citizens and healthy, confident individuals (Welsh Government, 2022).</w:t>
      </w:r>
      <w:r w:rsidRPr="007B131E">
        <w:rPr>
          <w:rStyle w:val="apple-converted-space"/>
          <w:rFonts w:asciiTheme="minorHAnsi" w:hAnsiTheme="minorHAnsi"/>
        </w:rPr>
        <w:t> </w:t>
      </w:r>
    </w:p>
    <w:p w14:paraId="291D66A6" w14:textId="2BA7F04C" w:rsidR="005F73F6" w:rsidRPr="007B131E" w:rsidRDefault="005F73F6">
      <w:pPr>
        <w:pStyle w:val="p1"/>
        <w:divId w:val="90318656"/>
        <w:rPr>
          <w:rFonts w:asciiTheme="minorHAnsi" w:hAnsiTheme="minorHAnsi"/>
        </w:rPr>
      </w:pPr>
      <w:r w:rsidRPr="007B131E">
        <w:rPr>
          <w:rStyle w:val="s1"/>
          <w:rFonts w:asciiTheme="minorHAnsi" w:hAnsiTheme="minorHAnsi"/>
        </w:rPr>
        <w:t xml:space="preserve">Objectives are clear and attainable, and weekly sessions of 30-40 minutes will be scheduled within the classroom context. Students will be assisted in creating short stories or books to read aloud, allowing them to improve fluency, expressiveness, and comprehension </w:t>
      </w:r>
      <w:r w:rsidRPr="00C3396D">
        <w:rPr>
          <w:rStyle w:val="s1"/>
          <w:rFonts w:asciiTheme="minorHAnsi" w:hAnsiTheme="minorHAnsi"/>
        </w:rPr>
        <w:t>abilities</w:t>
      </w:r>
      <w:r w:rsidR="00C3396D" w:rsidRPr="00C3396D">
        <w:rPr>
          <w:rFonts w:asciiTheme="minorHAnsi" w:eastAsia="Times New Roman" w:hAnsiTheme="minorHAnsi"/>
        </w:rPr>
        <w:t xml:space="preserve"> (Gadsden and Hall, 1996)</w:t>
      </w:r>
      <w:r w:rsidRPr="00C3396D">
        <w:rPr>
          <w:rStyle w:val="s1"/>
          <w:rFonts w:asciiTheme="minorHAnsi" w:hAnsiTheme="minorHAnsi"/>
        </w:rPr>
        <w:t>.</w:t>
      </w:r>
      <w:r w:rsidRPr="007B131E">
        <w:rPr>
          <w:rStyle w:val="s1"/>
          <w:rFonts w:asciiTheme="minorHAnsi" w:hAnsiTheme="minorHAnsi"/>
        </w:rPr>
        <w:t xml:space="preserve"> Similarly, senior volunteers will be invited to relate personal experiences from their upbringing or read extracts from their favourite books, creating a two-way </w:t>
      </w:r>
      <w:r w:rsidRPr="007B131E">
        <w:rPr>
          <w:rStyle w:val="s1"/>
          <w:rFonts w:asciiTheme="minorHAnsi" w:hAnsiTheme="minorHAnsi"/>
        </w:rPr>
        <w:lastRenderedPageBreak/>
        <w:t xml:space="preserve">dialogue that improves students' listening and communication abilities. </w:t>
      </w:r>
      <w:r w:rsidR="00D24DD2" w:rsidRPr="00D24DD2">
        <w:rPr>
          <w:rFonts w:asciiTheme="minorHAnsi" w:eastAsia="Times New Roman" w:hAnsiTheme="minorHAnsi"/>
        </w:rPr>
        <w:t>(Howarth, 2025)</w:t>
      </w:r>
      <w:r w:rsidRPr="00D24DD2">
        <w:rPr>
          <w:rStyle w:val="s1"/>
          <w:rFonts w:asciiTheme="minorHAnsi" w:hAnsiTheme="minorHAnsi"/>
        </w:rPr>
        <w:t>.</w:t>
      </w:r>
    </w:p>
    <w:p w14:paraId="67F7C55F" w14:textId="77777777" w:rsidR="005F73F6" w:rsidRPr="007B131E" w:rsidRDefault="005F73F6">
      <w:pPr>
        <w:pStyle w:val="p1"/>
        <w:divId w:val="90318656"/>
        <w:rPr>
          <w:rFonts w:asciiTheme="minorHAnsi" w:hAnsiTheme="minorHAnsi"/>
        </w:rPr>
      </w:pPr>
      <w:r w:rsidRPr="007B131E">
        <w:rPr>
          <w:rStyle w:val="s1"/>
          <w:rFonts w:asciiTheme="minorHAnsi" w:hAnsiTheme="minorHAnsi"/>
        </w:rPr>
        <w:t>Recruiting senior volunteers will be easier by contacting local care facilities, retirement communities, and libraries; building strong ties with these community centres will provide a long-term and supportive volunteer base (Epstein, 2011). By school policy, all volunteers will go through appropriate safeguarding processes, including Disclosure and Barring Service (DBS) checks, to guarantee their safety and well-being. A preliminary training session for students will be held, focusing on respectful interaction, active listening skills, and sensitivity to the needs of the elderly, all of which complement the project's emphasis on emotional intelligence.</w:t>
      </w:r>
    </w:p>
    <w:p w14:paraId="275BC0E7" w14:textId="71BED81A" w:rsidR="005F73F6" w:rsidRPr="007B131E" w:rsidRDefault="005F73F6">
      <w:pPr>
        <w:pStyle w:val="p1"/>
        <w:divId w:val="90318656"/>
        <w:rPr>
          <w:rFonts w:asciiTheme="minorHAnsi" w:hAnsiTheme="minorHAnsi"/>
        </w:rPr>
      </w:pPr>
      <w:r w:rsidRPr="007B131E">
        <w:rPr>
          <w:rStyle w:val="s1"/>
          <w:rFonts w:asciiTheme="minorHAnsi" w:hAnsiTheme="minorHAnsi"/>
        </w:rPr>
        <w:t>Resource needs for this project are relatively minimal, with sessions taking place on the school site, keeping prices low and removing the need for transportation arrangements. The key items required are various age-appropriate books, stories, and basic snacks to create a comfortable and friendly environment throughout the ses</w:t>
      </w:r>
      <w:r w:rsidRPr="00C152DC">
        <w:rPr>
          <w:rStyle w:val="s1"/>
          <w:rFonts w:asciiTheme="minorHAnsi" w:hAnsiTheme="minorHAnsi"/>
        </w:rPr>
        <w:t>sions</w:t>
      </w:r>
      <w:r w:rsidR="00AC70B9" w:rsidRPr="00C152DC">
        <w:rPr>
          <w:rFonts w:asciiTheme="minorHAnsi" w:eastAsia="Times New Roman" w:hAnsiTheme="minorHAnsi"/>
        </w:rPr>
        <w:t xml:space="preserve"> (Epstein, 2021)</w:t>
      </w:r>
      <w:r w:rsidRPr="00C152DC">
        <w:rPr>
          <w:rStyle w:val="s1"/>
          <w:rFonts w:asciiTheme="minorHAnsi" w:hAnsiTheme="minorHAnsi"/>
        </w:rPr>
        <w:t>. D</w:t>
      </w:r>
      <w:r w:rsidRPr="007B131E">
        <w:rPr>
          <w:rStyle w:val="s1"/>
          <w:rFonts w:asciiTheme="minorHAnsi" w:hAnsiTheme="minorHAnsi"/>
        </w:rPr>
        <w:t>onations, local fundraising activities, PTA contributions, or small community grants will fund these smaller expenses. According to the Educational Endowment Foundation (EEF, 2022), well-planned literacy interventions, even at a modest cost, may considerably influence student outcomes, especially when integrated into wider, meaningful learning experiences (</w:t>
      </w:r>
      <w:proofErr w:type="spellStart"/>
      <w:r w:rsidRPr="007B131E">
        <w:rPr>
          <w:rStyle w:val="s1"/>
          <w:rFonts w:asciiTheme="minorHAnsi" w:hAnsiTheme="minorHAnsi"/>
        </w:rPr>
        <w:t>Taba</w:t>
      </w:r>
      <w:proofErr w:type="spellEnd"/>
      <w:r w:rsidRPr="007B131E">
        <w:rPr>
          <w:rStyle w:val="s1"/>
          <w:rFonts w:asciiTheme="minorHAnsi" w:hAnsiTheme="minorHAnsi"/>
        </w:rPr>
        <w:t>, 1962).</w:t>
      </w:r>
    </w:p>
    <w:p w14:paraId="06042D45" w14:textId="77777777" w:rsidR="005F73F6" w:rsidRPr="007B131E" w:rsidRDefault="005F73F6">
      <w:pPr>
        <w:pStyle w:val="p1"/>
        <w:divId w:val="90318656"/>
        <w:rPr>
          <w:rFonts w:asciiTheme="minorHAnsi" w:hAnsiTheme="minorHAnsi"/>
        </w:rPr>
      </w:pPr>
      <w:r w:rsidRPr="007B131E">
        <w:rPr>
          <w:rStyle w:val="s1"/>
          <w:rFonts w:asciiTheme="minorHAnsi" w:hAnsiTheme="minorHAnsi"/>
        </w:rPr>
        <w:t>To summarise, the "Reading Buddies Across Generations" project is a practical, low-cost program with a significant potential impact. It intends to improve students' literacy skills, establish community relationships, promote empathy, and create a sense of purpose for senior volunteers. Highlighting the significant positive impact that school-community collaborations can have on education (</w:t>
      </w:r>
      <w:proofErr w:type="spellStart"/>
      <w:r w:rsidRPr="007B131E">
        <w:rPr>
          <w:rStyle w:val="s1"/>
          <w:rFonts w:asciiTheme="minorHAnsi" w:hAnsiTheme="minorHAnsi"/>
        </w:rPr>
        <w:t>Lemov</w:t>
      </w:r>
      <w:proofErr w:type="spellEnd"/>
      <w:r w:rsidRPr="007B131E">
        <w:rPr>
          <w:rStyle w:val="s1"/>
          <w:rFonts w:asciiTheme="minorHAnsi" w:hAnsiTheme="minorHAnsi"/>
        </w:rPr>
        <w:t xml:space="preserve"> et al., 2022).</w:t>
      </w:r>
    </w:p>
    <w:p w14:paraId="7038C7F7" w14:textId="77777777" w:rsidR="00B01AF8" w:rsidRPr="007B131E" w:rsidRDefault="00B01AF8">
      <w:pPr>
        <w:pStyle w:val="p1"/>
        <w:divId w:val="90318656"/>
        <w:rPr>
          <w:rStyle w:val="s1"/>
          <w:rFonts w:asciiTheme="minorHAnsi" w:hAnsiTheme="minorHAnsi"/>
        </w:rPr>
      </w:pPr>
    </w:p>
    <w:p w14:paraId="7EFC0600" w14:textId="21F5DD55" w:rsidR="005F73F6" w:rsidRPr="007B131E" w:rsidRDefault="005F73F6">
      <w:pPr>
        <w:pStyle w:val="p1"/>
        <w:divId w:val="90318656"/>
        <w:rPr>
          <w:rFonts w:asciiTheme="minorHAnsi" w:hAnsiTheme="minorHAnsi"/>
        </w:rPr>
      </w:pPr>
      <w:r w:rsidRPr="007B131E">
        <w:rPr>
          <w:rStyle w:val="s1"/>
          <w:rFonts w:asciiTheme="minorHAnsi" w:hAnsiTheme="minorHAnsi"/>
        </w:rPr>
        <w:t>The Reading Buddies Across Generations project's success will be evaluated using a mixed-methods approach, using both qualitative and quantitative approaches. Allowing an insight into the comprehensive grasp of the project's outcomes.</w:t>
      </w:r>
    </w:p>
    <w:p w14:paraId="257F1A6C" w14:textId="77777777" w:rsidR="005F73F6" w:rsidRPr="007B131E" w:rsidRDefault="005F73F6">
      <w:pPr>
        <w:pStyle w:val="p1"/>
        <w:divId w:val="90318656"/>
        <w:rPr>
          <w:rFonts w:asciiTheme="minorHAnsi" w:hAnsiTheme="minorHAnsi"/>
        </w:rPr>
      </w:pPr>
      <w:r w:rsidRPr="007B131E">
        <w:rPr>
          <w:rStyle w:val="s1"/>
          <w:rFonts w:asciiTheme="minorHAnsi" w:hAnsiTheme="minorHAnsi"/>
        </w:rPr>
        <w:t>After each session, pupils will maintain reading logs and self-reflection journals, encouraging them to track their engagement, progress, and emotional responses. These reflections will offer insight into shifts in attitude towards reading, particularly among reluctant readers (</w:t>
      </w:r>
      <w:proofErr w:type="spellStart"/>
      <w:r w:rsidRPr="007B131E">
        <w:rPr>
          <w:rStyle w:val="s1"/>
          <w:rFonts w:asciiTheme="minorHAnsi" w:hAnsiTheme="minorHAnsi"/>
        </w:rPr>
        <w:t>Cremin</w:t>
      </w:r>
      <w:proofErr w:type="spellEnd"/>
      <w:r w:rsidRPr="007B131E">
        <w:rPr>
          <w:rStyle w:val="s1"/>
          <w:rFonts w:asciiTheme="minorHAnsi" w:hAnsiTheme="minorHAnsi"/>
        </w:rPr>
        <w:t xml:space="preserve"> et al., 2014). Additionally, staff will make observational notes during each session, documenting student participation, confidence, and the quality of interactions with volunteers. Informal interviews will collect feedback from senior volunteers, adding to the </w:t>
      </w:r>
      <w:r w:rsidRPr="007B131E">
        <w:rPr>
          <w:rStyle w:val="s1"/>
          <w:rFonts w:asciiTheme="minorHAnsi" w:hAnsiTheme="minorHAnsi"/>
        </w:rPr>
        <w:lastRenderedPageBreak/>
        <w:t xml:space="preserve">evidence of the perceived social and emotional advantages for the older participants. In keeping with Daniels and </w:t>
      </w:r>
      <w:proofErr w:type="spellStart"/>
      <w:r w:rsidRPr="007B131E">
        <w:rPr>
          <w:rStyle w:val="s1"/>
          <w:rFonts w:asciiTheme="minorHAnsi" w:hAnsiTheme="minorHAnsi"/>
        </w:rPr>
        <w:t>Hedegaard's</w:t>
      </w:r>
      <w:proofErr w:type="spellEnd"/>
      <w:r w:rsidRPr="007B131E">
        <w:rPr>
          <w:rStyle w:val="s1"/>
          <w:rFonts w:asciiTheme="minorHAnsi" w:hAnsiTheme="minorHAnsi"/>
        </w:rPr>
        <w:t xml:space="preserve"> (2011) thoughts on sociocultural learning, capturing the social and emotional dynamics between students and adults will be critical in measuring success beyond academic achievements.</w:t>
      </w:r>
    </w:p>
    <w:p w14:paraId="182574C8" w14:textId="77777777" w:rsidR="005F73F6" w:rsidRPr="007B131E" w:rsidRDefault="005F73F6">
      <w:pPr>
        <w:pStyle w:val="p1"/>
        <w:divId w:val="90318656"/>
        <w:rPr>
          <w:rFonts w:asciiTheme="minorHAnsi" w:hAnsiTheme="minorHAnsi"/>
        </w:rPr>
      </w:pPr>
      <w:r w:rsidRPr="007B131E">
        <w:rPr>
          <w:rStyle w:val="s1"/>
          <w:rFonts w:asciiTheme="minorHAnsi" w:hAnsiTheme="minorHAnsi"/>
        </w:rPr>
        <w:t>Reading achievement data will be tracked quantitatively, emphasising hesitant and previously disinterested readers. Standard school assessment methods and internal monitoring systems will be used throughout the project to detect progress in reading fluency, comprehension, and motivation.</w:t>
      </w:r>
    </w:p>
    <w:p w14:paraId="6FFDE46F" w14:textId="77777777" w:rsidR="005F73F6" w:rsidRPr="007B131E" w:rsidRDefault="005F73F6">
      <w:pPr>
        <w:pStyle w:val="p1"/>
        <w:divId w:val="90318656"/>
        <w:rPr>
          <w:rFonts w:asciiTheme="minorHAnsi" w:hAnsiTheme="minorHAnsi"/>
        </w:rPr>
      </w:pPr>
      <w:r w:rsidRPr="007B131E">
        <w:rPr>
          <w:rStyle w:val="s1"/>
          <w:rFonts w:asciiTheme="minorHAnsi" w:hAnsiTheme="minorHAnsi"/>
        </w:rPr>
        <w:t>Evaluation techniques will be based on mixed methods principles, integrating quantitative progress monitoring with qualitative descriptions (Robson 2011). Comparing the outcomes to case studies of similar intergenerational initiatives, such as those run by Reading is Fundamental (2018) or Age UK (2022), will provide a more contextual understanding of the project's effect and sustainability.</w:t>
      </w:r>
    </w:p>
    <w:p w14:paraId="7A3176F9" w14:textId="77777777" w:rsidR="005F73F6" w:rsidRPr="007B131E" w:rsidRDefault="005F73F6">
      <w:pPr>
        <w:pStyle w:val="p1"/>
        <w:divId w:val="90318656"/>
        <w:rPr>
          <w:rFonts w:asciiTheme="minorHAnsi" w:hAnsiTheme="minorHAnsi"/>
        </w:rPr>
      </w:pPr>
      <w:r w:rsidRPr="007B131E">
        <w:rPr>
          <w:rStyle w:val="s1"/>
          <w:rFonts w:asciiTheme="minorHAnsi" w:hAnsiTheme="minorHAnsi"/>
        </w:rPr>
        <w:t>The Educational Endowment tool kit supports this approach by stating that reading interventions work best when students learn in meaningful and engaging contexts (Education Endowment Foundation, 2023). The project will track how pupils develop empathy, social confidence, and emotional literacy against the Health and Wellbeing and Ethical, Informed Citizens' purposes of the Curriculum for Wales (Welsh Government, 2021).</w:t>
      </w:r>
    </w:p>
    <w:p w14:paraId="56AE2A03" w14:textId="77777777" w:rsidR="005F73F6" w:rsidRPr="007B131E" w:rsidRDefault="005F73F6">
      <w:pPr>
        <w:pStyle w:val="p1"/>
        <w:divId w:val="90318656"/>
        <w:rPr>
          <w:rFonts w:asciiTheme="minorHAnsi" w:hAnsiTheme="minorHAnsi"/>
        </w:rPr>
      </w:pPr>
      <w:r w:rsidRPr="007B131E">
        <w:rPr>
          <w:rStyle w:val="s1"/>
          <w:rFonts w:asciiTheme="minorHAnsi" w:hAnsiTheme="minorHAnsi"/>
        </w:rPr>
        <w:t xml:space="preserve">This evaluation strategy combines numerical data with personal narratives to measure the project's academic and social-emotional results, providing a complete view of its achievements and potential future improvements (Torres, </w:t>
      </w:r>
      <w:proofErr w:type="spellStart"/>
      <w:r w:rsidRPr="007B131E">
        <w:rPr>
          <w:rStyle w:val="s1"/>
          <w:rFonts w:asciiTheme="minorHAnsi" w:hAnsiTheme="minorHAnsi"/>
        </w:rPr>
        <w:t>Preskill</w:t>
      </w:r>
      <w:proofErr w:type="spellEnd"/>
      <w:r w:rsidRPr="007B131E">
        <w:rPr>
          <w:rStyle w:val="s1"/>
          <w:rFonts w:asciiTheme="minorHAnsi" w:hAnsiTheme="minorHAnsi"/>
        </w:rPr>
        <w:t xml:space="preserve"> and </w:t>
      </w:r>
      <w:proofErr w:type="spellStart"/>
      <w:r w:rsidRPr="007B131E">
        <w:rPr>
          <w:rStyle w:val="s1"/>
          <w:rFonts w:asciiTheme="minorHAnsi" w:hAnsiTheme="minorHAnsi"/>
        </w:rPr>
        <w:t>Piontek</w:t>
      </w:r>
      <w:proofErr w:type="spellEnd"/>
      <w:r w:rsidRPr="007B131E">
        <w:rPr>
          <w:rStyle w:val="s1"/>
          <w:rFonts w:asciiTheme="minorHAnsi" w:hAnsiTheme="minorHAnsi"/>
        </w:rPr>
        <w:t>, 2004).</w:t>
      </w:r>
    </w:p>
    <w:p w14:paraId="728EA328" w14:textId="77777777" w:rsidR="005F73F6" w:rsidRPr="007B131E" w:rsidRDefault="005F73F6">
      <w:pPr>
        <w:pStyle w:val="p2"/>
        <w:divId w:val="90318656"/>
        <w:rPr>
          <w:rFonts w:asciiTheme="minorHAnsi" w:hAnsiTheme="minorHAnsi"/>
        </w:rPr>
      </w:pPr>
    </w:p>
    <w:p w14:paraId="1F1E2A39" w14:textId="77777777" w:rsidR="005F73F6" w:rsidRPr="007B131E" w:rsidRDefault="005F73F6">
      <w:pPr>
        <w:pStyle w:val="p1"/>
        <w:divId w:val="90318656"/>
        <w:rPr>
          <w:rFonts w:asciiTheme="minorHAnsi" w:hAnsiTheme="minorHAnsi"/>
        </w:rPr>
      </w:pPr>
      <w:r w:rsidRPr="007B131E">
        <w:rPr>
          <w:rStyle w:val="s1"/>
          <w:rFonts w:asciiTheme="minorHAnsi" w:hAnsiTheme="minorHAnsi"/>
        </w:rPr>
        <w:t>A SWOT analysis offers a helpful framework for evaluating the Reading Buddies Across Generations project's strengths, weaknesses, opportunities, and threats (see the full version at Appendix 1).</w:t>
      </w:r>
    </w:p>
    <w:p w14:paraId="63468CFE" w14:textId="77777777" w:rsidR="005F73F6" w:rsidRPr="007B131E" w:rsidRDefault="005F73F6">
      <w:pPr>
        <w:pStyle w:val="p1"/>
        <w:divId w:val="90318656"/>
        <w:rPr>
          <w:rFonts w:asciiTheme="minorHAnsi" w:hAnsiTheme="minorHAnsi"/>
        </w:rPr>
      </w:pPr>
      <w:r w:rsidRPr="007B131E">
        <w:rPr>
          <w:rStyle w:val="s1"/>
          <w:rFonts w:asciiTheme="minorHAnsi" w:hAnsiTheme="minorHAnsi"/>
        </w:rPr>
        <w:t>The project's strengths include its engaging and low-cost nature and dual impact on pupils and the wider community. Shared reading experiences create meaningful connections that help literacy development and encourage empathy and inclusive classroom values, which are strongly aligned with the Curriculum for Wales' Health and Wellbeing and Ethical, Informed Citizens goals</w:t>
      </w:r>
      <w:r w:rsidRPr="007B131E">
        <w:rPr>
          <w:rStyle w:val="s2"/>
          <w:rFonts w:asciiTheme="minorHAnsi" w:hAnsiTheme="minorHAnsi"/>
          <w:b w:val="0"/>
          <w:bCs w:val="0"/>
        </w:rPr>
        <w:t xml:space="preserve"> </w:t>
      </w:r>
      <w:r w:rsidRPr="007B131E">
        <w:rPr>
          <w:rStyle w:val="s1"/>
          <w:rFonts w:asciiTheme="minorHAnsi" w:hAnsiTheme="minorHAnsi"/>
        </w:rPr>
        <w:t>(Welsh Government, 2022)</w:t>
      </w:r>
      <w:r w:rsidRPr="007B131E">
        <w:rPr>
          <w:rStyle w:val="s2"/>
          <w:rFonts w:asciiTheme="minorHAnsi" w:hAnsiTheme="minorHAnsi"/>
          <w:b w:val="0"/>
          <w:bCs w:val="0"/>
        </w:rPr>
        <w:t>.</w:t>
      </w:r>
      <w:r w:rsidRPr="007B131E">
        <w:rPr>
          <w:rStyle w:val="s1"/>
          <w:rFonts w:asciiTheme="minorHAnsi" w:hAnsiTheme="minorHAnsi"/>
        </w:rPr>
        <w:t xml:space="preserve"> The Educational Endowment Foundation (EEF, 2022) found that literacy interventions anchored in social contexts improve student engagement and achievement, particularly among hesitant readers.</w:t>
      </w:r>
    </w:p>
    <w:p w14:paraId="249BE6A2" w14:textId="77777777" w:rsidR="005F73F6" w:rsidRPr="007B131E" w:rsidRDefault="005F73F6">
      <w:pPr>
        <w:pStyle w:val="p1"/>
        <w:divId w:val="90318656"/>
        <w:rPr>
          <w:rFonts w:asciiTheme="minorHAnsi" w:hAnsiTheme="minorHAnsi"/>
        </w:rPr>
      </w:pPr>
      <w:r w:rsidRPr="007B131E">
        <w:rPr>
          <w:rStyle w:val="s1"/>
          <w:rFonts w:asciiTheme="minorHAnsi" w:hAnsiTheme="minorHAnsi"/>
        </w:rPr>
        <w:lastRenderedPageBreak/>
        <w:t xml:space="preserve">However, the initiative has weaknesses, most notably the reliance on volunteers' ongoing commitment and the administrative needs of protection and organisation (Holmes, Reid &amp; </w:t>
      </w:r>
      <w:proofErr w:type="spellStart"/>
      <w:r w:rsidRPr="007B131E">
        <w:rPr>
          <w:rStyle w:val="s1"/>
          <w:rFonts w:asciiTheme="minorHAnsi" w:hAnsiTheme="minorHAnsi"/>
        </w:rPr>
        <w:t>Dowker</w:t>
      </w:r>
      <w:proofErr w:type="spellEnd"/>
      <w:r w:rsidRPr="007B131E">
        <w:rPr>
          <w:rStyle w:val="s1"/>
          <w:rFonts w:asciiTheme="minorHAnsi" w:hAnsiTheme="minorHAnsi"/>
        </w:rPr>
        <w:t>, 2012). Gregory (2024) emphasises that while volunteer-driven programs provide enormous social benefits, their sustainability is frequently dependent on persistent involvement and strong support systems. Clear communication, acknowledgement of volunteers' efforts, and retaining flexibility in attendance will be critical methods to address these difficulties.</w:t>
      </w:r>
    </w:p>
    <w:p w14:paraId="0BEBA015" w14:textId="77777777" w:rsidR="005F73F6" w:rsidRPr="007B131E" w:rsidRDefault="005F73F6">
      <w:pPr>
        <w:pStyle w:val="p1"/>
        <w:divId w:val="90318656"/>
        <w:rPr>
          <w:rFonts w:asciiTheme="minorHAnsi" w:hAnsiTheme="minorHAnsi"/>
        </w:rPr>
      </w:pPr>
      <w:r w:rsidRPr="007B131E">
        <w:rPr>
          <w:rStyle w:val="s1"/>
          <w:rFonts w:asciiTheme="minorHAnsi" w:hAnsiTheme="minorHAnsi"/>
        </w:rPr>
        <w:t>The initiative presents promising opportunities, such as growing and reaching more people, receiving positive media, and expanding its reach by adding more year groups, establishing inter-school partnerships, and creating a larger network of intergenerational connections (Gadsden and Hall, 1996). The research on school-community interactions (Epstein, 2021) shows that strong external connections enhance educational experiences and develop collective resilience.</w:t>
      </w:r>
    </w:p>
    <w:p w14:paraId="69690730" w14:textId="77777777" w:rsidR="005F73F6" w:rsidRPr="007B131E" w:rsidRDefault="005F73F6">
      <w:pPr>
        <w:pStyle w:val="p1"/>
        <w:divId w:val="90318656"/>
        <w:rPr>
          <w:rFonts w:asciiTheme="minorHAnsi" w:hAnsiTheme="minorHAnsi"/>
        </w:rPr>
      </w:pPr>
      <w:r w:rsidRPr="007B131E">
        <w:rPr>
          <w:rStyle w:val="s1"/>
          <w:rFonts w:asciiTheme="minorHAnsi" w:hAnsiTheme="minorHAnsi"/>
        </w:rPr>
        <w:t xml:space="preserve">Nonetheless, there are obvious threats that must be addressed. Volunteer absence or sickness (particularly given ongoing worries about COVID-19 and seasonal flu) might compromise the program's stability. Furthermore, parental concerns about their children's safety and well-being may arise during interactions with older persons. </w:t>
      </w:r>
      <w:proofErr w:type="spellStart"/>
      <w:r w:rsidRPr="007B131E">
        <w:rPr>
          <w:rStyle w:val="s1"/>
          <w:rFonts w:asciiTheme="minorHAnsi" w:hAnsiTheme="minorHAnsi"/>
        </w:rPr>
        <w:t>Sobel</w:t>
      </w:r>
      <w:proofErr w:type="spellEnd"/>
      <w:r w:rsidRPr="007B131E">
        <w:rPr>
          <w:rStyle w:val="s1"/>
          <w:rFonts w:asciiTheme="minorHAnsi" w:hAnsiTheme="minorHAnsi"/>
        </w:rPr>
        <w:t xml:space="preserve"> and Alston (2021) emphasise the need for open communication and proactive protection strategies in maintaining intergenerational initiatives. The initiative will implement clear safeguarding procedures to overcome these challenges, require all volunteers to undertake DBS checks, align with UNICEF (2022) child rights and maintain open communication with parents and carers, including chances for them to witness sessions or volunteer themselves.</w:t>
      </w:r>
    </w:p>
    <w:p w14:paraId="7D45BA2A" w14:textId="77777777" w:rsidR="005F73F6" w:rsidRPr="007B131E" w:rsidRDefault="005F73F6">
      <w:pPr>
        <w:pStyle w:val="p1"/>
        <w:divId w:val="90318656"/>
        <w:rPr>
          <w:rFonts w:asciiTheme="minorHAnsi" w:hAnsiTheme="minorHAnsi"/>
        </w:rPr>
      </w:pPr>
      <w:r w:rsidRPr="007B131E">
        <w:rPr>
          <w:rStyle w:val="s1"/>
          <w:rFonts w:asciiTheme="minorHAnsi" w:hAnsiTheme="minorHAnsi"/>
        </w:rPr>
        <w:t>In conclusion, like other community-based efforts, the project contains inherent risks. However, its meticulous design, alignment with current educational policy and curriculum, and solid literature supporting intergenerational learning and community participation offer substantial promise. Through proactive administration and constant assessment, the Reading Buddies Across Generations initiative has the potential to become a sustainable and influential model of real-world, socially integrated literacy development (Barry, 2015).</w:t>
      </w:r>
    </w:p>
    <w:p w14:paraId="64BDED13" w14:textId="77777777" w:rsidR="00B01AF8" w:rsidRPr="007B131E" w:rsidRDefault="00B01AF8">
      <w:pPr>
        <w:pStyle w:val="p1"/>
        <w:divId w:val="90318656"/>
        <w:rPr>
          <w:rStyle w:val="s1"/>
          <w:rFonts w:asciiTheme="minorHAnsi" w:hAnsiTheme="minorHAnsi"/>
        </w:rPr>
      </w:pPr>
    </w:p>
    <w:p w14:paraId="02429410" w14:textId="4D5C3083" w:rsidR="005F73F6" w:rsidRPr="007B131E" w:rsidRDefault="005F73F6">
      <w:pPr>
        <w:pStyle w:val="p1"/>
        <w:divId w:val="90318656"/>
        <w:rPr>
          <w:rFonts w:asciiTheme="minorHAnsi" w:hAnsiTheme="minorHAnsi"/>
        </w:rPr>
      </w:pPr>
      <w:r w:rsidRPr="007B131E">
        <w:rPr>
          <w:rStyle w:val="s1"/>
          <w:rFonts w:asciiTheme="minorHAnsi" w:hAnsiTheme="minorHAnsi"/>
        </w:rPr>
        <w:t xml:space="preserve">Reading Buddies Across Generations illustrates how meaningful, real-world literacy activities may increase students' reading engagement while developing empathy, communication skills, and intergenerational understanding (National Literacy Trust, 2019). Based on the socio-cultural theory (Daniels &amp; </w:t>
      </w:r>
      <w:proofErr w:type="spellStart"/>
      <w:r w:rsidRPr="007B131E">
        <w:rPr>
          <w:rStyle w:val="s1"/>
          <w:rFonts w:asciiTheme="minorHAnsi" w:hAnsiTheme="minorHAnsi"/>
        </w:rPr>
        <w:t>Hedegaard</w:t>
      </w:r>
      <w:proofErr w:type="spellEnd"/>
      <w:r w:rsidRPr="007B131E">
        <w:rPr>
          <w:rStyle w:val="s1"/>
          <w:rFonts w:asciiTheme="minorHAnsi" w:hAnsiTheme="minorHAnsi"/>
        </w:rPr>
        <w:t xml:space="preserve">, 2011), the project will generate genuine learning situations and support hesitant </w:t>
      </w:r>
      <w:r w:rsidRPr="007B131E">
        <w:rPr>
          <w:rStyle w:val="s1"/>
          <w:rFonts w:asciiTheme="minorHAnsi" w:hAnsiTheme="minorHAnsi"/>
        </w:rPr>
        <w:lastRenderedPageBreak/>
        <w:t>readers through socially rich interactions. Simultaneously, it addresses the growing worry about loneliness among older persons by providing mutual benefit and a revitalised feeling of purpose and community (Newman et al., 2008).</w:t>
      </w:r>
    </w:p>
    <w:p w14:paraId="4F36D32C" w14:textId="77777777" w:rsidR="005F73F6" w:rsidRPr="007B131E" w:rsidRDefault="005F73F6">
      <w:pPr>
        <w:pStyle w:val="p1"/>
        <w:divId w:val="90318656"/>
        <w:rPr>
          <w:rFonts w:asciiTheme="minorHAnsi" w:hAnsiTheme="minorHAnsi"/>
        </w:rPr>
      </w:pPr>
      <w:r w:rsidRPr="007B131E">
        <w:rPr>
          <w:rStyle w:val="s1"/>
          <w:rFonts w:asciiTheme="minorHAnsi" w:hAnsiTheme="minorHAnsi"/>
        </w:rPr>
        <w:t xml:space="preserve">Developing and executing this initiative expanded my knowledge of school-community partnerships. </w:t>
      </w:r>
      <w:proofErr w:type="spellStart"/>
      <w:r w:rsidRPr="007B131E">
        <w:rPr>
          <w:rStyle w:val="s1"/>
          <w:rFonts w:asciiTheme="minorHAnsi" w:hAnsiTheme="minorHAnsi"/>
        </w:rPr>
        <w:t>Ngobeni</w:t>
      </w:r>
      <w:proofErr w:type="spellEnd"/>
      <w:r w:rsidRPr="007B131E">
        <w:rPr>
          <w:rStyle w:val="s1"/>
          <w:rFonts w:asciiTheme="minorHAnsi" w:hAnsiTheme="minorHAnsi"/>
        </w:rPr>
        <w:t xml:space="preserve"> (2024) emphasises that ties with families and the larger community are critical for enhancing learning experiences and creating inclusive educational principles. I have personally grown to appreciate how collaborating with external educators and community members promotes student welfare and accomplishment, meeting the Qualified Teacher Status (QTS) Standard of "working with others to promote pupil learning and wellbeing" (Department for Education, 2011).</w:t>
      </w:r>
    </w:p>
    <w:p w14:paraId="05502305" w14:textId="77777777" w:rsidR="005F73F6" w:rsidRPr="007B131E" w:rsidRDefault="005F73F6">
      <w:pPr>
        <w:pStyle w:val="p1"/>
        <w:divId w:val="90318656"/>
        <w:rPr>
          <w:rStyle w:val="s1"/>
          <w:rFonts w:asciiTheme="minorHAnsi" w:hAnsiTheme="minorHAnsi"/>
        </w:rPr>
      </w:pPr>
      <w:r w:rsidRPr="007B131E">
        <w:rPr>
          <w:rStyle w:val="s1"/>
          <w:rFonts w:asciiTheme="minorHAnsi" w:hAnsiTheme="minorHAnsi"/>
        </w:rPr>
        <w:t>This experience has given an insight into a broader view of teaching beyond the classroom. It is consistent with Donaldson's (2022) goal in the Curriculum for Wales of developing ethical, knowledgeable citizens who are engaged members of their communities. It personally also strengthens my confidence in the value of emotional connection and relevance in teaching. Going further, I hope this project can be expanded to include additional year groups or become a long-term component of a school-wide plan. With continued support and reflection, it provides an inclusive, community-focused, and fundamentally human educational model.</w:t>
      </w:r>
    </w:p>
    <w:p w14:paraId="6CE1B5D5" w14:textId="1553C5B1" w:rsidR="00B01AF8" w:rsidRPr="007B131E" w:rsidRDefault="007930AE">
      <w:pPr>
        <w:pStyle w:val="p1"/>
        <w:divId w:val="90318656"/>
        <w:rPr>
          <w:rFonts w:asciiTheme="minorHAnsi" w:hAnsiTheme="minorHAnsi"/>
        </w:rPr>
      </w:pPr>
      <w:r w:rsidRPr="007B131E">
        <w:rPr>
          <w:rStyle w:val="s1"/>
          <w:rFonts w:asciiTheme="minorHAnsi" w:hAnsiTheme="minorHAnsi"/>
        </w:rPr>
        <w:t>Word count – 2,632</w:t>
      </w:r>
    </w:p>
    <w:p w14:paraId="6E5C2DBD" w14:textId="77777777" w:rsidR="005F73F6" w:rsidRPr="007B131E" w:rsidRDefault="005F73F6">
      <w:pPr>
        <w:pStyle w:val="p2"/>
        <w:divId w:val="90318656"/>
        <w:rPr>
          <w:rFonts w:asciiTheme="minorHAnsi" w:hAnsiTheme="minorHAnsi"/>
        </w:rPr>
      </w:pPr>
    </w:p>
    <w:p w14:paraId="61538AF8" w14:textId="77777777" w:rsidR="005F73F6" w:rsidRDefault="005F73F6">
      <w:pPr>
        <w:pStyle w:val="p2"/>
        <w:divId w:val="90318656"/>
        <w:rPr>
          <w:rFonts w:hint="eastAsia"/>
        </w:rPr>
      </w:pPr>
    </w:p>
    <w:p w14:paraId="5D0727BB" w14:textId="77777777" w:rsidR="005F73F6" w:rsidRDefault="005F73F6">
      <w:pPr>
        <w:pStyle w:val="p2"/>
        <w:divId w:val="90318656"/>
        <w:rPr>
          <w:rFonts w:hint="eastAsia"/>
        </w:rPr>
      </w:pPr>
    </w:p>
    <w:p w14:paraId="768C1064" w14:textId="77777777" w:rsidR="005F73F6" w:rsidRDefault="005F73F6">
      <w:pPr>
        <w:pStyle w:val="p2"/>
        <w:divId w:val="90318656"/>
        <w:rPr>
          <w:rFonts w:hint="eastAsia"/>
        </w:rPr>
      </w:pPr>
    </w:p>
    <w:p w14:paraId="765DB5E6" w14:textId="77777777" w:rsidR="005F73F6" w:rsidRDefault="005F73F6">
      <w:pPr>
        <w:pStyle w:val="p2"/>
        <w:divId w:val="90318656"/>
        <w:rPr>
          <w:rFonts w:hint="eastAsia"/>
        </w:rPr>
      </w:pPr>
    </w:p>
    <w:p w14:paraId="04183637" w14:textId="77777777" w:rsidR="005F73F6" w:rsidRDefault="005F73F6">
      <w:pPr>
        <w:pStyle w:val="p2"/>
        <w:divId w:val="90318656"/>
        <w:rPr>
          <w:rFonts w:hint="eastAsia"/>
        </w:rPr>
      </w:pPr>
    </w:p>
    <w:p w14:paraId="2FE4809F" w14:textId="77777777" w:rsidR="005F73F6" w:rsidRDefault="005F73F6">
      <w:pPr>
        <w:pStyle w:val="p2"/>
        <w:divId w:val="90318656"/>
        <w:rPr>
          <w:rFonts w:hint="eastAsia"/>
        </w:rPr>
      </w:pPr>
    </w:p>
    <w:p w14:paraId="1F7E3861" w14:textId="77777777" w:rsidR="005F73F6" w:rsidRDefault="005F73F6">
      <w:pPr>
        <w:pStyle w:val="p2"/>
        <w:divId w:val="90318656"/>
      </w:pPr>
    </w:p>
    <w:p w14:paraId="71984167" w14:textId="77777777" w:rsidR="00AB5276" w:rsidRDefault="00AB5276">
      <w:pPr>
        <w:pStyle w:val="p2"/>
        <w:divId w:val="90318656"/>
        <w:rPr>
          <w:rFonts w:hint="eastAsia"/>
        </w:rPr>
      </w:pPr>
    </w:p>
    <w:p w14:paraId="4845A114" w14:textId="77777777" w:rsidR="005F73F6" w:rsidRDefault="005F73F6">
      <w:pPr>
        <w:pStyle w:val="p2"/>
        <w:divId w:val="90318656"/>
        <w:rPr>
          <w:rFonts w:hint="eastAsia"/>
        </w:rPr>
      </w:pPr>
    </w:p>
    <w:p w14:paraId="32414CD1" w14:textId="77777777" w:rsidR="005F73F6" w:rsidRDefault="005F73F6">
      <w:pPr>
        <w:pStyle w:val="p2"/>
        <w:divId w:val="90318656"/>
        <w:rPr>
          <w:rFonts w:hint="eastAsia"/>
        </w:rPr>
      </w:pPr>
    </w:p>
    <w:p w14:paraId="1C03C040" w14:textId="25966DB4" w:rsidR="005B5CC3" w:rsidRPr="005B5CC3" w:rsidRDefault="007930AE" w:rsidP="005B5CC3">
      <w:pPr>
        <w:rPr>
          <w:b/>
          <w:bCs/>
          <w:u w:val="single"/>
        </w:rPr>
      </w:pPr>
      <w:r w:rsidRPr="007930AE">
        <w:rPr>
          <w:b/>
          <w:bCs/>
          <w:u w:val="single"/>
        </w:rPr>
        <w:lastRenderedPageBreak/>
        <w:t xml:space="preserve">Reference list - </w:t>
      </w:r>
    </w:p>
    <w:p w14:paraId="56F3125E"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AGE UK (2022). Age UK . [online] Ageuk.org.uk. Available at: https://www.ageuk.org.uk/.</w:t>
      </w:r>
    </w:p>
    <w:p w14:paraId="4614860D"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Barry, J. (2015). A Life Less Lonely. </w:t>
      </w:r>
      <w:proofErr w:type="spellStart"/>
      <w:r w:rsidRPr="005B5CC3">
        <w:rPr>
          <w:rFonts w:cs="Times New Roman"/>
          <w:color w:val="000000"/>
          <w:kern w:val="0"/>
          <w:lang w:eastAsia="en-GB"/>
          <w14:ligatures w14:val="none"/>
        </w:rPr>
        <w:t>Ulverscroft</w:t>
      </w:r>
      <w:proofErr w:type="spellEnd"/>
      <w:r w:rsidRPr="005B5CC3">
        <w:rPr>
          <w:rFonts w:cs="Times New Roman"/>
          <w:color w:val="000000"/>
          <w:kern w:val="0"/>
          <w:lang w:eastAsia="en-GB"/>
          <w14:ligatures w14:val="none"/>
        </w:rPr>
        <w:t xml:space="preserve"> Large Print Books.</w:t>
      </w:r>
    </w:p>
    <w:p w14:paraId="1C677BC3"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 xml:space="preserve">Clark, C. and </w:t>
      </w:r>
      <w:proofErr w:type="spellStart"/>
      <w:r w:rsidRPr="005B5CC3">
        <w:rPr>
          <w:rFonts w:cs="Times New Roman"/>
          <w:color w:val="000000"/>
          <w:kern w:val="0"/>
          <w:lang w:eastAsia="en-GB"/>
          <w14:ligatures w14:val="none"/>
        </w:rPr>
        <w:t>Rumbold</w:t>
      </w:r>
      <w:proofErr w:type="spellEnd"/>
      <w:r w:rsidRPr="005B5CC3">
        <w:rPr>
          <w:rFonts w:cs="Times New Roman"/>
          <w:color w:val="000000"/>
          <w:kern w:val="0"/>
          <w:lang w:eastAsia="en-GB"/>
          <w14:ligatures w14:val="none"/>
        </w:rPr>
        <w:t>, K. (2006). Reading for Pleasure: a Research Overview. [online] National Literacy Trust. Available at: https://eric.ed.gov/?id=ED496343.</w:t>
      </w:r>
    </w:p>
    <w:p w14:paraId="4903B5EA" w14:textId="77777777" w:rsidR="005B5CC3" w:rsidRPr="005B5CC3" w:rsidRDefault="005B5CC3" w:rsidP="005B5CC3">
      <w:pPr>
        <w:spacing w:after="240" w:line="360" w:lineRule="atLeast"/>
        <w:divId w:val="1563638315"/>
        <w:rPr>
          <w:rFonts w:cs="Times New Roman"/>
          <w:color w:val="000000"/>
          <w:kern w:val="0"/>
          <w:lang w:eastAsia="en-GB"/>
          <w14:ligatures w14:val="none"/>
        </w:rPr>
      </w:pPr>
      <w:proofErr w:type="spellStart"/>
      <w:r w:rsidRPr="005B5CC3">
        <w:rPr>
          <w:rFonts w:cs="Times New Roman"/>
          <w:color w:val="000000"/>
          <w:kern w:val="0"/>
          <w:lang w:eastAsia="en-GB"/>
          <w14:ligatures w14:val="none"/>
        </w:rPr>
        <w:t>Coristine</w:t>
      </w:r>
      <w:proofErr w:type="spellEnd"/>
      <w:r w:rsidRPr="005B5CC3">
        <w:rPr>
          <w:rFonts w:cs="Times New Roman"/>
          <w:color w:val="000000"/>
          <w:kern w:val="0"/>
          <w:lang w:eastAsia="en-GB"/>
          <w14:ligatures w14:val="none"/>
        </w:rPr>
        <w:t xml:space="preserve">, S. and </w:t>
      </w:r>
      <w:proofErr w:type="spellStart"/>
      <w:r w:rsidRPr="005B5CC3">
        <w:rPr>
          <w:rFonts w:cs="Times New Roman"/>
          <w:color w:val="000000"/>
          <w:kern w:val="0"/>
          <w:lang w:eastAsia="en-GB"/>
          <w14:ligatures w14:val="none"/>
        </w:rPr>
        <w:t>Rivolta</w:t>
      </w:r>
      <w:proofErr w:type="spellEnd"/>
      <w:r w:rsidRPr="005B5CC3">
        <w:rPr>
          <w:rFonts w:cs="Times New Roman"/>
          <w:color w:val="000000"/>
          <w:kern w:val="0"/>
          <w:lang w:eastAsia="en-GB"/>
          <w14:ligatures w14:val="none"/>
        </w:rPr>
        <w:t>, G. (2022). The Importance of Student-Teacher Relationships. Classroom Practice in 2022, [online] 1(1). Available at: https://ecampusontario.pressbooks.pub/educ5202/chapter/the-importance-of-student-teacher-relationships/.</w:t>
      </w:r>
    </w:p>
    <w:p w14:paraId="2E66B630" w14:textId="77777777" w:rsidR="005B5CC3" w:rsidRPr="005B5CC3" w:rsidRDefault="005B5CC3" w:rsidP="005B5CC3">
      <w:pPr>
        <w:spacing w:after="240" w:line="360" w:lineRule="atLeast"/>
        <w:divId w:val="1563638315"/>
        <w:rPr>
          <w:rFonts w:cs="Times New Roman"/>
          <w:color w:val="000000"/>
          <w:kern w:val="0"/>
          <w:lang w:eastAsia="en-GB"/>
          <w14:ligatures w14:val="none"/>
        </w:rPr>
      </w:pPr>
      <w:proofErr w:type="spellStart"/>
      <w:r w:rsidRPr="005B5CC3">
        <w:rPr>
          <w:rFonts w:cs="Times New Roman"/>
          <w:color w:val="000000"/>
          <w:kern w:val="0"/>
          <w:lang w:eastAsia="en-GB"/>
          <w14:ligatures w14:val="none"/>
        </w:rPr>
        <w:t>Cremin</w:t>
      </w:r>
      <w:proofErr w:type="spellEnd"/>
      <w:r w:rsidRPr="005B5CC3">
        <w:rPr>
          <w:rFonts w:cs="Times New Roman"/>
          <w:color w:val="000000"/>
          <w:kern w:val="0"/>
          <w:lang w:eastAsia="en-GB"/>
          <w14:ligatures w14:val="none"/>
        </w:rPr>
        <w:t xml:space="preserve">, T., Mottram, M., Collins, F.M., Powell, S. and </w:t>
      </w:r>
      <w:proofErr w:type="spellStart"/>
      <w:r w:rsidRPr="005B5CC3">
        <w:rPr>
          <w:rFonts w:cs="Times New Roman"/>
          <w:color w:val="000000"/>
          <w:kern w:val="0"/>
          <w:lang w:eastAsia="en-GB"/>
          <w14:ligatures w14:val="none"/>
        </w:rPr>
        <w:t>Safford</w:t>
      </w:r>
      <w:proofErr w:type="spellEnd"/>
      <w:r w:rsidRPr="005B5CC3">
        <w:rPr>
          <w:rFonts w:cs="Times New Roman"/>
          <w:color w:val="000000"/>
          <w:kern w:val="0"/>
          <w:lang w:eastAsia="en-GB"/>
          <w14:ligatures w14:val="none"/>
        </w:rPr>
        <w:t xml:space="preserve">, K. (2014). Building communities of engaged readers: Reading for pleasure. London: </w:t>
      </w:r>
      <w:proofErr w:type="spellStart"/>
      <w:r w:rsidRPr="005B5CC3">
        <w:rPr>
          <w:rFonts w:cs="Times New Roman"/>
          <w:color w:val="000000"/>
          <w:kern w:val="0"/>
          <w:lang w:eastAsia="en-GB"/>
          <w14:ligatures w14:val="none"/>
        </w:rPr>
        <w:t>Routledge</w:t>
      </w:r>
      <w:proofErr w:type="spellEnd"/>
      <w:r w:rsidRPr="005B5CC3">
        <w:rPr>
          <w:rFonts w:cs="Times New Roman"/>
          <w:color w:val="000000"/>
          <w:kern w:val="0"/>
          <w:lang w:eastAsia="en-GB"/>
          <w14:ligatures w14:val="none"/>
        </w:rPr>
        <w:t>.</w:t>
      </w:r>
    </w:p>
    <w:p w14:paraId="356823A8"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 xml:space="preserve">Daniels, H. and </w:t>
      </w:r>
      <w:proofErr w:type="spellStart"/>
      <w:r w:rsidRPr="005B5CC3">
        <w:rPr>
          <w:rFonts w:cs="Times New Roman"/>
          <w:color w:val="000000"/>
          <w:kern w:val="0"/>
          <w:lang w:eastAsia="en-GB"/>
          <w14:ligatures w14:val="none"/>
        </w:rPr>
        <w:t>Mariane</w:t>
      </w:r>
      <w:proofErr w:type="spellEnd"/>
      <w:r w:rsidRPr="005B5CC3">
        <w:rPr>
          <w:rFonts w:cs="Times New Roman"/>
          <w:color w:val="000000"/>
          <w:kern w:val="0"/>
          <w:lang w:eastAsia="en-GB"/>
          <w14:ligatures w14:val="none"/>
        </w:rPr>
        <w:t xml:space="preserve"> </w:t>
      </w:r>
      <w:proofErr w:type="spellStart"/>
      <w:r w:rsidRPr="005B5CC3">
        <w:rPr>
          <w:rFonts w:cs="Times New Roman"/>
          <w:color w:val="000000"/>
          <w:kern w:val="0"/>
          <w:lang w:eastAsia="en-GB"/>
          <w14:ligatures w14:val="none"/>
        </w:rPr>
        <w:t>Hedegaard</w:t>
      </w:r>
      <w:proofErr w:type="spellEnd"/>
      <w:r w:rsidRPr="005B5CC3">
        <w:rPr>
          <w:rFonts w:cs="Times New Roman"/>
          <w:color w:val="000000"/>
          <w:kern w:val="0"/>
          <w:lang w:eastAsia="en-GB"/>
          <w14:ligatures w14:val="none"/>
        </w:rPr>
        <w:t xml:space="preserve"> (2011). </w:t>
      </w:r>
      <w:proofErr w:type="spellStart"/>
      <w:r w:rsidRPr="005B5CC3">
        <w:rPr>
          <w:rFonts w:cs="Times New Roman"/>
          <w:color w:val="000000"/>
          <w:kern w:val="0"/>
          <w:lang w:eastAsia="en-GB"/>
          <w14:ligatures w14:val="none"/>
        </w:rPr>
        <w:t>Vygotsky</w:t>
      </w:r>
      <w:proofErr w:type="spellEnd"/>
      <w:r w:rsidRPr="005B5CC3">
        <w:rPr>
          <w:rFonts w:cs="Times New Roman"/>
          <w:color w:val="000000"/>
          <w:kern w:val="0"/>
          <w:lang w:eastAsia="en-GB"/>
          <w14:ligatures w14:val="none"/>
        </w:rPr>
        <w:t xml:space="preserve"> and special needs education : rethinking support for children and schools. London: Continuum International Pub. Group.</w:t>
      </w:r>
    </w:p>
    <w:p w14:paraId="772CC429" w14:textId="77777777" w:rsidR="005B5CC3" w:rsidRPr="005B5CC3" w:rsidRDefault="005B5CC3" w:rsidP="005B5CC3">
      <w:pPr>
        <w:spacing w:after="240" w:line="360" w:lineRule="atLeast"/>
        <w:divId w:val="1563638315"/>
        <w:rPr>
          <w:rFonts w:cs="Times New Roman"/>
          <w:color w:val="000000"/>
          <w:kern w:val="0"/>
          <w:lang w:eastAsia="en-GB"/>
          <w14:ligatures w14:val="none"/>
        </w:rPr>
      </w:pPr>
      <w:proofErr w:type="spellStart"/>
      <w:r w:rsidRPr="005B5CC3">
        <w:rPr>
          <w:rFonts w:cs="Times New Roman"/>
          <w:color w:val="000000"/>
          <w:kern w:val="0"/>
          <w:lang w:eastAsia="en-GB"/>
          <w14:ligatures w14:val="none"/>
        </w:rPr>
        <w:t>Denby</w:t>
      </w:r>
      <w:proofErr w:type="spellEnd"/>
      <w:r w:rsidRPr="005B5CC3">
        <w:rPr>
          <w:rFonts w:cs="Times New Roman"/>
          <w:color w:val="000000"/>
          <w:kern w:val="0"/>
          <w:lang w:eastAsia="en-GB"/>
          <w14:ligatures w14:val="none"/>
        </w:rPr>
        <w:t xml:space="preserve">, R.V. (1970). NCTE/ERIC Summaries &amp; Sources: Inservice Education for Secondary English Teachers: ‘So Little Time... So Much to Learn!’ The English Journal, 59(4), p.594. </w:t>
      </w:r>
      <w:proofErr w:type="spellStart"/>
      <w:r w:rsidRPr="005B5CC3">
        <w:rPr>
          <w:rFonts w:cs="Times New Roman"/>
          <w:color w:val="000000"/>
          <w:kern w:val="0"/>
          <w:lang w:eastAsia="en-GB"/>
          <w14:ligatures w14:val="none"/>
        </w:rPr>
        <w:t>doi:https</w:t>
      </w:r>
      <w:proofErr w:type="spellEnd"/>
      <w:r w:rsidRPr="005B5CC3">
        <w:rPr>
          <w:rFonts w:cs="Times New Roman"/>
          <w:color w:val="000000"/>
          <w:kern w:val="0"/>
          <w:lang w:eastAsia="en-GB"/>
          <w14:ligatures w14:val="none"/>
        </w:rPr>
        <w:t>://doi.org/10.2307/812017.</w:t>
      </w:r>
    </w:p>
    <w:p w14:paraId="0B6E5AD3"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Department for Education (2011). Teachers’ Standards. [online] GOV.UK. Available at: https://www.gov.uk/government/publications/teachers-standards.</w:t>
      </w:r>
    </w:p>
    <w:p w14:paraId="239F02C8"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DfE (2012). Research Evidence on Reading for Pleasure Education Standards Research Team. [online] Available at: https://assets.publishing.service.gov.uk/media/5a7c18d540f0b61a825d66e9/reading_for_pleasure.pdf.</w:t>
      </w:r>
    </w:p>
    <w:p w14:paraId="263A79FD"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Donaldson, G. (2015). Successful Futures Looking at the Curriculum and Assessment Arrangements in Wales. [online] Available at: https://www.gov.wales/sites/default/files/publications/2018-03/succesful-futures-a-summary-of-professor-graham-donaldsons-report.pdf.</w:t>
      </w:r>
    </w:p>
    <w:p w14:paraId="2C66B5C1"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Education Endowment Foundation (2023). Teaching and Learning Toolkit. [online] Education Endowment Foundation. Available at: https://educationendowmentfoundation.org.uk/education-evidence/teaching-learning-toolkit.</w:t>
      </w:r>
    </w:p>
    <w:p w14:paraId="7B577497"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lastRenderedPageBreak/>
        <w:t>EEF (2022). EEF . [online] Educationendowmentfoundation.org.uk. Available at: https://educationendowmentfoundation.org.uk/.</w:t>
      </w:r>
    </w:p>
    <w:p w14:paraId="6520CFFF" w14:textId="52E5D91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 xml:space="preserve">Epstein (2021). Epstein, J. L. (1994). Theory to Practice School and Family Partnerships Lead to School Improvement and Student Success. In B. </w:t>
      </w:r>
      <w:proofErr w:type="spellStart"/>
      <w:r w:rsidRPr="005B5CC3">
        <w:rPr>
          <w:rFonts w:cs="Times New Roman"/>
          <w:color w:val="000000"/>
          <w:kern w:val="0"/>
          <w:lang w:eastAsia="en-GB"/>
          <w14:ligatures w14:val="none"/>
        </w:rPr>
        <w:t>Werber</w:t>
      </w:r>
      <w:proofErr w:type="spellEnd"/>
      <w:r w:rsidRPr="005B5CC3">
        <w:rPr>
          <w:rFonts w:cs="Times New Roman"/>
          <w:color w:val="000000"/>
          <w:kern w:val="0"/>
          <w:lang w:eastAsia="en-GB"/>
          <w14:ligatures w14:val="none"/>
        </w:rPr>
        <w:t xml:space="preserve">, &amp; C. </w:t>
      </w:r>
      <w:proofErr w:type="spellStart"/>
      <w:r w:rsidRPr="005B5CC3">
        <w:rPr>
          <w:rFonts w:cs="Times New Roman"/>
          <w:color w:val="000000"/>
          <w:kern w:val="0"/>
          <w:lang w:eastAsia="en-GB"/>
          <w14:ligatures w14:val="none"/>
        </w:rPr>
        <w:t>Fagnano</w:t>
      </w:r>
      <w:proofErr w:type="spellEnd"/>
      <w:r w:rsidRPr="005B5CC3">
        <w:rPr>
          <w:rFonts w:cs="Times New Roman"/>
          <w:color w:val="000000"/>
          <w:kern w:val="0"/>
          <w:lang w:eastAsia="en-GB"/>
          <w14:ligatures w14:val="none"/>
        </w:rPr>
        <w:t xml:space="preserve"> (Eds.), School, Family, and Community Interaction A View from the Firing Lines (pp. 39-52). London, New York </w:t>
      </w:r>
      <w:proofErr w:type="spellStart"/>
      <w:r w:rsidRPr="005B5CC3">
        <w:rPr>
          <w:rFonts w:cs="Times New Roman"/>
          <w:color w:val="000000"/>
          <w:kern w:val="0"/>
          <w:lang w:eastAsia="en-GB"/>
          <w14:ligatures w14:val="none"/>
        </w:rPr>
        <w:t>Routledge</w:t>
      </w:r>
      <w:proofErr w:type="spellEnd"/>
      <w:r w:rsidRPr="005B5CC3">
        <w:rPr>
          <w:rFonts w:cs="Times New Roman"/>
          <w:color w:val="000000"/>
          <w:kern w:val="0"/>
          <w:lang w:eastAsia="en-GB"/>
          <w14:ligatures w14:val="none"/>
        </w:rPr>
        <w:t>. - References - Scientific Research Publishing. [online] Scirp.org. Available at: https://www.scirp.org/reference/referencespapers?referenceid=298439</w:t>
      </w:r>
      <w:r w:rsidR="00FD38CC">
        <w:rPr>
          <w:rFonts w:cs="Times New Roman"/>
          <w:color w:val="000000"/>
          <w:kern w:val="0"/>
          <w:lang w:eastAsia="en-GB"/>
          <w14:ligatures w14:val="none"/>
        </w:rPr>
        <w:t>4.</w:t>
      </w:r>
    </w:p>
    <w:p w14:paraId="36D84F51"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Felicia, P. (2011). Handbook of research on improving learning and motivation through educational games : multidisciplinary approaches. Hershey, Pa.: IGI Global (701 E. Chocolate Avenue, Hershey, Pennsylvania, 17033, USA).</w:t>
      </w:r>
    </w:p>
    <w:p w14:paraId="23679C90"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 xml:space="preserve">Gadsden, V.L. and Hall, M. (1996). Intergenerational Learning: A Review of the Literature. [online] ERIC. National </w:t>
      </w:r>
      <w:proofErr w:type="spellStart"/>
      <w:r w:rsidRPr="005B5CC3">
        <w:rPr>
          <w:rFonts w:cs="Times New Roman"/>
          <w:color w:val="000000"/>
          <w:kern w:val="0"/>
          <w:lang w:eastAsia="en-GB"/>
          <w14:ligatures w14:val="none"/>
        </w:rPr>
        <w:t>Center</w:t>
      </w:r>
      <w:proofErr w:type="spellEnd"/>
      <w:r w:rsidRPr="005B5CC3">
        <w:rPr>
          <w:rFonts w:cs="Times New Roman"/>
          <w:color w:val="000000"/>
          <w:kern w:val="0"/>
          <w:lang w:eastAsia="en-GB"/>
          <w14:ligatures w14:val="none"/>
        </w:rPr>
        <w:t xml:space="preserve"> on Fathers and Families, University of Pennsylvania, Graduate School of Education, 3700 Walnut Street, Box 58, Philadelphia, PA 19104-6216. Available at: https://eric.ed.gov/?id=ED454974.</w:t>
      </w:r>
    </w:p>
    <w:p w14:paraId="58EDF463" w14:textId="3806B85E"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Gregory, R. (2024). Sam Warburton supports school project to challenge pupils. [online] Wales247.co.uk. Available at: https://www.wales247.co.uk/sam-warburton-supports-school-project-to-challenge-pupils</w:t>
      </w:r>
      <w:r w:rsidR="00FD38CC">
        <w:rPr>
          <w:rFonts w:cs="Times New Roman"/>
          <w:color w:val="000000"/>
          <w:kern w:val="0"/>
          <w:lang w:eastAsia="en-GB"/>
          <w14:ligatures w14:val="none"/>
        </w:rPr>
        <w:t>.</w:t>
      </w:r>
    </w:p>
    <w:p w14:paraId="3BC55D05"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Gross, J., Haines, S., Hill, C., Francis, G., Blue-Banning, M. and Turnbull, A. (2015). Strong School-Community Partnerships in Inclusive Schools Are ‘Part of the Fabric of the School.…We Count on Them’. School Community Journal, [online] 25(2), pp.9–34. Available at: https://files.eric.ed.gov/fulltext/EJ1085646.pdf.</w:t>
      </w:r>
    </w:p>
    <w:p w14:paraId="1D8E679A"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 xml:space="preserve">Holmes, W., Reid, D. and </w:t>
      </w:r>
      <w:proofErr w:type="spellStart"/>
      <w:r w:rsidRPr="005B5CC3">
        <w:rPr>
          <w:rFonts w:cs="Times New Roman"/>
          <w:color w:val="000000"/>
          <w:kern w:val="0"/>
          <w:lang w:eastAsia="en-GB"/>
          <w14:ligatures w14:val="none"/>
        </w:rPr>
        <w:t>Dowker</w:t>
      </w:r>
      <w:proofErr w:type="spellEnd"/>
      <w:r w:rsidRPr="005B5CC3">
        <w:rPr>
          <w:rFonts w:cs="Times New Roman"/>
          <w:color w:val="000000"/>
          <w:kern w:val="0"/>
          <w:lang w:eastAsia="en-GB"/>
          <w14:ligatures w14:val="none"/>
        </w:rPr>
        <w:t>, A. (2012). Early Intervention to Prevent Long-Term Literacy Difficulties: the Case of Catch Up Literacy. </w:t>
      </w:r>
      <w:proofErr w:type="spellStart"/>
      <w:r w:rsidRPr="005B5CC3">
        <w:rPr>
          <w:rFonts w:cs="Times New Roman"/>
          <w:color w:val="000000"/>
          <w:kern w:val="0"/>
          <w:lang w:eastAsia="en-GB"/>
          <w14:ligatures w14:val="none"/>
        </w:rPr>
        <w:t>Procedia</w:t>
      </w:r>
      <w:proofErr w:type="spellEnd"/>
      <w:r w:rsidRPr="005B5CC3">
        <w:rPr>
          <w:rFonts w:cs="Times New Roman"/>
          <w:color w:val="000000"/>
          <w:kern w:val="0"/>
          <w:lang w:eastAsia="en-GB"/>
          <w14:ligatures w14:val="none"/>
        </w:rPr>
        <w:t xml:space="preserve"> - Social and </w:t>
      </w:r>
      <w:proofErr w:type="spellStart"/>
      <w:r w:rsidRPr="005B5CC3">
        <w:rPr>
          <w:rFonts w:cs="Times New Roman"/>
          <w:color w:val="000000"/>
          <w:kern w:val="0"/>
          <w:lang w:eastAsia="en-GB"/>
          <w14:ligatures w14:val="none"/>
        </w:rPr>
        <w:t>Behavioral</w:t>
      </w:r>
      <w:proofErr w:type="spellEnd"/>
      <w:r w:rsidRPr="005B5CC3">
        <w:rPr>
          <w:rFonts w:cs="Times New Roman"/>
          <w:color w:val="000000"/>
          <w:kern w:val="0"/>
          <w:lang w:eastAsia="en-GB"/>
          <w14:ligatures w14:val="none"/>
        </w:rPr>
        <w:t xml:space="preserve"> Sciences, 46, pp.4498–4503. </w:t>
      </w:r>
      <w:proofErr w:type="spellStart"/>
      <w:r w:rsidRPr="005B5CC3">
        <w:rPr>
          <w:rFonts w:cs="Times New Roman"/>
          <w:color w:val="000000"/>
          <w:kern w:val="0"/>
          <w:lang w:eastAsia="en-GB"/>
          <w14:ligatures w14:val="none"/>
        </w:rPr>
        <w:t>doi:https</w:t>
      </w:r>
      <w:proofErr w:type="spellEnd"/>
      <w:r w:rsidRPr="005B5CC3">
        <w:rPr>
          <w:rFonts w:cs="Times New Roman"/>
          <w:color w:val="000000"/>
          <w:kern w:val="0"/>
          <w:lang w:eastAsia="en-GB"/>
          <w14:ligatures w14:val="none"/>
        </w:rPr>
        <w:t>://doi.org/10.1016/j.sbspro.2012.06.284.</w:t>
      </w:r>
    </w:p>
    <w:p w14:paraId="7B29502A"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Howarth, N. (2025). The Benefits of Connecting Youths and Seniors. [online] Aria Care. Available at: https://www.ariacare.co.uk/knowledge-hub/the-benefits-of-connecting-youths-and-seniors/.</w:t>
      </w:r>
    </w:p>
    <w:p w14:paraId="7AF55790"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Impact Wales (2022). What are the 12 Pedagogical Principles &amp; How to use them. [online] Impact Wales. Available at: https://www.impact.wales/news/12-pedagogical-principles/.</w:t>
      </w:r>
    </w:p>
    <w:p w14:paraId="312D1657"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lastRenderedPageBreak/>
        <w:t xml:space="preserve">International Reading Association and </w:t>
      </w:r>
      <w:proofErr w:type="spellStart"/>
      <w:r w:rsidRPr="005B5CC3">
        <w:rPr>
          <w:rFonts w:cs="Times New Roman"/>
          <w:color w:val="000000"/>
          <w:kern w:val="0"/>
          <w:lang w:eastAsia="en-GB"/>
          <w14:ligatures w14:val="none"/>
        </w:rPr>
        <w:t>Ciani</w:t>
      </w:r>
      <w:proofErr w:type="spellEnd"/>
      <w:r w:rsidRPr="005B5CC3">
        <w:rPr>
          <w:rFonts w:cs="Times New Roman"/>
          <w:color w:val="000000"/>
          <w:kern w:val="0"/>
          <w:lang w:eastAsia="en-GB"/>
          <w14:ligatures w14:val="none"/>
        </w:rPr>
        <w:t>, A.J. (1981). Motivating Reluctant Readers. Newark, Del. : International Reading Association.</w:t>
      </w:r>
    </w:p>
    <w:p w14:paraId="29BED828"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 xml:space="preserve">Kaplan, A. (2002). Classroom goal structure and student disruptive behaviour. British Journal of Educational Psychology, [online] 72(2), pp.191–211. </w:t>
      </w:r>
      <w:proofErr w:type="spellStart"/>
      <w:r w:rsidRPr="005B5CC3">
        <w:rPr>
          <w:rFonts w:cs="Times New Roman"/>
          <w:color w:val="000000"/>
          <w:kern w:val="0"/>
          <w:lang w:eastAsia="en-GB"/>
          <w14:ligatures w14:val="none"/>
        </w:rPr>
        <w:t>doi:https</w:t>
      </w:r>
      <w:proofErr w:type="spellEnd"/>
      <w:r w:rsidRPr="005B5CC3">
        <w:rPr>
          <w:rFonts w:cs="Times New Roman"/>
          <w:color w:val="000000"/>
          <w:kern w:val="0"/>
          <w:lang w:eastAsia="en-GB"/>
          <w14:ligatures w14:val="none"/>
        </w:rPr>
        <w:t>://doi.org/10.1348/000709902158847.</w:t>
      </w:r>
    </w:p>
    <w:p w14:paraId="19773420" w14:textId="77777777" w:rsidR="005B5CC3" w:rsidRPr="005B5CC3" w:rsidRDefault="005B5CC3" w:rsidP="005B5CC3">
      <w:pPr>
        <w:spacing w:after="240" w:line="360" w:lineRule="atLeast"/>
        <w:divId w:val="1563638315"/>
        <w:rPr>
          <w:rFonts w:cs="Times New Roman"/>
          <w:color w:val="000000"/>
          <w:kern w:val="0"/>
          <w:lang w:eastAsia="en-GB"/>
          <w14:ligatures w14:val="none"/>
        </w:rPr>
      </w:pPr>
      <w:proofErr w:type="spellStart"/>
      <w:r w:rsidRPr="005B5CC3">
        <w:rPr>
          <w:rFonts w:cs="Times New Roman"/>
          <w:color w:val="000000"/>
          <w:kern w:val="0"/>
          <w:lang w:eastAsia="en-GB"/>
          <w14:ligatures w14:val="none"/>
        </w:rPr>
        <w:t>Kernan</w:t>
      </w:r>
      <w:proofErr w:type="spellEnd"/>
      <w:r w:rsidRPr="005B5CC3">
        <w:rPr>
          <w:rFonts w:cs="Times New Roman"/>
          <w:color w:val="000000"/>
          <w:kern w:val="0"/>
          <w:lang w:eastAsia="en-GB"/>
          <w14:ligatures w14:val="none"/>
        </w:rPr>
        <w:t xml:space="preserve">, M. and </w:t>
      </w:r>
      <w:proofErr w:type="spellStart"/>
      <w:r w:rsidRPr="005B5CC3">
        <w:rPr>
          <w:rFonts w:cs="Times New Roman"/>
          <w:color w:val="000000"/>
          <w:kern w:val="0"/>
          <w:lang w:eastAsia="en-GB"/>
          <w14:ligatures w14:val="none"/>
        </w:rPr>
        <w:t>Cortellesi</w:t>
      </w:r>
      <w:proofErr w:type="spellEnd"/>
      <w:r w:rsidRPr="005B5CC3">
        <w:rPr>
          <w:rFonts w:cs="Times New Roman"/>
          <w:color w:val="000000"/>
          <w:kern w:val="0"/>
          <w:lang w:eastAsia="en-GB"/>
          <w14:ligatures w14:val="none"/>
        </w:rPr>
        <w:t xml:space="preserve">, G. (2020). Intergenerational learning in practice : together old and young. Abingdon, Oxon: </w:t>
      </w:r>
      <w:proofErr w:type="spellStart"/>
      <w:r w:rsidRPr="005B5CC3">
        <w:rPr>
          <w:rFonts w:cs="Times New Roman"/>
          <w:color w:val="000000"/>
          <w:kern w:val="0"/>
          <w:lang w:eastAsia="en-GB"/>
          <w14:ligatures w14:val="none"/>
        </w:rPr>
        <w:t>Routledge</w:t>
      </w:r>
      <w:proofErr w:type="spellEnd"/>
      <w:r w:rsidRPr="005B5CC3">
        <w:rPr>
          <w:rFonts w:cs="Times New Roman"/>
          <w:color w:val="000000"/>
          <w:kern w:val="0"/>
          <w:lang w:eastAsia="en-GB"/>
          <w14:ligatures w14:val="none"/>
        </w:rPr>
        <w:t>.</w:t>
      </w:r>
    </w:p>
    <w:p w14:paraId="0D176EF1" w14:textId="16FB620B" w:rsidR="005B5CC3" w:rsidRPr="005B5CC3" w:rsidRDefault="005B5CC3" w:rsidP="005B5CC3">
      <w:pPr>
        <w:spacing w:after="240" w:line="360" w:lineRule="atLeast"/>
        <w:divId w:val="1563638315"/>
        <w:rPr>
          <w:rFonts w:cs="Times New Roman"/>
          <w:color w:val="000000"/>
          <w:kern w:val="0"/>
          <w:lang w:eastAsia="en-GB"/>
          <w14:ligatures w14:val="none"/>
        </w:rPr>
      </w:pPr>
      <w:proofErr w:type="spellStart"/>
      <w:r w:rsidRPr="005B5CC3">
        <w:rPr>
          <w:rFonts w:cs="Times New Roman"/>
          <w:color w:val="000000"/>
          <w:kern w:val="0"/>
          <w:lang w:eastAsia="en-GB"/>
          <w14:ligatures w14:val="none"/>
        </w:rPr>
        <w:t>Kuehne</w:t>
      </w:r>
      <w:proofErr w:type="spellEnd"/>
      <w:r w:rsidRPr="005B5CC3">
        <w:rPr>
          <w:rFonts w:cs="Times New Roman"/>
          <w:color w:val="000000"/>
          <w:kern w:val="0"/>
          <w:lang w:eastAsia="en-GB"/>
          <w14:ligatures w14:val="none"/>
        </w:rPr>
        <w:t xml:space="preserve"> (2016). Kuhn, D. (1999). A developmental model of critical thinking. Educational Researcher, 28, 16-25. - References - Scientific Research Publishing. [online] Scirp.org. Available at: https://www.scirp.org/reference/referencespapers?referenceid=278901 </w:t>
      </w:r>
    </w:p>
    <w:p w14:paraId="5707D9AF" w14:textId="77777777" w:rsidR="005B5CC3" w:rsidRPr="005B5CC3" w:rsidRDefault="005B5CC3" w:rsidP="005B5CC3">
      <w:pPr>
        <w:spacing w:after="240" w:line="360" w:lineRule="atLeast"/>
        <w:divId w:val="1563638315"/>
        <w:rPr>
          <w:rFonts w:cs="Times New Roman"/>
          <w:color w:val="000000"/>
          <w:kern w:val="0"/>
          <w:lang w:eastAsia="en-GB"/>
          <w14:ligatures w14:val="none"/>
        </w:rPr>
      </w:pPr>
      <w:proofErr w:type="spellStart"/>
      <w:r w:rsidRPr="005B5CC3">
        <w:rPr>
          <w:rFonts w:cs="Times New Roman"/>
          <w:color w:val="000000"/>
          <w:kern w:val="0"/>
          <w:lang w:eastAsia="en-GB"/>
          <w14:ligatures w14:val="none"/>
        </w:rPr>
        <w:t>Lemov</w:t>
      </w:r>
      <w:proofErr w:type="spellEnd"/>
      <w:r w:rsidRPr="005B5CC3">
        <w:rPr>
          <w:rFonts w:cs="Times New Roman"/>
          <w:color w:val="000000"/>
          <w:kern w:val="0"/>
          <w:lang w:eastAsia="en-GB"/>
          <w14:ligatures w14:val="none"/>
        </w:rPr>
        <w:t>, D., Lewis, H., Williams, D. and Frazier, D. (2022). Reconnect. John Wiley &amp; Sons.</w:t>
      </w:r>
    </w:p>
    <w:p w14:paraId="6336E903"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National Literacy Trust (2019). Interventions. [online] National Literacy Trust. Available at: https://literacytrust.org.uk/programmes/interventions/.</w:t>
      </w:r>
    </w:p>
    <w:p w14:paraId="4C95FB25"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National Literacy Trust (2022). COVID-19 Research and Policy Observatory. [online] National Literacy Trust. Available at: https://literacytrust.org.uk/information/what-is-literacy/covid-19-and-literacy/.</w:t>
      </w:r>
    </w:p>
    <w:p w14:paraId="30D0993A"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National Literacy Trust (2024). Reading for Pleasure | National Literacy Trust. [online] National Literacy Trust. Available at: https://literacytrust.org.uk/reading-for-pleasure/.</w:t>
      </w:r>
    </w:p>
    <w:p w14:paraId="4D93174B"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 xml:space="preserve">Newman , Hatton-Yeo, </w:t>
      </w:r>
      <w:proofErr w:type="spellStart"/>
      <w:r w:rsidRPr="005B5CC3">
        <w:rPr>
          <w:rFonts w:cs="Times New Roman"/>
          <w:color w:val="000000"/>
          <w:kern w:val="0"/>
          <w:lang w:eastAsia="en-GB"/>
          <w14:ligatures w14:val="none"/>
        </w:rPr>
        <w:t>Gigliotti</w:t>
      </w:r>
      <w:proofErr w:type="spellEnd"/>
      <w:r w:rsidRPr="005B5CC3">
        <w:rPr>
          <w:rFonts w:cs="Times New Roman"/>
          <w:color w:val="000000"/>
          <w:kern w:val="0"/>
          <w:lang w:eastAsia="en-GB"/>
          <w14:ligatures w14:val="none"/>
        </w:rPr>
        <w:t xml:space="preserve"> and </w:t>
      </w:r>
      <w:proofErr w:type="spellStart"/>
      <w:r w:rsidRPr="005B5CC3">
        <w:rPr>
          <w:rFonts w:cs="Times New Roman"/>
          <w:color w:val="000000"/>
          <w:kern w:val="0"/>
          <w:lang w:eastAsia="en-GB"/>
          <w14:ligatures w14:val="none"/>
        </w:rPr>
        <w:t>Jarrott</w:t>
      </w:r>
      <w:proofErr w:type="spellEnd"/>
      <w:r w:rsidRPr="005B5CC3">
        <w:rPr>
          <w:rFonts w:cs="Times New Roman"/>
          <w:color w:val="000000"/>
          <w:kern w:val="0"/>
          <w:lang w:eastAsia="en-GB"/>
          <w14:ligatures w14:val="none"/>
        </w:rPr>
        <w:t xml:space="preserve"> (2008). Newman, S. and Hutton-Yeo, A. (2008) Intergenerational Learning and the Contributions of Older People. Ageing Horizons, 8, 31-39. - References - Scientific Research Publishing. [online] www.scirp.org. Available at: https://www.scirp.org/reference/referencespapers?referenceid=2604002.</w:t>
      </w:r>
    </w:p>
    <w:p w14:paraId="1EF16E31" w14:textId="77777777" w:rsidR="005B5CC3" w:rsidRPr="005B5CC3" w:rsidRDefault="005B5CC3" w:rsidP="005B5CC3">
      <w:pPr>
        <w:spacing w:after="240" w:line="360" w:lineRule="atLeast"/>
        <w:divId w:val="1563638315"/>
        <w:rPr>
          <w:rFonts w:cs="Times New Roman"/>
          <w:color w:val="000000"/>
          <w:kern w:val="0"/>
          <w:lang w:eastAsia="en-GB"/>
          <w14:ligatures w14:val="none"/>
        </w:rPr>
      </w:pPr>
      <w:proofErr w:type="spellStart"/>
      <w:r w:rsidRPr="005B5CC3">
        <w:rPr>
          <w:rFonts w:cs="Times New Roman"/>
          <w:color w:val="000000"/>
          <w:kern w:val="0"/>
          <w:lang w:eastAsia="en-GB"/>
          <w14:ligatures w14:val="none"/>
        </w:rPr>
        <w:t>Ngobeni</w:t>
      </w:r>
      <w:proofErr w:type="spellEnd"/>
      <w:r w:rsidRPr="005B5CC3">
        <w:rPr>
          <w:rFonts w:cs="Times New Roman"/>
          <w:color w:val="000000"/>
          <w:kern w:val="0"/>
          <w:lang w:eastAsia="en-GB"/>
          <w14:ligatures w14:val="none"/>
        </w:rPr>
        <w:t xml:space="preserve">, S. (2024). Establishing sustainable school-community partnerships: strategies for school management teams. International Journal of Leadership in Education, pp.1–20. </w:t>
      </w:r>
      <w:proofErr w:type="spellStart"/>
      <w:r w:rsidRPr="005B5CC3">
        <w:rPr>
          <w:rFonts w:cs="Times New Roman"/>
          <w:color w:val="000000"/>
          <w:kern w:val="0"/>
          <w:lang w:eastAsia="en-GB"/>
          <w14:ligatures w14:val="none"/>
        </w:rPr>
        <w:t>doi:https</w:t>
      </w:r>
      <w:proofErr w:type="spellEnd"/>
      <w:r w:rsidRPr="005B5CC3">
        <w:rPr>
          <w:rFonts w:cs="Times New Roman"/>
          <w:color w:val="000000"/>
          <w:kern w:val="0"/>
          <w:lang w:eastAsia="en-GB"/>
          <w14:ligatures w14:val="none"/>
        </w:rPr>
        <w:t>://doi.org/10.1080/13603124.2024.2369987.</w:t>
      </w:r>
    </w:p>
    <w:p w14:paraId="2F1D0E64"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Reading is fundamental (2018). Reading Is Fundamental. [online] RIF.org. Available at: https://www.rif.org/.</w:t>
      </w:r>
    </w:p>
    <w:p w14:paraId="08BDDBD6"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 xml:space="preserve">School Library Association (2024). Study reveals children are reading less than last year. [online] Sla.org.uk. Available at: </w:t>
      </w:r>
      <w:r w:rsidRPr="005B5CC3">
        <w:rPr>
          <w:rFonts w:cs="Times New Roman"/>
          <w:color w:val="000000"/>
          <w:kern w:val="0"/>
          <w:lang w:eastAsia="en-GB"/>
          <w14:ligatures w14:val="none"/>
        </w:rPr>
        <w:lastRenderedPageBreak/>
        <w:t>https://www.sla.org.uk/Services/Public/News/Articles/2024/reading-recession-study-2024.aspx.</w:t>
      </w:r>
    </w:p>
    <w:p w14:paraId="76A75B7C"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Sheldon-Dean, H. and Phillips, L. (2023). Why Is It Important to Read to Your Child? [online] Child Mind Institute. Available at: https://childmind.org/article/why-is-it-important-to-read-to-your-child/.</w:t>
      </w:r>
    </w:p>
    <w:p w14:paraId="0D6D8D79" w14:textId="77777777" w:rsidR="005B5CC3" w:rsidRPr="005B5CC3" w:rsidRDefault="005B5CC3" w:rsidP="005B5CC3">
      <w:pPr>
        <w:spacing w:after="240" w:line="360" w:lineRule="atLeast"/>
        <w:divId w:val="1563638315"/>
        <w:rPr>
          <w:rFonts w:cs="Times New Roman"/>
          <w:color w:val="000000"/>
          <w:kern w:val="0"/>
          <w:lang w:eastAsia="en-GB"/>
          <w14:ligatures w14:val="none"/>
        </w:rPr>
      </w:pPr>
      <w:proofErr w:type="spellStart"/>
      <w:r w:rsidRPr="005B5CC3">
        <w:rPr>
          <w:rFonts w:cs="Times New Roman"/>
          <w:color w:val="000000"/>
          <w:kern w:val="0"/>
          <w:lang w:eastAsia="en-GB"/>
          <w14:ligatures w14:val="none"/>
        </w:rPr>
        <w:t>Sobel</w:t>
      </w:r>
      <w:proofErr w:type="spellEnd"/>
      <w:r w:rsidRPr="005B5CC3">
        <w:rPr>
          <w:rFonts w:cs="Times New Roman"/>
          <w:color w:val="000000"/>
          <w:kern w:val="0"/>
          <w:lang w:eastAsia="en-GB"/>
          <w14:ligatures w14:val="none"/>
        </w:rPr>
        <w:t>, D. and Alston, S. (2021). The inclusive classroom : a new approach to differentiation. London: Bloomsbury Education.</w:t>
      </w:r>
    </w:p>
    <w:p w14:paraId="3ED92450" w14:textId="77777777" w:rsidR="005B5CC3" w:rsidRPr="005B5CC3" w:rsidRDefault="005B5CC3" w:rsidP="005B5CC3">
      <w:pPr>
        <w:spacing w:after="240" w:line="360" w:lineRule="atLeast"/>
        <w:divId w:val="1563638315"/>
        <w:rPr>
          <w:rFonts w:cs="Times New Roman"/>
          <w:color w:val="000000"/>
          <w:kern w:val="0"/>
          <w:lang w:eastAsia="en-GB"/>
          <w14:ligatures w14:val="none"/>
        </w:rPr>
      </w:pPr>
      <w:proofErr w:type="spellStart"/>
      <w:r w:rsidRPr="005B5CC3">
        <w:rPr>
          <w:rFonts w:cs="Times New Roman"/>
          <w:color w:val="000000"/>
          <w:kern w:val="0"/>
          <w:lang w:eastAsia="en-GB"/>
          <w14:ligatures w14:val="none"/>
        </w:rPr>
        <w:t>Taba</w:t>
      </w:r>
      <w:proofErr w:type="spellEnd"/>
      <w:r w:rsidRPr="005B5CC3">
        <w:rPr>
          <w:rFonts w:cs="Times New Roman"/>
          <w:color w:val="000000"/>
          <w:kern w:val="0"/>
          <w:lang w:eastAsia="en-GB"/>
          <w14:ligatures w14:val="none"/>
        </w:rPr>
        <w:t>, H. (1962). Curriculum development : theory and practice. London: Harcourt Brace.</w:t>
      </w:r>
    </w:p>
    <w:p w14:paraId="2B52E43C"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Tina Payne Bryson and Siegel, D.J. (2012). The whole-brain child : 12 proven strategies to nurture your child’s developing mind. London: Robinson.</w:t>
      </w:r>
    </w:p>
    <w:p w14:paraId="260A9D1A"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 xml:space="preserve">Topping, K. (2015). Using Peer Tutoring to Improve Reading Skills. </w:t>
      </w:r>
      <w:proofErr w:type="spellStart"/>
      <w:r w:rsidRPr="005B5CC3">
        <w:rPr>
          <w:rFonts w:cs="Times New Roman"/>
          <w:color w:val="000000"/>
          <w:kern w:val="0"/>
          <w:lang w:eastAsia="en-GB"/>
          <w14:ligatures w14:val="none"/>
        </w:rPr>
        <w:t>Routledge</w:t>
      </w:r>
      <w:proofErr w:type="spellEnd"/>
      <w:r w:rsidRPr="005B5CC3">
        <w:rPr>
          <w:rFonts w:cs="Times New Roman"/>
          <w:color w:val="000000"/>
          <w:kern w:val="0"/>
          <w:lang w:eastAsia="en-GB"/>
          <w14:ligatures w14:val="none"/>
        </w:rPr>
        <w:t>.</w:t>
      </w:r>
    </w:p>
    <w:p w14:paraId="0039B6FB"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 xml:space="preserve">Torres, R.T., </w:t>
      </w:r>
      <w:proofErr w:type="spellStart"/>
      <w:r w:rsidRPr="005B5CC3">
        <w:rPr>
          <w:rFonts w:cs="Times New Roman"/>
          <w:color w:val="000000"/>
          <w:kern w:val="0"/>
          <w:lang w:eastAsia="en-GB"/>
          <w14:ligatures w14:val="none"/>
        </w:rPr>
        <w:t>Preskill</w:t>
      </w:r>
      <w:proofErr w:type="spellEnd"/>
      <w:r w:rsidRPr="005B5CC3">
        <w:rPr>
          <w:rFonts w:cs="Times New Roman"/>
          <w:color w:val="000000"/>
          <w:kern w:val="0"/>
          <w:lang w:eastAsia="en-GB"/>
          <w14:ligatures w14:val="none"/>
        </w:rPr>
        <w:t xml:space="preserve">, H. and </w:t>
      </w:r>
      <w:proofErr w:type="spellStart"/>
      <w:r w:rsidRPr="005B5CC3">
        <w:rPr>
          <w:rFonts w:cs="Times New Roman"/>
          <w:color w:val="000000"/>
          <w:kern w:val="0"/>
          <w:lang w:eastAsia="en-GB"/>
          <w14:ligatures w14:val="none"/>
        </w:rPr>
        <w:t>Piontek</w:t>
      </w:r>
      <w:proofErr w:type="spellEnd"/>
      <w:r w:rsidRPr="005B5CC3">
        <w:rPr>
          <w:rFonts w:cs="Times New Roman"/>
          <w:color w:val="000000"/>
          <w:kern w:val="0"/>
          <w:lang w:eastAsia="en-GB"/>
          <w14:ligatures w14:val="none"/>
        </w:rPr>
        <w:t>, M.E. (2004). Evaluation Strategies for Communicating and Reporting. SAGE Publications.</w:t>
      </w:r>
    </w:p>
    <w:p w14:paraId="412D6811"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UNICEF (2022). The Convention on the Rights of the child: the Children’s Version. [online] UNICEF. Available at: https://www.unicef.org/child-rights-convention/convention-text-childrens-version.</w:t>
      </w:r>
    </w:p>
    <w:p w14:paraId="05FE2674"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University of Exeter (2023). Reading project pairing old and young boosts well-being among children and the elderly, analysis shows. [online] Phys.org. Available at: https://phys.org/news/2023-01-pairing-young-boosts-well-being-children.html.</w:t>
      </w:r>
    </w:p>
    <w:p w14:paraId="0215DC94" w14:textId="77777777" w:rsidR="005B5CC3" w:rsidRPr="005B5CC3" w:rsidRDefault="005B5CC3" w:rsidP="005B5CC3">
      <w:pPr>
        <w:spacing w:after="240" w:line="360" w:lineRule="atLeast"/>
        <w:divId w:val="1563638315"/>
        <w:rPr>
          <w:rFonts w:cs="Times New Roman"/>
          <w:color w:val="000000"/>
          <w:kern w:val="0"/>
          <w:lang w:eastAsia="en-GB"/>
          <w14:ligatures w14:val="none"/>
        </w:rPr>
      </w:pPr>
      <w:proofErr w:type="spellStart"/>
      <w:r w:rsidRPr="005B5CC3">
        <w:rPr>
          <w:rFonts w:cs="Times New Roman"/>
          <w:color w:val="000000"/>
          <w:kern w:val="0"/>
          <w:lang w:eastAsia="en-GB"/>
          <w14:ligatures w14:val="none"/>
        </w:rPr>
        <w:t>Vanderven</w:t>
      </w:r>
      <w:proofErr w:type="spellEnd"/>
      <w:r w:rsidRPr="005B5CC3">
        <w:rPr>
          <w:rFonts w:cs="Times New Roman"/>
          <w:color w:val="000000"/>
          <w:kern w:val="0"/>
          <w:lang w:eastAsia="en-GB"/>
          <w14:ligatures w14:val="none"/>
        </w:rPr>
        <w:t xml:space="preserve">, K. (2011). The Road to Intergenerational Theory is Under Construction: A Continuing Story. Journal of Intergenerational Relationships, 9(1), pp.22–36. </w:t>
      </w:r>
      <w:proofErr w:type="spellStart"/>
      <w:r w:rsidRPr="005B5CC3">
        <w:rPr>
          <w:rFonts w:cs="Times New Roman"/>
          <w:color w:val="000000"/>
          <w:kern w:val="0"/>
          <w:lang w:eastAsia="en-GB"/>
          <w14:ligatures w14:val="none"/>
        </w:rPr>
        <w:t>doi:https</w:t>
      </w:r>
      <w:proofErr w:type="spellEnd"/>
      <w:r w:rsidRPr="005B5CC3">
        <w:rPr>
          <w:rFonts w:cs="Times New Roman"/>
          <w:color w:val="000000"/>
          <w:kern w:val="0"/>
          <w:lang w:eastAsia="en-GB"/>
          <w14:ligatures w14:val="none"/>
        </w:rPr>
        <w:t>://doi.org/10.1080/15350770.2011.544206.</w:t>
      </w:r>
    </w:p>
    <w:p w14:paraId="1BBBC23B"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 xml:space="preserve">Welsh Government (2021). Understanding Curriculum for Wales - </w:t>
      </w:r>
      <w:proofErr w:type="spellStart"/>
      <w:r w:rsidRPr="005B5CC3">
        <w:rPr>
          <w:rFonts w:cs="Times New Roman"/>
          <w:color w:val="000000"/>
          <w:kern w:val="0"/>
          <w:lang w:eastAsia="en-GB"/>
          <w14:ligatures w14:val="none"/>
        </w:rPr>
        <w:t>Hwb</w:t>
      </w:r>
      <w:proofErr w:type="spellEnd"/>
      <w:r w:rsidRPr="005B5CC3">
        <w:rPr>
          <w:rFonts w:cs="Times New Roman"/>
          <w:color w:val="000000"/>
          <w:kern w:val="0"/>
          <w:lang w:eastAsia="en-GB"/>
          <w14:ligatures w14:val="none"/>
        </w:rPr>
        <w:t>. [online] Gov.wales. Available at: https://hwb.gov.wales/curriculum-for-wales/understanding-curriculum-in-practice-camau-ir-dyfodol/understanding-curriculum-for-wales.</w:t>
      </w:r>
    </w:p>
    <w:p w14:paraId="0D170836" w14:textId="77777777" w:rsidR="005B5CC3" w:rsidRPr="005B5CC3" w:rsidRDefault="005B5CC3" w:rsidP="005B5CC3">
      <w:pPr>
        <w:spacing w:after="240" w:line="360" w:lineRule="atLeast"/>
        <w:divId w:val="1563638315"/>
        <w:rPr>
          <w:rFonts w:cs="Times New Roman"/>
          <w:color w:val="000000"/>
          <w:kern w:val="0"/>
          <w:lang w:eastAsia="en-GB"/>
          <w14:ligatures w14:val="none"/>
        </w:rPr>
      </w:pPr>
      <w:r w:rsidRPr="005B5CC3">
        <w:rPr>
          <w:rFonts w:cs="Times New Roman"/>
          <w:color w:val="000000"/>
          <w:kern w:val="0"/>
          <w:lang w:eastAsia="en-GB"/>
          <w14:ligatures w14:val="none"/>
        </w:rPr>
        <w:t xml:space="preserve">Welsh Government (2022). Curriculum for Wales . [online] </w:t>
      </w:r>
      <w:proofErr w:type="spellStart"/>
      <w:r w:rsidRPr="005B5CC3">
        <w:rPr>
          <w:rFonts w:cs="Times New Roman"/>
          <w:color w:val="000000"/>
          <w:kern w:val="0"/>
          <w:lang w:eastAsia="en-GB"/>
          <w14:ligatures w14:val="none"/>
        </w:rPr>
        <w:t>hwb.gov.wales</w:t>
      </w:r>
      <w:proofErr w:type="spellEnd"/>
      <w:r w:rsidRPr="005B5CC3">
        <w:rPr>
          <w:rFonts w:cs="Times New Roman"/>
          <w:color w:val="000000"/>
          <w:kern w:val="0"/>
          <w:lang w:eastAsia="en-GB"/>
          <w14:ligatures w14:val="none"/>
        </w:rPr>
        <w:t>. Available at: https://hwb.gov.wales/curriculum-for-wales.</w:t>
      </w:r>
    </w:p>
    <w:p w14:paraId="3729DB03" w14:textId="775E4036" w:rsidR="00421B23" w:rsidRDefault="00421B23" w:rsidP="0000375B"/>
    <w:p w14:paraId="75D245FC" w14:textId="77777777" w:rsidR="00421B23" w:rsidRDefault="00421B23">
      <w:r>
        <w:br w:type="page"/>
      </w:r>
    </w:p>
    <w:p w14:paraId="01857175" w14:textId="5181EFB0" w:rsidR="0000375B" w:rsidRDefault="00421B23" w:rsidP="0000375B">
      <w:pPr>
        <w:rPr>
          <w:b/>
          <w:bCs/>
          <w:u w:val="single"/>
        </w:rPr>
      </w:pPr>
      <w:r>
        <w:rPr>
          <w:b/>
          <w:bCs/>
          <w:u w:val="single"/>
        </w:rPr>
        <w:lastRenderedPageBreak/>
        <w:t xml:space="preserve">Appendix </w:t>
      </w:r>
      <w:r w:rsidR="00AB5276">
        <w:rPr>
          <w:b/>
          <w:bCs/>
          <w:u w:val="single"/>
        </w:rPr>
        <w:t xml:space="preserve">– </w:t>
      </w:r>
    </w:p>
    <w:p w14:paraId="1E8EA1F8" w14:textId="6F507485" w:rsidR="00AB5276" w:rsidRDefault="0031213A" w:rsidP="0000375B">
      <w:pPr>
        <w:rPr>
          <w:b/>
          <w:bCs/>
          <w:u w:val="single"/>
        </w:rPr>
      </w:pPr>
      <w:r>
        <w:rPr>
          <w:b/>
          <w:bCs/>
          <w:noProof/>
          <w:u w:val="single"/>
        </w:rPr>
        <w:drawing>
          <wp:anchor distT="0" distB="0" distL="114300" distR="114300" simplePos="0" relativeHeight="251659264" behindDoc="0" locked="0" layoutInCell="1" allowOverlap="1" wp14:anchorId="7C930567" wp14:editId="3B4856C9">
            <wp:simplePos x="0" y="0"/>
            <wp:positionH relativeFrom="column">
              <wp:posOffset>0</wp:posOffset>
            </wp:positionH>
            <wp:positionV relativeFrom="paragraph">
              <wp:posOffset>313055</wp:posOffset>
            </wp:positionV>
            <wp:extent cx="5731510" cy="2894965"/>
            <wp:effectExtent l="0" t="0" r="0" b="635"/>
            <wp:wrapTopAndBottom/>
            <wp:docPr id="246888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888481" name="Picture 24688848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94965"/>
                    </a:xfrm>
                    <a:prstGeom prst="rect">
                      <a:avLst/>
                    </a:prstGeom>
                  </pic:spPr>
                </pic:pic>
              </a:graphicData>
            </a:graphic>
          </wp:anchor>
        </w:drawing>
      </w:r>
    </w:p>
    <w:p w14:paraId="2C3E2AA1" w14:textId="77777777" w:rsidR="00421B23" w:rsidRPr="00421B23" w:rsidRDefault="00421B23" w:rsidP="0000375B">
      <w:pPr>
        <w:rPr>
          <w:b/>
          <w:bCs/>
          <w:u w:val="single"/>
        </w:rPr>
      </w:pPr>
    </w:p>
    <w:p w14:paraId="00FCD18B" w14:textId="559FCBEB" w:rsidR="000C541C" w:rsidRDefault="0031213A" w:rsidP="00DD5969">
      <w:pPr>
        <w:rPr>
          <w:sz w:val="16"/>
          <w:szCs w:val="16"/>
        </w:rPr>
      </w:pPr>
      <w:r>
        <w:rPr>
          <w:sz w:val="16"/>
          <w:szCs w:val="16"/>
        </w:rPr>
        <w:t xml:space="preserve">Appendix 1 – SWOT </w:t>
      </w:r>
      <w:r w:rsidR="00CE1E76">
        <w:rPr>
          <w:sz w:val="16"/>
          <w:szCs w:val="16"/>
        </w:rPr>
        <w:t>analysis</w:t>
      </w:r>
    </w:p>
    <w:p w14:paraId="6EA9A853" w14:textId="77777777" w:rsidR="0000375B" w:rsidRDefault="0000375B" w:rsidP="00DD5969">
      <w:pPr>
        <w:rPr>
          <w:sz w:val="16"/>
          <w:szCs w:val="16"/>
        </w:rPr>
      </w:pPr>
    </w:p>
    <w:p w14:paraId="32F37250" w14:textId="77777777" w:rsidR="0000375B" w:rsidRPr="00B103B9" w:rsidRDefault="0000375B" w:rsidP="00DD5969">
      <w:pPr>
        <w:rPr>
          <w:sz w:val="16"/>
          <w:szCs w:val="16"/>
        </w:rPr>
      </w:pP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SFUI-Bold">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F1EFB"/>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52EC715E"/>
    <w:multiLevelType w:val="hybridMultilevel"/>
    <w:tmpl w:val="2CDAF41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8E43FD"/>
    <w:multiLevelType w:val="hybridMultilevel"/>
    <w:tmpl w:val="F2AE9DB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390A2E"/>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7AE450B3"/>
    <w:multiLevelType w:val="hybridMultilevel"/>
    <w:tmpl w:val="C89A35A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5380070">
    <w:abstractNumId w:val="1"/>
  </w:num>
  <w:num w:numId="2" w16cid:durableId="644745782">
    <w:abstractNumId w:val="4"/>
  </w:num>
  <w:num w:numId="3" w16cid:durableId="720322515">
    <w:abstractNumId w:val="3"/>
  </w:num>
  <w:num w:numId="4" w16cid:durableId="1036849855">
    <w:abstractNumId w:val="0"/>
  </w:num>
  <w:num w:numId="5" w16cid:durableId="1063955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45170"/>
    <w:rsid w:val="00061BBC"/>
    <w:rsid w:val="00063ADC"/>
    <w:rsid w:val="0007198D"/>
    <w:rsid w:val="000A2E17"/>
    <w:rsid w:val="000A470F"/>
    <w:rsid w:val="000B4A89"/>
    <w:rsid w:val="000C144A"/>
    <w:rsid w:val="000C541C"/>
    <w:rsid w:val="000C68CB"/>
    <w:rsid w:val="000D5B34"/>
    <w:rsid w:val="0010406A"/>
    <w:rsid w:val="001118FB"/>
    <w:rsid w:val="00115538"/>
    <w:rsid w:val="00135DD1"/>
    <w:rsid w:val="001819DF"/>
    <w:rsid w:val="001B086C"/>
    <w:rsid w:val="001C6E70"/>
    <w:rsid w:val="00262DC1"/>
    <w:rsid w:val="002C05B1"/>
    <w:rsid w:val="002F243A"/>
    <w:rsid w:val="00301906"/>
    <w:rsid w:val="00302BB1"/>
    <w:rsid w:val="0031213A"/>
    <w:rsid w:val="00325170"/>
    <w:rsid w:val="003341DF"/>
    <w:rsid w:val="00347EA1"/>
    <w:rsid w:val="00382546"/>
    <w:rsid w:val="003A709B"/>
    <w:rsid w:val="003D223A"/>
    <w:rsid w:val="00417AB6"/>
    <w:rsid w:val="00421B23"/>
    <w:rsid w:val="004619E3"/>
    <w:rsid w:val="004D474C"/>
    <w:rsid w:val="00536CFB"/>
    <w:rsid w:val="00543F5E"/>
    <w:rsid w:val="00584970"/>
    <w:rsid w:val="005B5CC3"/>
    <w:rsid w:val="005B783A"/>
    <w:rsid w:val="005F42D0"/>
    <w:rsid w:val="005F73F6"/>
    <w:rsid w:val="005F7C42"/>
    <w:rsid w:val="0062310A"/>
    <w:rsid w:val="0063799F"/>
    <w:rsid w:val="00664B16"/>
    <w:rsid w:val="006B52C3"/>
    <w:rsid w:val="007203C3"/>
    <w:rsid w:val="007352C0"/>
    <w:rsid w:val="00743752"/>
    <w:rsid w:val="007930AE"/>
    <w:rsid w:val="007B131E"/>
    <w:rsid w:val="007D3AE1"/>
    <w:rsid w:val="007E01E0"/>
    <w:rsid w:val="00803155"/>
    <w:rsid w:val="00835D51"/>
    <w:rsid w:val="00840BEE"/>
    <w:rsid w:val="00851EDB"/>
    <w:rsid w:val="008C483B"/>
    <w:rsid w:val="008E16C2"/>
    <w:rsid w:val="008F1086"/>
    <w:rsid w:val="009060A0"/>
    <w:rsid w:val="0091355A"/>
    <w:rsid w:val="00917008"/>
    <w:rsid w:val="00935B8D"/>
    <w:rsid w:val="009737EF"/>
    <w:rsid w:val="009B164A"/>
    <w:rsid w:val="00A23D6E"/>
    <w:rsid w:val="00AB5276"/>
    <w:rsid w:val="00AC70B9"/>
    <w:rsid w:val="00AD7313"/>
    <w:rsid w:val="00AE2AA9"/>
    <w:rsid w:val="00AE3307"/>
    <w:rsid w:val="00AF5877"/>
    <w:rsid w:val="00B01AF8"/>
    <w:rsid w:val="00B028A8"/>
    <w:rsid w:val="00B103B9"/>
    <w:rsid w:val="00B414E2"/>
    <w:rsid w:val="00B51B61"/>
    <w:rsid w:val="00B66BD8"/>
    <w:rsid w:val="00B724BB"/>
    <w:rsid w:val="00BE2A35"/>
    <w:rsid w:val="00BE3554"/>
    <w:rsid w:val="00C129B8"/>
    <w:rsid w:val="00C152DC"/>
    <w:rsid w:val="00C24461"/>
    <w:rsid w:val="00C2550A"/>
    <w:rsid w:val="00C3396D"/>
    <w:rsid w:val="00C4699D"/>
    <w:rsid w:val="00C56B7B"/>
    <w:rsid w:val="00CE1E76"/>
    <w:rsid w:val="00CF32AC"/>
    <w:rsid w:val="00D24ADF"/>
    <w:rsid w:val="00D24DD2"/>
    <w:rsid w:val="00D26517"/>
    <w:rsid w:val="00DC55F3"/>
    <w:rsid w:val="00DD5969"/>
    <w:rsid w:val="00E10797"/>
    <w:rsid w:val="00E243A8"/>
    <w:rsid w:val="00E6747C"/>
    <w:rsid w:val="00E80A5A"/>
    <w:rsid w:val="00EA0B9A"/>
    <w:rsid w:val="00EA15D1"/>
    <w:rsid w:val="00EA6220"/>
    <w:rsid w:val="00EC1771"/>
    <w:rsid w:val="00F8089C"/>
    <w:rsid w:val="00F934CF"/>
    <w:rsid w:val="00FD38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414E2"/>
    <w:rPr>
      <w:color w:val="467886" w:themeColor="hyperlink"/>
      <w:u w:val="single"/>
    </w:rPr>
  </w:style>
  <w:style w:type="paragraph" w:customStyle="1" w:styleId="p1">
    <w:name w:val="p1"/>
    <w:basedOn w:val="Normal"/>
    <w:rsid w:val="005F73F6"/>
    <w:pPr>
      <w:spacing w:after="255" w:line="240" w:lineRule="auto"/>
    </w:pPr>
    <w:rPr>
      <w:rFonts w:ascii=".AppleSystemUIFont" w:hAnsi=".AppleSystemUIFont" w:cs="Times New Roman"/>
      <w:color w:val="000000"/>
      <w:kern w:val="0"/>
      <w:sz w:val="26"/>
      <w:szCs w:val="26"/>
      <w:lang w:eastAsia="en-GB"/>
      <w14:ligatures w14:val="none"/>
    </w:rPr>
  </w:style>
  <w:style w:type="paragraph" w:customStyle="1" w:styleId="p2">
    <w:name w:val="p2"/>
    <w:basedOn w:val="Normal"/>
    <w:rsid w:val="005F73F6"/>
    <w:pPr>
      <w:spacing w:after="255" w:line="240" w:lineRule="auto"/>
    </w:pPr>
    <w:rPr>
      <w:rFonts w:ascii=".AppleSystemUIFont" w:hAnsi=".AppleSystemUIFont" w:cs="Times New Roman"/>
      <w:color w:val="000000"/>
      <w:kern w:val="0"/>
      <w:sz w:val="26"/>
      <w:szCs w:val="26"/>
      <w:lang w:eastAsia="en-GB"/>
      <w14:ligatures w14:val="none"/>
    </w:rPr>
  </w:style>
  <w:style w:type="character" w:customStyle="1" w:styleId="s1">
    <w:name w:val="s1"/>
    <w:basedOn w:val="DefaultParagraphFont"/>
    <w:rsid w:val="005F73F6"/>
    <w:rPr>
      <w:rFonts w:ascii=".SFUI-Regular" w:hAnsi=".SFUI-Regular" w:hint="default"/>
      <w:b w:val="0"/>
      <w:bCs w:val="0"/>
      <w:i w:val="0"/>
      <w:iCs w:val="0"/>
      <w:sz w:val="26"/>
      <w:szCs w:val="26"/>
    </w:rPr>
  </w:style>
  <w:style w:type="character" w:customStyle="1" w:styleId="s2">
    <w:name w:val="s2"/>
    <w:basedOn w:val="DefaultParagraphFont"/>
    <w:rsid w:val="005F73F6"/>
    <w:rPr>
      <w:rFonts w:ascii=".SFUI-Bold" w:hAnsi=".SFUI-Bold" w:hint="default"/>
      <w:b/>
      <w:bCs/>
      <w:i w:val="0"/>
      <w:iCs w:val="0"/>
      <w:sz w:val="26"/>
      <w:szCs w:val="26"/>
    </w:rPr>
  </w:style>
  <w:style w:type="character" w:customStyle="1" w:styleId="apple-converted-space">
    <w:name w:val="apple-converted-space"/>
    <w:basedOn w:val="DefaultParagraphFont"/>
    <w:rsid w:val="005F73F6"/>
  </w:style>
  <w:style w:type="paragraph" w:styleId="NormalWeb">
    <w:name w:val="Normal (Web)"/>
    <w:basedOn w:val="Normal"/>
    <w:uiPriority w:val="99"/>
    <w:semiHidden/>
    <w:unhideWhenUsed/>
    <w:rsid w:val="005B5CC3"/>
    <w:pPr>
      <w:spacing w:before="100" w:beforeAutospacing="1" w:after="100" w:afterAutospacing="1" w:line="240" w:lineRule="auto"/>
    </w:pPr>
    <w:rPr>
      <w:rFonts w:ascii="Times New Roman" w:hAnsi="Times New Roman" w:cs="Times New Roman"/>
      <w:kern w:val="0"/>
      <w:lang w:eastAsia="en-GB"/>
      <w14:ligatures w14:val="none"/>
    </w:rPr>
  </w:style>
  <w:style w:type="paragraph" w:customStyle="1" w:styleId="li1">
    <w:name w:val="li1"/>
    <w:basedOn w:val="Normal"/>
    <w:rsid w:val="000B4A89"/>
    <w:pPr>
      <w:spacing w:after="0" w:line="240" w:lineRule="auto"/>
    </w:pPr>
    <w:rPr>
      <w:rFonts w:ascii="Helvetica" w:hAnsi="Helvetica" w:cs="Times New Roman"/>
      <w:kern w:val="0"/>
      <w:sz w:val="18"/>
      <w:szCs w:val="1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318656">
      <w:bodyDiv w:val="1"/>
      <w:marLeft w:val="0"/>
      <w:marRight w:val="0"/>
      <w:marTop w:val="0"/>
      <w:marBottom w:val="0"/>
      <w:divBdr>
        <w:top w:val="none" w:sz="0" w:space="0" w:color="auto"/>
        <w:left w:val="none" w:sz="0" w:space="0" w:color="auto"/>
        <w:bottom w:val="none" w:sz="0" w:space="0" w:color="auto"/>
        <w:right w:val="none" w:sz="0" w:space="0" w:color="auto"/>
      </w:divBdr>
    </w:div>
    <w:div w:id="185681713">
      <w:bodyDiv w:val="1"/>
      <w:marLeft w:val="0"/>
      <w:marRight w:val="0"/>
      <w:marTop w:val="0"/>
      <w:marBottom w:val="0"/>
      <w:divBdr>
        <w:top w:val="none" w:sz="0" w:space="0" w:color="auto"/>
        <w:left w:val="none" w:sz="0" w:space="0" w:color="auto"/>
        <w:bottom w:val="none" w:sz="0" w:space="0" w:color="auto"/>
        <w:right w:val="none" w:sz="0" w:space="0" w:color="auto"/>
      </w:divBdr>
      <w:divsChild>
        <w:div w:id="1563638315">
          <w:marLeft w:val="0"/>
          <w:marRight w:val="0"/>
          <w:marTop w:val="0"/>
          <w:marBottom w:val="0"/>
          <w:divBdr>
            <w:top w:val="none" w:sz="0" w:space="0" w:color="auto"/>
            <w:left w:val="none" w:sz="0" w:space="0" w:color="auto"/>
            <w:bottom w:val="none" w:sz="0" w:space="0" w:color="auto"/>
            <w:right w:val="none" w:sz="0" w:space="0" w:color="auto"/>
          </w:divBdr>
        </w:div>
      </w:divsChild>
    </w:div>
    <w:div w:id="1370105461">
      <w:bodyDiv w:val="1"/>
      <w:marLeft w:val="0"/>
      <w:marRight w:val="0"/>
      <w:marTop w:val="0"/>
      <w:marBottom w:val="0"/>
      <w:divBdr>
        <w:top w:val="none" w:sz="0" w:space="0" w:color="auto"/>
        <w:left w:val="none" w:sz="0" w:space="0" w:color="auto"/>
        <w:bottom w:val="none" w:sz="0" w:space="0" w:color="auto"/>
        <w:right w:val="none" w:sz="0" w:space="0" w:color="auto"/>
      </w:divBdr>
    </w:div>
    <w:div w:id="1394233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mybib.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rammarly.com/"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4428</Words>
  <Characters>25244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Charlotte Howell (2308966)</cp:lastModifiedBy>
  <cp:revision>2</cp:revision>
  <dcterms:created xsi:type="dcterms:W3CDTF">2025-05-06T22:27:00Z</dcterms:created>
  <dcterms:modified xsi:type="dcterms:W3CDTF">2025-05-06T22:27:00Z</dcterms:modified>
</cp:coreProperties>
</file>