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884787" w14:textId="77777777" w:rsidR="008D07EA" w:rsidRPr="008D07EA" w:rsidRDefault="008D07EA" w:rsidP="0022622B">
      <w:pPr>
        <w:spacing w:before="100" w:beforeAutospacing="1" w:after="100" w:afterAutospacing="1"/>
        <w:outlineLvl w:val="2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t>Blank Tables</w:t>
      </w:r>
    </w:p>
    <w:p w14:paraId="162CFEC1" w14:textId="77777777" w:rsidR="008D07EA" w:rsidRPr="008D07EA" w:rsidRDefault="008D07EA" w:rsidP="0022622B">
      <w:pPr>
        <w:spacing w:before="100" w:beforeAutospacing="1" w:after="100" w:afterAutospacing="1"/>
        <w:outlineLvl w:val="3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t>Table 1: Employee Satisfaction During Organisational Change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056"/>
        <w:gridCol w:w="1181"/>
        <w:gridCol w:w="1645"/>
        <w:gridCol w:w="1606"/>
        <w:gridCol w:w="2968"/>
      </w:tblGrid>
      <w:tr w:rsidR="0022622B" w:rsidRPr="008D07EA" w14:paraId="49EBC4F4" w14:textId="77777777" w:rsidTr="008D07EA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735FD7D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4D4A9A46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Positivism</w:t>
            </w:r>
          </w:p>
        </w:tc>
        <w:tc>
          <w:tcPr>
            <w:tcW w:w="0" w:type="auto"/>
            <w:vAlign w:val="center"/>
            <w:hideMark/>
          </w:tcPr>
          <w:p w14:paraId="420D3E8E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proofErr w:type="spellStart"/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Postpositivism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125A03C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Critical Theory et al.</w:t>
            </w:r>
          </w:p>
        </w:tc>
        <w:tc>
          <w:tcPr>
            <w:tcW w:w="0" w:type="auto"/>
            <w:vAlign w:val="center"/>
            <w:hideMark/>
          </w:tcPr>
          <w:p w14:paraId="6B80DEAF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Interpretivist/Constructivist</w:t>
            </w:r>
          </w:p>
        </w:tc>
      </w:tr>
      <w:tr w:rsidR="0022622B" w:rsidRPr="008D07EA" w14:paraId="09721E4B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EF9556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Ontology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is reality?)</w:t>
            </w:r>
          </w:p>
        </w:tc>
        <w:tc>
          <w:tcPr>
            <w:tcW w:w="0" w:type="auto"/>
            <w:vAlign w:val="center"/>
            <w:hideMark/>
          </w:tcPr>
          <w:p w14:paraId="2640F62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252F53CA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23AE3344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6CF18B19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2D7F8BD4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00DF69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Epistemology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know things?)</w:t>
            </w:r>
          </w:p>
        </w:tc>
        <w:tc>
          <w:tcPr>
            <w:tcW w:w="0" w:type="auto"/>
            <w:vAlign w:val="center"/>
            <w:hideMark/>
          </w:tcPr>
          <w:p w14:paraId="0E87B9E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07F2B499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05070C7B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7A76755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02DD78D9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2410F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Axiology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role do values play?)</w:t>
            </w:r>
          </w:p>
        </w:tc>
        <w:tc>
          <w:tcPr>
            <w:tcW w:w="0" w:type="auto"/>
            <w:vAlign w:val="center"/>
            <w:hideMark/>
          </w:tcPr>
          <w:p w14:paraId="2FABC27A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6B5087A0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0B70060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63A31806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5CC222BA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571C812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Methodology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study it?)</w:t>
            </w:r>
          </w:p>
        </w:tc>
        <w:tc>
          <w:tcPr>
            <w:tcW w:w="0" w:type="auto"/>
            <w:vAlign w:val="center"/>
            <w:hideMark/>
          </w:tcPr>
          <w:p w14:paraId="79150699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36AB04EC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59E8AB46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4DFF7897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5BCA1CAE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EBB2CAA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What can be measured?</w:t>
            </w:r>
          </w:p>
        </w:tc>
        <w:tc>
          <w:tcPr>
            <w:tcW w:w="0" w:type="auto"/>
            <w:vAlign w:val="center"/>
            <w:hideMark/>
          </w:tcPr>
          <w:p w14:paraId="0DAD293D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4713B47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59FF38FB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2F39E9C6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</w:tbl>
    <w:p w14:paraId="73BB318C" w14:textId="77777777" w:rsidR="008D07EA" w:rsidRPr="008D07EA" w:rsidRDefault="008D07EA" w:rsidP="0022622B">
      <w:pPr>
        <w:rPr>
          <w:rFonts w:asciiTheme="minorBidi" w:hAnsiTheme="minorBidi" w:cstheme="minorBidi"/>
          <w:sz w:val="22"/>
          <w:szCs w:val="22"/>
        </w:rPr>
      </w:pPr>
      <w:r w:rsidRPr="008D07EA">
        <w:rPr>
          <w:rFonts w:asciiTheme="minorBidi" w:hAnsiTheme="minorBidi" w:cstheme="minorBidi"/>
          <w:sz w:val="22"/>
          <w:szCs w:val="22"/>
        </w:rPr>
        <w:pict w14:anchorId="7170BB8D">
          <v:rect id="_x0000_i1025" style="width:0;height:1.5pt" o:hrstd="t" o:hr="t" fillcolor="#a0a0a0" stroked="f"/>
        </w:pict>
      </w:r>
    </w:p>
    <w:p w14:paraId="6F68CF1A" w14:textId="77777777" w:rsidR="008D07EA" w:rsidRPr="008D07EA" w:rsidRDefault="008D07EA" w:rsidP="0022622B">
      <w:pPr>
        <w:spacing w:before="100" w:beforeAutospacing="1" w:after="100" w:afterAutospacing="1"/>
        <w:outlineLvl w:val="3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t>Table 2: Leadership Effectiveness in Virtual Teams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056"/>
        <w:gridCol w:w="1181"/>
        <w:gridCol w:w="1645"/>
        <w:gridCol w:w="1606"/>
        <w:gridCol w:w="2968"/>
      </w:tblGrid>
      <w:tr w:rsidR="0022622B" w:rsidRPr="008D07EA" w14:paraId="60913A9A" w14:textId="77777777" w:rsidTr="008D07EA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2DE1368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3C9B331B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Positivism</w:t>
            </w:r>
          </w:p>
        </w:tc>
        <w:tc>
          <w:tcPr>
            <w:tcW w:w="0" w:type="auto"/>
            <w:vAlign w:val="center"/>
            <w:hideMark/>
          </w:tcPr>
          <w:p w14:paraId="290460BC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proofErr w:type="spellStart"/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Postpositivism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27FFE28B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Critical Theory et al.</w:t>
            </w:r>
          </w:p>
        </w:tc>
        <w:tc>
          <w:tcPr>
            <w:tcW w:w="0" w:type="auto"/>
            <w:vAlign w:val="center"/>
            <w:hideMark/>
          </w:tcPr>
          <w:p w14:paraId="1EA2A499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Interpretivist/Constructivist</w:t>
            </w:r>
          </w:p>
        </w:tc>
      </w:tr>
      <w:tr w:rsidR="0022622B" w:rsidRPr="008D07EA" w14:paraId="2DE7F224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E82088D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Ontology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is reality?)</w:t>
            </w:r>
          </w:p>
        </w:tc>
        <w:tc>
          <w:tcPr>
            <w:tcW w:w="0" w:type="auto"/>
            <w:vAlign w:val="center"/>
            <w:hideMark/>
          </w:tcPr>
          <w:p w14:paraId="1D8EE490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0DE32BE7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5F17EA3F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33826EF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6F499085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64124F2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Epistemology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know things?)</w:t>
            </w:r>
          </w:p>
        </w:tc>
        <w:tc>
          <w:tcPr>
            <w:tcW w:w="0" w:type="auto"/>
            <w:vAlign w:val="center"/>
            <w:hideMark/>
          </w:tcPr>
          <w:p w14:paraId="7C3337E5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53F4402E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5C4F057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5E90ACFF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677A2297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3A2F0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Axiology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role do values play?)</w:t>
            </w:r>
          </w:p>
        </w:tc>
        <w:tc>
          <w:tcPr>
            <w:tcW w:w="0" w:type="auto"/>
            <w:vAlign w:val="center"/>
            <w:hideMark/>
          </w:tcPr>
          <w:p w14:paraId="772A40C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2B033502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3515622C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106400AA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162B9D2D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38DFAD5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Methodology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study it?)</w:t>
            </w:r>
          </w:p>
        </w:tc>
        <w:tc>
          <w:tcPr>
            <w:tcW w:w="0" w:type="auto"/>
            <w:vAlign w:val="center"/>
            <w:hideMark/>
          </w:tcPr>
          <w:p w14:paraId="08DCA08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130680FB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7B8EEA4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34BEC8D7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30C69591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2397C40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What can be measured?</w:t>
            </w:r>
          </w:p>
        </w:tc>
        <w:tc>
          <w:tcPr>
            <w:tcW w:w="0" w:type="auto"/>
            <w:vAlign w:val="center"/>
            <w:hideMark/>
          </w:tcPr>
          <w:p w14:paraId="12605FDF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164A9F7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47D46D9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3B7C75F9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</w:tbl>
    <w:p w14:paraId="4D64B9C9" w14:textId="77777777" w:rsidR="008D07EA" w:rsidRPr="008D07EA" w:rsidRDefault="008D07EA" w:rsidP="0022622B">
      <w:pPr>
        <w:rPr>
          <w:rFonts w:asciiTheme="minorBidi" w:hAnsiTheme="minorBidi" w:cstheme="minorBidi"/>
          <w:sz w:val="22"/>
          <w:szCs w:val="22"/>
        </w:rPr>
      </w:pPr>
      <w:r w:rsidRPr="008D07EA">
        <w:rPr>
          <w:rFonts w:asciiTheme="minorBidi" w:hAnsiTheme="minorBidi" w:cstheme="minorBidi"/>
          <w:sz w:val="22"/>
          <w:szCs w:val="22"/>
        </w:rPr>
        <w:pict w14:anchorId="0CD812C0">
          <v:rect id="_x0000_i1026" style="width:0;height:1.5pt" o:hrstd="t" o:hr="t" fillcolor="#a0a0a0" stroked="f"/>
        </w:pict>
      </w:r>
    </w:p>
    <w:p w14:paraId="32197CC1" w14:textId="77777777" w:rsidR="008D07EA" w:rsidRPr="008D07EA" w:rsidRDefault="008D07EA" w:rsidP="0022622B">
      <w:pPr>
        <w:rPr>
          <w:rFonts w:asciiTheme="minorBidi" w:hAnsiTheme="minorBidi" w:cstheme="minorBidi"/>
          <w:sz w:val="22"/>
          <w:szCs w:val="22"/>
        </w:rPr>
      </w:pPr>
      <w:r w:rsidRPr="008D07EA">
        <w:rPr>
          <w:rFonts w:asciiTheme="minorBidi" w:hAnsiTheme="minorBidi" w:cstheme="minorBidi"/>
          <w:sz w:val="22"/>
          <w:szCs w:val="22"/>
        </w:rPr>
        <w:pict w14:anchorId="7EA86E56">
          <v:rect id="_x0000_i1033" style="width:0;height:1.5pt" o:hrstd="t" o:hr="t" fillcolor="#a0a0a0" stroked="f"/>
        </w:pict>
      </w:r>
    </w:p>
    <w:p w14:paraId="0F68BF5B" w14:textId="0772C613" w:rsidR="008D07EA" w:rsidRPr="008D07EA" w:rsidRDefault="008D07EA" w:rsidP="0022622B">
      <w:pPr>
        <w:spacing w:before="100" w:beforeAutospacing="1" w:after="100" w:afterAutospacing="1"/>
        <w:outlineLvl w:val="3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t xml:space="preserve">Table </w:t>
      </w:r>
      <w:r w:rsidRPr="0022622B">
        <w:rPr>
          <w:rFonts w:asciiTheme="minorBidi" w:hAnsiTheme="minorBidi" w:cstheme="minorBidi"/>
          <w:b/>
          <w:bCs/>
          <w:sz w:val="22"/>
          <w:szCs w:val="22"/>
        </w:rPr>
        <w:t>3</w:t>
      </w:r>
      <w:r w:rsidRPr="008D07EA">
        <w:rPr>
          <w:rFonts w:asciiTheme="minorBidi" w:hAnsiTheme="minorBidi" w:cstheme="minorBidi"/>
          <w:b/>
          <w:bCs/>
          <w:sz w:val="22"/>
          <w:szCs w:val="22"/>
        </w:rPr>
        <w:t>: Employee Satisfaction During Organisational Change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68"/>
        <w:gridCol w:w="2897"/>
        <w:gridCol w:w="1861"/>
        <w:gridCol w:w="2730"/>
      </w:tblGrid>
      <w:tr w:rsidR="008D07EA" w:rsidRPr="008D07EA" w14:paraId="617DE6D4" w14:textId="77777777" w:rsidTr="008D07EA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70D909B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Paradigm</w:t>
            </w:r>
          </w:p>
        </w:tc>
        <w:tc>
          <w:tcPr>
            <w:tcW w:w="0" w:type="auto"/>
            <w:vAlign w:val="center"/>
            <w:hideMark/>
          </w:tcPr>
          <w:p w14:paraId="3E71668C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What Counts as Knowledge?</w:t>
            </w:r>
          </w:p>
        </w:tc>
        <w:tc>
          <w:tcPr>
            <w:tcW w:w="0" w:type="auto"/>
            <w:vAlign w:val="center"/>
            <w:hideMark/>
          </w:tcPr>
          <w:p w14:paraId="1F77D357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How Do We Get It?</w:t>
            </w:r>
          </w:p>
        </w:tc>
        <w:tc>
          <w:tcPr>
            <w:tcW w:w="0" w:type="auto"/>
            <w:vAlign w:val="center"/>
            <w:hideMark/>
          </w:tcPr>
          <w:p w14:paraId="52F37936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How Do We Know It’s True?</w:t>
            </w:r>
          </w:p>
        </w:tc>
      </w:tr>
      <w:tr w:rsidR="008D07EA" w:rsidRPr="008D07EA" w14:paraId="56AD89DA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60D478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Positivist</w:t>
            </w:r>
          </w:p>
        </w:tc>
        <w:tc>
          <w:tcPr>
            <w:tcW w:w="0" w:type="auto"/>
            <w:vAlign w:val="center"/>
            <w:hideMark/>
          </w:tcPr>
          <w:p w14:paraId="367DF13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189AB4E7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021ABC1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8D07EA" w:rsidRPr="008D07EA" w14:paraId="0C04CB1C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A8E5A72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Post-positivist</w:t>
            </w:r>
          </w:p>
        </w:tc>
        <w:tc>
          <w:tcPr>
            <w:tcW w:w="0" w:type="auto"/>
            <w:vAlign w:val="center"/>
            <w:hideMark/>
          </w:tcPr>
          <w:p w14:paraId="2230A7A0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3F9B614B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46F04E9E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8D07EA" w:rsidRPr="008D07EA" w14:paraId="7C205331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EF09E2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Critical Theory</w:t>
            </w:r>
          </w:p>
        </w:tc>
        <w:tc>
          <w:tcPr>
            <w:tcW w:w="0" w:type="auto"/>
            <w:vAlign w:val="center"/>
            <w:hideMark/>
          </w:tcPr>
          <w:p w14:paraId="5FEF313A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764064B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1F64E134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8D07EA" w:rsidRPr="008D07EA" w14:paraId="07FD792C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F246DB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Interpretivist/Constructivist</w:t>
            </w:r>
          </w:p>
        </w:tc>
        <w:tc>
          <w:tcPr>
            <w:tcW w:w="0" w:type="auto"/>
            <w:vAlign w:val="center"/>
            <w:hideMark/>
          </w:tcPr>
          <w:p w14:paraId="339118E9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607574FD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1515FFA7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</w:tbl>
    <w:p w14:paraId="221E35BF" w14:textId="77777777" w:rsidR="008D07EA" w:rsidRPr="008D07EA" w:rsidRDefault="008D07EA" w:rsidP="0022622B">
      <w:pPr>
        <w:rPr>
          <w:rFonts w:asciiTheme="minorBidi" w:hAnsiTheme="minorBidi" w:cstheme="minorBidi"/>
          <w:sz w:val="22"/>
          <w:szCs w:val="22"/>
        </w:rPr>
      </w:pPr>
      <w:r w:rsidRPr="008D07EA">
        <w:rPr>
          <w:rFonts w:asciiTheme="minorBidi" w:hAnsiTheme="minorBidi" w:cstheme="minorBidi"/>
          <w:sz w:val="22"/>
          <w:szCs w:val="22"/>
        </w:rPr>
        <w:pict w14:anchorId="1E9DC4C4">
          <v:rect id="_x0000_i1034" style="width:0;height:1.5pt" o:hrstd="t" o:hr="t" fillcolor="#a0a0a0" stroked="f"/>
        </w:pict>
      </w:r>
    </w:p>
    <w:p w14:paraId="0F6E6EB6" w14:textId="5FE5430C" w:rsidR="008D07EA" w:rsidRPr="0022622B" w:rsidRDefault="008D07EA" w:rsidP="0022622B">
      <w:pPr>
        <w:rPr>
          <w:rFonts w:asciiTheme="minorBidi" w:hAnsiTheme="minorBidi" w:cstheme="minorBidi"/>
          <w:sz w:val="22"/>
          <w:szCs w:val="22"/>
        </w:rPr>
      </w:pPr>
      <w:r w:rsidRPr="008D07EA">
        <w:rPr>
          <w:rFonts w:asciiTheme="minorBidi" w:hAnsiTheme="minorBidi" w:cstheme="minorBidi"/>
          <w:sz w:val="22"/>
          <w:szCs w:val="22"/>
        </w:rPr>
        <w:pict w14:anchorId="25925FDB">
          <v:rect id="_x0000_i1035" style="width:0;height:1.5pt" o:hrstd="t" o:hr="t" fillcolor="#a0a0a0" stroked="f"/>
        </w:pict>
      </w:r>
    </w:p>
    <w:p w14:paraId="10285EBB" w14:textId="2361ECBF" w:rsidR="008D07EA" w:rsidRPr="008D07EA" w:rsidRDefault="008D07EA" w:rsidP="0022622B">
      <w:pPr>
        <w:spacing w:before="100" w:beforeAutospacing="1" w:after="100" w:afterAutospacing="1"/>
        <w:outlineLvl w:val="3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t xml:space="preserve">Table </w:t>
      </w:r>
      <w:r w:rsidRPr="0022622B">
        <w:rPr>
          <w:rFonts w:asciiTheme="minorBidi" w:hAnsiTheme="minorBidi" w:cstheme="minorBidi"/>
          <w:b/>
          <w:bCs/>
          <w:sz w:val="22"/>
          <w:szCs w:val="22"/>
        </w:rPr>
        <w:t>4</w:t>
      </w:r>
      <w:r w:rsidRPr="008D07EA">
        <w:rPr>
          <w:rFonts w:asciiTheme="minorBidi" w:hAnsiTheme="minorBidi" w:cstheme="minorBidi"/>
          <w:b/>
          <w:bCs/>
          <w:sz w:val="22"/>
          <w:szCs w:val="22"/>
        </w:rPr>
        <w:t>: Leadership Effectiveness in Virtual Teams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68"/>
        <w:gridCol w:w="2897"/>
        <w:gridCol w:w="1861"/>
        <w:gridCol w:w="2730"/>
      </w:tblGrid>
      <w:tr w:rsidR="0022622B" w:rsidRPr="008D07EA" w14:paraId="063E31EC" w14:textId="77777777" w:rsidTr="006713C5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821BD6E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Paradigm</w:t>
            </w:r>
          </w:p>
        </w:tc>
        <w:tc>
          <w:tcPr>
            <w:tcW w:w="0" w:type="auto"/>
            <w:vAlign w:val="center"/>
            <w:hideMark/>
          </w:tcPr>
          <w:p w14:paraId="516D1221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What Counts as Knowledge?</w:t>
            </w:r>
          </w:p>
        </w:tc>
        <w:tc>
          <w:tcPr>
            <w:tcW w:w="0" w:type="auto"/>
            <w:vAlign w:val="center"/>
            <w:hideMark/>
          </w:tcPr>
          <w:p w14:paraId="605D6EC7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How Do We Get It?</w:t>
            </w:r>
          </w:p>
        </w:tc>
        <w:tc>
          <w:tcPr>
            <w:tcW w:w="0" w:type="auto"/>
            <w:vAlign w:val="center"/>
            <w:hideMark/>
          </w:tcPr>
          <w:p w14:paraId="7B6FAC9E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How Do We Know It’s True?</w:t>
            </w:r>
          </w:p>
        </w:tc>
      </w:tr>
      <w:tr w:rsidR="0022622B" w:rsidRPr="008D07EA" w14:paraId="1DBD21CD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0DDC6A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Positivist</w:t>
            </w:r>
          </w:p>
        </w:tc>
        <w:tc>
          <w:tcPr>
            <w:tcW w:w="0" w:type="auto"/>
            <w:vAlign w:val="center"/>
            <w:hideMark/>
          </w:tcPr>
          <w:p w14:paraId="7DCD9264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5275F5E5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12673DDE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55AC4D91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BC6792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Post-positivist</w:t>
            </w:r>
          </w:p>
        </w:tc>
        <w:tc>
          <w:tcPr>
            <w:tcW w:w="0" w:type="auto"/>
            <w:vAlign w:val="center"/>
            <w:hideMark/>
          </w:tcPr>
          <w:p w14:paraId="0821E805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17CEB334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6FBD8BE2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1E359362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E28A63E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Critical Theory</w:t>
            </w:r>
          </w:p>
        </w:tc>
        <w:tc>
          <w:tcPr>
            <w:tcW w:w="0" w:type="auto"/>
            <w:vAlign w:val="center"/>
            <w:hideMark/>
          </w:tcPr>
          <w:p w14:paraId="087E67F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74669D6E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1FB2821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22622B" w:rsidRPr="008D07EA" w14:paraId="51BFE8E7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863E714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Interpretivist/Constructivist</w:t>
            </w:r>
          </w:p>
        </w:tc>
        <w:tc>
          <w:tcPr>
            <w:tcW w:w="0" w:type="auto"/>
            <w:vAlign w:val="center"/>
            <w:hideMark/>
          </w:tcPr>
          <w:p w14:paraId="7BA4A0E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75BD0E4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  <w:tc>
          <w:tcPr>
            <w:tcW w:w="0" w:type="auto"/>
            <w:vAlign w:val="center"/>
            <w:hideMark/>
          </w:tcPr>
          <w:p w14:paraId="70D90C75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</w:tbl>
    <w:p w14:paraId="1FF59615" w14:textId="77777777" w:rsidR="008D07EA" w:rsidRPr="0022622B" w:rsidRDefault="008D07EA" w:rsidP="0022622B">
      <w:pPr>
        <w:spacing w:before="100" w:beforeAutospacing="1" w:after="100" w:afterAutospacing="1"/>
        <w:outlineLvl w:val="2"/>
        <w:rPr>
          <w:rFonts w:asciiTheme="minorBidi" w:hAnsiTheme="minorBidi" w:cstheme="minorBidi"/>
          <w:b/>
          <w:bCs/>
          <w:sz w:val="22"/>
          <w:szCs w:val="22"/>
        </w:rPr>
      </w:pPr>
    </w:p>
    <w:p w14:paraId="2C383341" w14:textId="79711255" w:rsidR="008D07EA" w:rsidRPr="008D07EA" w:rsidRDefault="008D07EA" w:rsidP="0022622B">
      <w:pPr>
        <w:spacing w:before="100" w:beforeAutospacing="1" w:after="100" w:afterAutospacing="1"/>
        <w:outlineLvl w:val="2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lastRenderedPageBreak/>
        <w:t>Completed Tables</w:t>
      </w:r>
    </w:p>
    <w:p w14:paraId="03131949" w14:textId="77777777" w:rsidR="008D07EA" w:rsidRPr="008D07EA" w:rsidRDefault="008D07EA" w:rsidP="0022622B">
      <w:pPr>
        <w:spacing w:before="100" w:beforeAutospacing="1" w:after="100" w:afterAutospacing="1"/>
        <w:outlineLvl w:val="3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t>Table 1: Employee Satisfaction During Organisational Change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18"/>
        <w:gridCol w:w="1662"/>
        <w:gridCol w:w="1959"/>
        <w:gridCol w:w="1967"/>
        <w:gridCol w:w="3250"/>
      </w:tblGrid>
      <w:tr w:rsidR="0022622B" w:rsidRPr="008D07EA" w14:paraId="0BA2851D" w14:textId="77777777" w:rsidTr="008D07EA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EBDC2BD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20E48F80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Positivism (Reality is fixed and measurable)</w:t>
            </w:r>
          </w:p>
        </w:tc>
        <w:tc>
          <w:tcPr>
            <w:tcW w:w="0" w:type="auto"/>
            <w:vAlign w:val="center"/>
            <w:hideMark/>
          </w:tcPr>
          <w:p w14:paraId="7B61ECE0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proofErr w:type="spellStart"/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Postpositivism</w:t>
            </w:r>
            <w:proofErr w:type="spellEnd"/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 xml:space="preserve"> (Reality is mostly fixed but complex)</w:t>
            </w:r>
          </w:p>
        </w:tc>
        <w:tc>
          <w:tcPr>
            <w:tcW w:w="0" w:type="auto"/>
            <w:vAlign w:val="center"/>
            <w:hideMark/>
          </w:tcPr>
          <w:p w14:paraId="76C9433C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Critical Theory et al. (Reality is shaped by power and society)</w:t>
            </w:r>
          </w:p>
        </w:tc>
        <w:tc>
          <w:tcPr>
            <w:tcW w:w="0" w:type="auto"/>
            <w:vAlign w:val="center"/>
            <w:hideMark/>
          </w:tcPr>
          <w:p w14:paraId="22254A5D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Interpretivist/Constructivist (Reality is personal and created by individuals)</w:t>
            </w:r>
          </w:p>
        </w:tc>
      </w:tr>
      <w:tr w:rsidR="0022622B" w:rsidRPr="008D07EA" w14:paraId="07F00B6D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4D96D44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Ontology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is reality?)</w:t>
            </w:r>
          </w:p>
        </w:tc>
        <w:tc>
          <w:tcPr>
            <w:tcW w:w="0" w:type="auto"/>
            <w:vAlign w:val="center"/>
            <w:hideMark/>
          </w:tcPr>
          <w:p w14:paraId="5441D1B2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Employee satisfaction is an objective reality that can be measured through standardised metrics.</w:t>
            </w:r>
          </w:p>
        </w:tc>
        <w:tc>
          <w:tcPr>
            <w:tcW w:w="0" w:type="auto"/>
            <w:vAlign w:val="center"/>
            <w:hideMark/>
          </w:tcPr>
          <w:p w14:paraId="7C168D9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Employee satisfaction exists as a measurable concept but is influenced by multiple complex factors.</w:t>
            </w:r>
          </w:p>
        </w:tc>
        <w:tc>
          <w:tcPr>
            <w:tcW w:w="0" w:type="auto"/>
            <w:vAlign w:val="center"/>
            <w:hideMark/>
          </w:tcPr>
          <w:p w14:paraId="08424089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Employee satisfaction is shaped by organisational power structures, hierarchies, and social dynamics.</w:t>
            </w:r>
          </w:p>
        </w:tc>
        <w:tc>
          <w:tcPr>
            <w:tcW w:w="0" w:type="auto"/>
            <w:vAlign w:val="center"/>
            <w:hideMark/>
          </w:tcPr>
          <w:p w14:paraId="70B26C42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Each employee's satisfaction is uniquely constructed based on their individual experiences of change.</w:t>
            </w:r>
          </w:p>
        </w:tc>
      </w:tr>
      <w:tr w:rsidR="0022622B" w:rsidRPr="008D07EA" w14:paraId="3DF091A8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EF31A5C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Epistemology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know things?)</w:t>
            </w:r>
          </w:p>
        </w:tc>
        <w:tc>
          <w:tcPr>
            <w:tcW w:w="0" w:type="auto"/>
            <w:vAlign w:val="center"/>
            <w:hideMark/>
          </w:tcPr>
          <w:p w14:paraId="6F46F304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Employee satisfaction can be measured objectively through scientific methods and validated instruments.</w:t>
            </w:r>
          </w:p>
        </w:tc>
        <w:tc>
          <w:tcPr>
            <w:tcW w:w="0" w:type="auto"/>
            <w:vAlign w:val="center"/>
            <w:hideMark/>
          </w:tcPr>
          <w:p w14:paraId="0FE5D81E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Employee satisfaction can be mostly measured objectively, but researcher and organisational biases must be considered.</w:t>
            </w:r>
          </w:p>
        </w:tc>
        <w:tc>
          <w:tcPr>
            <w:tcW w:w="0" w:type="auto"/>
            <w:vAlign w:val="center"/>
            <w:hideMark/>
          </w:tcPr>
          <w:p w14:paraId="7FA0AD85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Understanding of employee satisfaction is influenced by management-worker power relationships and organisational politics.</w:t>
            </w:r>
          </w:p>
        </w:tc>
        <w:tc>
          <w:tcPr>
            <w:tcW w:w="0" w:type="auto"/>
            <w:vAlign w:val="center"/>
            <w:hideMark/>
          </w:tcPr>
          <w:p w14:paraId="522DB11D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Employee satisfaction knowledge comes from understanding individual experiences and interpretations of change.</w:t>
            </w:r>
          </w:p>
        </w:tc>
      </w:tr>
      <w:tr w:rsidR="0022622B" w:rsidRPr="008D07EA" w14:paraId="1C749E50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110B7FE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Axiology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role do values play?)</w:t>
            </w:r>
          </w:p>
        </w:tc>
        <w:tc>
          <w:tcPr>
            <w:tcW w:w="0" w:type="auto"/>
            <w:vAlign w:val="center"/>
            <w:hideMark/>
          </w:tcPr>
          <w:p w14:paraId="096F5C9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must be excluded to maintain objectivity in measuring employee satisfaction.</w:t>
            </w:r>
          </w:p>
        </w:tc>
        <w:tc>
          <w:tcPr>
            <w:tcW w:w="0" w:type="auto"/>
            <w:vAlign w:val="center"/>
            <w:hideMark/>
          </w:tcPr>
          <w:p w14:paraId="103F29F4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influence how we study employee satisfaction but should be controlled and acknowledged.</w:t>
            </w:r>
          </w:p>
        </w:tc>
        <w:tc>
          <w:tcPr>
            <w:tcW w:w="0" w:type="auto"/>
            <w:vAlign w:val="center"/>
            <w:hideMark/>
          </w:tcPr>
          <w:p w14:paraId="6239321B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are central to understanding how organisational change affects different employee groups.</w:t>
            </w:r>
          </w:p>
        </w:tc>
        <w:tc>
          <w:tcPr>
            <w:tcW w:w="0" w:type="auto"/>
            <w:vAlign w:val="center"/>
            <w:hideMark/>
          </w:tcPr>
          <w:p w14:paraId="4744260D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shape how both employees and researchers interpret satisfaction during change.</w:t>
            </w:r>
          </w:p>
        </w:tc>
      </w:tr>
      <w:tr w:rsidR="0022622B" w:rsidRPr="008D07EA" w14:paraId="24357BD0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0EA1185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Methodology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study it?)</w:t>
            </w:r>
          </w:p>
        </w:tc>
        <w:tc>
          <w:tcPr>
            <w:tcW w:w="0" w:type="auto"/>
            <w:vAlign w:val="center"/>
            <w:hideMark/>
          </w:tcPr>
          <w:p w14:paraId="6EAEE67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Quantitative surveys, employee satisfaction scales, performance metrics analysis.</w:t>
            </w:r>
          </w:p>
        </w:tc>
        <w:tc>
          <w:tcPr>
            <w:tcW w:w="0" w:type="auto"/>
            <w:vAlign w:val="center"/>
            <w:hideMark/>
          </w:tcPr>
          <w:p w14:paraId="46CC6A8D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Mixed methods: surveys with qualitative components, accounting for contextual factors.</w:t>
            </w:r>
          </w:p>
        </w:tc>
        <w:tc>
          <w:tcPr>
            <w:tcW w:w="0" w:type="auto"/>
            <w:vAlign w:val="center"/>
            <w:hideMark/>
          </w:tcPr>
          <w:p w14:paraId="2B207EDD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Critical analysis of organisational power structures, focus groups examining change impact on different employee levels.</w:t>
            </w:r>
          </w:p>
        </w:tc>
        <w:tc>
          <w:tcPr>
            <w:tcW w:w="0" w:type="auto"/>
            <w:vAlign w:val="center"/>
            <w:hideMark/>
          </w:tcPr>
          <w:p w14:paraId="18AF9D62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In-depth interviews, employee narratives, observation of how individuals experience change.</w:t>
            </w:r>
          </w:p>
        </w:tc>
      </w:tr>
      <w:tr w:rsidR="0022622B" w:rsidRPr="008D07EA" w14:paraId="2A448223" w14:textId="77777777" w:rsidTr="008D07EA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2DBB1C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What can be measured?</w:t>
            </w:r>
          </w:p>
        </w:tc>
        <w:tc>
          <w:tcPr>
            <w:tcW w:w="0" w:type="auto"/>
            <w:vAlign w:val="center"/>
            <w:hideMark/>
          </w:tcPr>
          <w:p w14:paraId="3140099E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Turnover rates, absenteeism, productivity metrics, standardised satisfaction scores.</w:t>
            </w:r>
          </w:p>
        </w:tc>
        <w:tc>
          <w:tcPr>
            <w:tcW w:w="0" w:type="auto"/>
            <w:vAlign w:val="center"/>
            <w:hideMark/>
          </w:tcPr>
          <w:p w14:paraId="00BDC29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Employee satisfaction scores with contextual factors, team performance indicators, change readiness metrics.</w:t>
            </w:r>
          </w:p>
        </w:tc>
        <w:tc>
          <w:tcPr>
            <w:tcW w:w="0" w:type="auto"/>
            <w:vAlign w:val="center"/>
            <w:hideMark/>
          </w:tcPr>
          <w:p w14:paraId="0ADE4285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Power dynamics in change process, impact on different employee groups, resistance patterns, equity in change implementation.</w:t>
            </w:r>
          </w:p>
        </w:tc>
        <w:tc>
          <w:tcPr>
            <w:tcW w:w="0" w:type="auto"/>
            <w:vAlign w:val="center"/>
            <w:hideMark/>
          </w:tcPr>
          <w:p w14:paraId="0BAA95E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Individual change experiences, personal adaptation strategies, emotional responses to change, meaning-making processes.</w:t>
            </w:r>
          </w:p>
        </w:tc>
      </w:tr>
    </w:tbl>
    <w:p w14:paraId="21414D0D" w14:textId="77777777" w:rsidR="008D07EA" w:rsidRPr="0022622B" w:rsidRDefault="008D07EA" w:rsidP="0022622B">
      <w:pPr>
        <w:rPr>
          <w:rFonts w:asciiTheme="minorBidi" w:hAnsiTheme="minorBidi" w:cstheme="minorBidi"/>
          <w:sz w:val="22"/>
          <w:szCs w:val="22"/>
        </w:rPr>
      </w:pPr>
      <w:r w:rsidRPr="008D07EA">
        <w:rPr>
          <w:rFonts w:asciiTheme="minorBidi" w:hAnsiTheme="minorBidi" w:cstheme="minorBidi"/>
          <w:sz w:val="22"/>
          <w:szCs w:val="22"/>
        </w:rPr>
        <w:pict w14:anchorId="58541369">
          <v:rect id="_x0000_i1027" style="width:0;height:1.5pt" o:hrstd="t" o:hr="t" fillcolor="#a0a0a0" stroked="f"/>
        </w:pict>
      </w:r>
    </w:p>
    <w:p w14:paraId="3693F20F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4B924DA5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5A2C25DE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5273DE66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0EB9C3AE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6DF8FD82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35684DD0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0C7C2302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63D5F726" w14:textId="5272F797" w:rsidR="0022622B" w:rsidRPr="008D07EA" w:rsidRDefault="0022622B" w:rsidP="0022622B">
      <w:pPr>
        <w:spacing w:before="100" w:beforeAutospacing="1" w:after="100" w:afterAutospacing="1"/>
        <w:outlineLvl w:val="3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lastRenderedPageBreak/>
        <w:t xml:space="preserve">Table </w:t>
      </w:r>
      <w:r w:rsidRPr="0022622B">
        <w:rPr>
          <w:rFonts w:asciiTheme="minorBidi" w:hAnsiTheme="minorBidi" w:cstheme="minorBidi"/>
          <w:b/>
          <w:bCs/>
          <w:sz w:val="22"/>
          <w:szCs w:val="22"/>
        </w:rPr>
        <w:t>2A</w:t>
      </w:r>
      <w:r w:rsidRPr="008D07EA">
        <w:rPr>
          <w:rFonts w:asciiTheme="minorBidi" w:hAnsiTheme="minorBidi" w:cstheme="minorBidi"/>
          <w:b/>
          <w:bCs/>
          <w:sz w:val="22"/>
          <w:szCs w:val="22"/>
        </w:rPr>
        <w:t>: Leadership Effectiveness in Virtual Teams</w:t>
      </w:r>
    </w:p>
    <w:p w14:paraId="61CCD2AC" w14:textId="22775854" w:rsidR="0022622B" w:rsidRPr="0022622B" w:rsidRDefault="0022622B" w:rsidP="0022622B">
      <w:pPr>
        <w:tabs>
          <w:tab w:val="left" w:pos="1144"/>
        </w:tabs>
        <w:rPr>
          <w:rFonts w:asciiTheme="minorBidi" w:hAnsiTheme="minorBidi" w:cstheme="minorBidi"/>
          <w:sz w:val="22"/>
          <w:szCs w:val="22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14"/>
        <w:gridCol w:w="1780"/>
        <w:gridCol w:w="1969"/>
        <w:gridCol w:w="1820"/>
        <w:gridCol w:w="3273"/>
      </w:tblGrid>
      <w:tr w:rsidR="0022622B" w:rsidRPr="0022622B" w14:paraId="221EB409" w14:textId="77777777" w:rsidTr="006713C5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3228405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2E2F6A97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Positivism (Reality is fixed and measurable)</w:t>
            </w:r>
          </w:p>
        </w:tc>
        <w:tc>
          <w:tcPr>
            <w:tcW w:w="0" w:type="auto"/>
            <w:vAlign w:val="center"/>
            <w:hideMark/>
          </w:tcPr>
          <w:p w14:paraId="6C18F43A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proofErr w:type="spellStart"/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Postpositivism</w:t>
            </w:r>
            <w:proofErr w:type="spellEnd"/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 xml:space="preserve"> (Reality is mostly fixed but complex)</w:t>
            </w:r>
          </w:p>
        </w:tc>
        <w:tc>
          <w:tcPr>
            <w:tcW w:w="0" w:type="auto"/>
            <w:vAlign w:val="center"/>
            <w:hideMark/>
          </w:tcPr>
          <w:p w14:paraId="145E38F4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Critical Theory et al. (Reality is shaped by power and society)</w:t>
            </w:r>
          </w:p>
        </w:tc>
        <w:tc>
          <w:tcPr>
            <w:tcW w:w="0" w:type="auto"/>
            <w:vAlign w:val="center"/>
            <w:hideMark/>
          </w:tcPr>
          <w:p w14:paraId="7DBBA10F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Interpretivist/Constructivist (Reality is personal and created by individuals)</w:t>
            </w:r>
          </w:p>
        </w:tc>
      </w:tr>
      <w:tr w:rsidR="0022622B" w:rsidRPr="0022622B" w14:paraId="468BD2DE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EED9337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Ontology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is reality?)</w:t>
            </w:r>
          </w:p>
        </w:tc>
        <w:tc>
          <w:tcPr>
            <w:tcW w:w="0" w:type="auto"/>
            <w:vAlign w:val="center"/>
            <w:hideMark/>
          </w:tcPr>
          <w:p w14:paraId="4B356591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in virtual teams is an objective reality that can be measured using standardised performance metrics.</w:t>
            </w:r>
          </w:p>
        </w:tc>
        <w:tc>
          <w:tcPr>
            <w:tcW w:w="0" w:type="auto"/>
            <w:vAlign w:val="center"/>
            <w:hideMark/>
          </w:tcPr>
          <w:p w14:paraId="5A865B8B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is mostly objective but influenced by various factors like team dynamics and communication tools.</w:t>
            </w:r>
          </w:p>
        </w:tc>
        <w:tc>
          <w:tcPr>
            <w:tcW w:w="0" w:type="auto"/>
            <w:vAlign w:val="center"/>
            <w:hideMark/>
          </w:tcPr>
          <w:p w14:paraId="6F72C49A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is shaped by power structures, organisational culture, and inequalities in virtual settings.</w:t>
            </w:r>
          </w:p>
        </w:tc>
        <w:tc>
          <w:tcPr>
            <w:tcW w:w="0" w:type="auto"/>
            <w:vAlign w:val="center"/>
            <w:hideMark/>
          </w:tcPr>
          <w:p w14:paraId="20ED315F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Each team member’s perception of leadership effectiveness is subjective and based on personal experiences and interactions.</w:t>
            </w:r>
          </w:p>
        </w:tc>
      </w:tr>
      <w:tr w:rsidR="0022622B" w:rsidRPr="0022622B" w14:paraId="4B6E8A42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D2561D1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Epistemology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know things?)</w:t>
            </w:r>
          </w:p>
        </w:tc>
        <w:tc>
          <w:tcPr>
            <w:tcW w:w="0" w:type="auto"/>
            <w:vAlign w:val="center"/>
            <w:hideMark/>
          </w:tcPr>
          <w:p w14:paraId="1E268098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can be measured through objective metrics such as productivity, engagement scores, and task completion rates.</w:t>
            </w:r>
          </w:p>
        </w:tc>
        <w:tc>
          <w:tcPr>
            <w:tcW w:w="0" w:type="auto"/>
            <w:vAlign w:val="center"/>
            <w:hideMark/>
          </w:tcPr>
          <w:p w14:paraId="46200FD3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can be assessed with mostly objective measures, but biases and contextual factors must be considered.</w:t>
            </w:r>
          </w:p>
        </w:tc>
        <w:tc>
          <w:tcPr>
            <w:tcW w:w="0" w:type="auto"/>
            <w:vAlign w:val="center"/>
            <w:hideMark/>
          </w:tcPr>
          <w:p w14:paraId="570BEBDD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is understood through the lens of power relations, digital accessibility, and control in virtual teams.</w:t>
            </w:r>
          </w:p>
        </w:tc>
        <w:tc>
          <w:tcPr>
            <w:tcW w:w="0" w:type="auto"/>
            <w:vAlign w:val="center"/>
            <w:hideMark/>
          </w:tcPr>
          <w:p w14:paraId="7F6471CC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is constructed through team members’ lived experiences, interactions, and personal interpretations.</w:t>
            </w:r>
          </w:p>
        </w:tc>
      </w:tr>
      <w:tr w:rsidR="0022622B" w:rsidRPr="0022622B" w14:paraId="66A73177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ABAD639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Axiology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role do values play?)</w:t>
            </w:r>
          </w:p>
        </w:tc>
        <w:tc>
          <w:tcPr>
            <w:tcW w:w="0" w:type="auto"/>
            <w:vAlign w:val="center"/>
            <w:hideMark/>
          </w:tcPr>
          <w:p w14:paraId="1CB93727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must be excluded to ensure objective measurement of leadership effectiveness in virtual teams.</w:t>
            </w:r>
          </w:p>
        </w:tc>
        <w:tc>
          <w:tcPr>
            <w:tcW w:w="0" w:type="auto"/>
            <w:vAlign w:val="center"/>
            <w:hideMark/>
          </w:tcPr>
          <w:p w14:paraId="0885A2F8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influence leadership assessment but should be acknowledged and minimised to improve validity.</w:t>
            </w:r>
          </w:p>
        </w:tc>
        <w:tc>
          <w:tcPr>
            <w:tcW w:w="0" w:type="auto"/>
            <w:vAlign w:val="center"/>
            <w:hideMark/>
          </w:tcPr>
          <w:p w14:paraId="09C9C8BB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are integral in understanding how leadership effectiveness is shaped by digital divide, cultural norms, and organisational politics.</w:t>
            </w:r>
          </w:p>
        </w:tc>
        <w:tc>
          <w:tcPr>
            <w:tcW w:w="0" w:type="auto"/>
            <w:vAlign w:val="center"/>
            <w:hideMark/>
          </w:tcPr>
          <w:p w14:paraId="1D267019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shape both the leader’s and team members' perceptions of effectiveness and influence their virtual interactions.</w:t>
            </w:r>
          </w:p>
        </w:tc>
      </w:tr>
      <w:tr w:rsidR="0022622B" w:rsidRPr="0022622B" w14:paraId="13A5F6F3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7219FE3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Methodology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study it?)</w:t>
            </w:r>
          </w:p>
        </w:tc>
        <w:tc>
          <w:tcPr>
            <w:tcW w:w="0" w:type="auto"/>
            <w:vAlign w:val="center"/>
            <w:hideMark/>
          </w:tcPr>
          <w:p w14:paraId="1FFF9265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Quantitative methods such as performance analytics, engagement surveys, and leadership competency tests.</w:t>
            </w:r>
          </w:p>
        </w:tc>
        <w:tc>
          <w:tcPr>
            <w:tcW w:w="0" w:type="auto"/>
            <w:vAlign w:val="center"/>
            <w:hideMark/>
          </w:tcPr>
          <w:p w14:paraId="2A9FF8BF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Mixed methods: surveys with qualitative feedback, behavioural observations, and productivity data.</w:t>
            </w:r>
          </w:p>
        </w:tc>
        <w:tc>
          <w:tcPr>
            <w:tcW w:w="0" w:type="auto"/>
            <w:vAlign w:val="center"/>
            <w:hideMark/>
          </w:tcPr>
          <w:p w14:paraId="561678DF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Critical discourse analysis, focus groups on virtual power structures, and examining inequalities in digital leadership.</w:t>
            </w:r>
          </w:p>
        </w:tc>
        <w:tc>
          <w:tcPr>
            <w:tcW w:w="0" w:type="auto"/>
            <w:vAlign w:val="center"/>
            <w:hideMark/>
          </w:tcPr>
          <w:p w14:paraId="3727F9C6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In-depth interviews, case studies, ethnographic analysis of virtual communication, and personal leadership narratives.</w:t>
            </w:r>
          </w:p>
        </w:tc>
      </w:tr>
      <w:tr w:rsidR="0022622B" w:rsidRPr="0022622B" w14:paraId="31FF4D9C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FF8FD5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What can be measured?</w:t>
            </w:r>
          </w:p>
        </w:tc>
        <w:tc>
          <w:tcPr>
            <w:tcW w:w="0" w:type="auto"/>
            <w:vAlign w:val="center"/>
            <w:hideMark/>
          </w:tcPr>
          <w:p w14:paraId="473DCA20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Task completion rates, meeting attendance, engagement scores, and leader feedback ratings.</w:t>
            </w:r>
          </w:p>
        </w:tc>
        <w:tc>
          <w:tcPr>
            <w:tcW w:w="0" w:type="auto"/>
            <w:vAlign w:val="center"/>
            <w:hideMark/>
          </w:tcPr>
          <w:p w14:paraId="28800F1C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scores with contextual insights, communication effectiveness, and adaptability in virtual settings.</w:t>
            </w:r>
          </w:p>
        </w:tc>
        <w:tc>
          <w:tcPr>
            <w:tcW w:w="0" w:type="auto"/>
            <w:vAlign w:val="center"/>
            <w:hideMark/>
          </w:tcPr>
          <w:p w14:paraId="53D064B6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Power relations in virtual leadership, access to decision-making, team inclusion, and resistance patterns.</w:t>
            </w:r>
          </w:p>
        </w:tc>
        <w:tc>
          <w:tcPr>
            <w:tcW w:w="0" w:type="auto"/>
            <w:vAlign w:val="center"/>
            <w:hideMark/>
          </w:tcPr>
          <w:p w14:paraId="7CB47527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Individual leadership experiences, team member perceptions, adaptation strategies, emotional responses, and sense-making processes.</w:t>
            </w:r>
          </w:p>
        </w:tc>
      </w:tr>
    </w:tbl>
    <w:p w14:paraId="4D42B4E5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33A5EAC0" w14:textId="77777777" w:rsidR="0022622B" w:rsidRPr="0022622B" w:rsidRDefault="0022622B" w:rsidP="0022622B">
      <w:pPr>
        <w:spacing w:before="100" w:beforeAutospacing="1" w:after="100" w:afterAutospacing="1"/>
        <w:outlineLvl w:val="3"/>
        <w:rPr>
          <w:rFonts w:asciiTheme="minorBidi" w:hAnsiTheme="minorBidi" w:cstheme="minorBidi"/>
          <w:b/>
          <w:bCs/>
          <w:sz w:val="22"/>
          <w:szCs w:val="22"/>
        </w:rPr>
      </w:pPr>
    </w:p>
    <w:p w14:paraId="7F2B9F1D" w14:textId="50F81BC6" w:rsidR="0022622B" w:rsidRPr="008D07EA" w:rsidRDefault="0022622B" w:rsidP="0022622B">
      <w:pPr>
        <w:spacing w:before="100" w:beforeAutospacing="1" w:after="100" w:afterAutospacing="1"/>
        <w:outlineLvl w:val="3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lastRenderedPageBreak/>
        <w:t>Table 2</w:t>
      </w:r>
      <w:r w:rsidRPr="0022622B">
        <w:rPr>
          <w:rFonts w:asciiTheme="minorBidi" w:hAnsiTheme="minorBidi" w:cstheme="minorBidi"/>
          <w:b/>
          <w:bCs/>
          <w:sz w:val="22"/>
          <w:szCs w:val="22"/>
        </w:rPr>
        <w:t>B</w:t>
      </w:r>
      <w:r w:rsidRPr="008D07EA">
        <w:rPr>
          <w:rFonts w:asciiTheme="minorBidi" w:hAnsiTheme="minorBidi" w:cstheme="minorBidi"/>
          <w:b/>
          <w:bCs/>
          <w:sz w:val="22"/>
          <w:szCs w:val="22"/>
        </w:rPr>
        <w:t>: Leadership Effectiveness in Virtual Teams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14"/>
        <w:gridCol w:w="1780"/>
        <w:gridCol w:w="1969"/>
        <w:gridCol w:w="1820"/>
        <w:gridCol w:w="3273"/>
      </w:tblGrid>
      <w:tr w:rsidR="0022622B" w:rsidRPr="008D07EA" w14:paraId="7AC79243" w14:textId="77777777" w:rsidTr="006713C5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78413CC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Item</w:t>
            </w:r>
          </w:p>
        </w:tc>
        <w:tc>
          <w:tcPr>
            <w:tcW w:w="0" w:type="auto"/>
            <w:vAlign w:val="center"/>
            <w:hideMark/>
          </w:tcPr>
          <w:p w14:paraId="30F8411E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Positivism (Reality is fixed and measurable)</w:t>
            </w:r>
          </w:p>
        </w:tc>
        <w:tc>
          <w:tcPr>
            <w:tcW w:w="0" w:type="auto"/>
            <w:vAlign w:val="center"/>
            <w:hideMark/>
          </w:tcPr>
          <w:p w14:paraId="3EE6E4BB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proofErr w:type="spellStart"/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Postpositivism</w:t>
            </w:r>
            <w:proofErr w:type="spellEnd"/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 xml:space="preserve"> (Reality is mostly fixed but complex)</w:t>
            </w:r>
          </w:p>
        </w:tc>
        <w:tc>
          <w:tcPr>
            <w:tcW w:w="0" w:type="auto"/>
            <w:vAlign w:val="center"/>
            <w:hideMark/>
          </w:tcPr>
          <w:p w14:paraId="3AE1A2B1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Critical Theory et al. (Reality is shaped by power and society)</w:t>
            </w:r>
          </w:p>
        </w:tc>
        <w:tc>
          <w:tcPr>
            <w:tcW w:w="0" w:type="auto"/>
            <w:vAlign w:val="center"/>
            <w:hideMark/>
          </w:tcPr>
          <w:p w14:paraId="7D2B2216" w14:textId="77777777" w:rsidR="0022622B" w:rsidRPr="008D07EA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Interpretivist/Constructivist (Reality is personal and created by individuals)</w:t>
            </w:r>
          </w:p>
        </w:tc>
      </w:tr>
      <w:tr w:rsidR="0022622B" w:rsidRPr="008D07EA" w14:paraId="7BCC5451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43004F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Ontology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is reality?)</w:t>
            </w:r>
          </w:p>
        </w:tc>
        <w:tc>
          <w:tcPr>
            <w:tcW w:w="0" w:type="auto"/>
            <w:vAlign w:val="center"/>
            <w:hideMark/>
          </w:tcPr>
          <w:p w14:paraId="066FCD2A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in virtual teams is an objective reality that can be measured using standardised performance metrics.</w:t>
            </w:r>
          </w:p>
        </w:tc>
        <w:tc>
          <w:tcPr>
            <w:tcW w:w="0" w:type="auto"/>
            <w:vAlign w:val="center"/>
            <w:hideMark/>
          </w:tcPr>
          <w:p w14:paraId="0A1E7E68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is mostly objective but influenced by various factors like team dynamics and communication tools.</w:t>
            </w:r>
          </w:p>
        </w:tc>
        <w:tc>
          <w:tcPr>
            <w:tcW w:w="0" w:type="auto"/>
            <w:vAlign w:val="center"/>
            <w:hideMark/>
          </w:tcPr>
          <w:p w14:paraId="4EE40D75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is shaped by power structures, organisational culture, and inequalities in virtual settings.</w:t>
            </w:r>
          </w:p>
        </w:tc>
        <w:tc>
          <w:tcPr>
            <w:tcW w:w="0" w:type="auto"/>
            <w:vAlign w:val="center"/>
            <w:hideMark/>
          </w:tcPr>
          <w:p w14:paraId="1DE52BC1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Each team member’s perception of leadership effectiveness is subjective and based on personal experiences and interactions.</w:t>
            </w:r>
          </w:p>
        </w:tc>
      </w:tr>
      <w:tr w:rsidR="0022622B" w:rsidRPr="008D07EA" w14:paraId="7B9481C8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8CB9305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Epistemology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know things?)</w:t>
            </w:r>
          </w:p>
        </w:tc>
        <w:tc>
          <w:tcPr>
            <w:tcW w:w="0" w:type="auto"/>
            <w:vAlign w:val="center"/>
            <w:hideMark/>
          </w:tcPr>
          <w:p w14:paraId="64D420B9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can be measured through objective metrics such as productivity, engagement scores, and task completion rates.</w:t>
            </w:r>
          </w:p>
        </w:tc>
        <w:tc>
          <w:tcPr>
            <w:tcW w:w="0" w:type="auto"/>
            <w:vAlign w:val="center"/>
            <w:hideMark/>
          </w:tcPr>
          <w:p w14:paraId="38F8475A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can be assessed with mostly objective measures, but biases and contextual factors must be considered.</w:t>
            </w:r>
          </w:p>
        </w:tc>
        <w:tc>
          <w:tcPr>
            <w:tcW w:w="0" w:type="auto"/>
            <w:vAlign w:val="center"/>
            <w:hideMark/>
          </w:tcPr>
          <w:p w14:paraId="27D621FC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is understood through the lens of power relations, digital accessibility, and control in virtual teams.</w:t>
            </w:r>
          </w:p>
        </w:tc>
        <w:tc>
          <w:tcPr>
            <w:tcW w:w="0" w:type="auto"/>
            <w:vAlign w:val="center"/>
            <w:hideMark/>
          </w:tcPr>
          <w:p w14:paraId="5CE295AA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is constructed through team members’ lived experiences, interactions, and personal interpretations.</w:t>
            </w:r>
          </w:p>
        </w:tc>
      </w:tr>
      <w:tr w:rsidR="0022622B" w:rsidRPr="008D07EA" w14:paraId="0711851D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B43CC7F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Axiology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(What role do values play?)</w:t>
            </w:r>
          </w:p>
        </w:tc>
        <w:tc>
          <w:tcPr>
            <w:tcW w:w="0" w:type="auto"/>
            <w:vAlign w:val="center"/>
            <w:hideMark/>
          </w:tcPr>
          <w:p w14:paraId="4308DAE9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must be excluded to ensure objective measurement of leadership effectiveness in virtual teams.</w:t>
            </w:r>
          </w:p>
        </w:tc>
        <w:tc>
          <w:tcPr>
            <w:tcW w:w="0" w:type="auto"/>
            <w:vAlign w:val="center"/>
            <w:hideMark/>
          </w:tcPr>
          <w:p w14:paraId="45C2EE04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influence leadership assessment but should be acknowledged and minimised to improve validity.</w:t>
            </w:r>
          </w:p>
        </w:tc>
        <w:tc>
          <w:tcPr>
            <w:tcW w:w="0" w:type="auto"/>
            <w:vAlign w:val="center"/>
            <w:hideMark/>
          </w:tcPr>
          <w:p w14:paraId="6231F355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are integral in understanding how leadership effectiveness is shaped by digital divide, cultural norms, and organisational politics.</w:t>
            </w:r>
          </w:p>
        </w:tc>
        <w:tc>
          <w:tcPr>
            <w:tcW w:w="0" w:type="auto"/>
            <w:vAlign w:val="center"/>
            <w:hideMark/>
          </w:tcPr>
          <w:p w14:paraId="3150E297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Values shape both the leader’s and team members' perceptions of effectiveness and influence their virtual interactions.</w:t>
            </w:r>
          </w:p>
        </w:tc>
      </w:tr>
      <w:tr w:rsidR="0022622B" w:rsidRPr="008D07EA" w14:paraId="3CFBED5F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62C5D3C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Methodology</w:t>
            </w:r>
            <w:r w:rsidRPr="008D07EA">
              <w:rPr>
                <w:rFonts w:asciiTheme="minorBidi" w:hAnsiTheme="minorBidi" w:cstheme="minorBidi"/>
                <w:sz w:val="22"/>
                <w:szCs w:val="22"/>
              </w:rPr>
              <w:t xml:space="preserve"> (How do we study it?)</w:t>
            </w:r>
          </w:p>
        </w:tc>
        <w:tc>
          <w:tcPr>
            <w:tcW w:w="0" w:type="auto"/>
            <w:vAlign w:val="center"/>
            <w:hideMark/>
          </w:tcPr>
          <w:p w14:paraId="2F01AD60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Quantitative methods such as performance analytics, engagement surveys, and leadership competency tests.</w:t>
            </w:r>
          </w:p>
        </w:tc>
        <w:tc>
          <w:tcPr>
            <w:tcW w:w="0" w:type="auto"/>
            <w:vAlign w:val="center"/>
            <w:hideMark/>
          </w:tcPr>
          <w:p w14:paraId="6E6508E6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Mixed methods: surveys with qualitative feedback, behavioural observations, and productivity data.</w:t>
            </w:r>
          </w:p>
        </w:tc>
        <w:tc>
          <w:tcPr>
            <w:tcW w:w="0" w:type="auto"/>
            <w:vAlign w:val="center"/>
            <w:hideMark/>
          </w:tcPr>
          <w:p w14:paraId="35135545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Critical discourse analysis, focus groups on virtual power structures, and examining inequalities in digital leadership.</w:t>
            </w:r>
          </w:p>
        </w:tc>
        <w:tc>
          <w:tcPr>
            <w:tcW w:w="0" w:type="auto"/>
            <w:vAlign w:val="center"/>
            <w:hideMark/>
          </w:tcPr>
          <w:p w14:paraId="41BAF954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In-depth interviews, case studies, ethnographic analysis of virtual communication, and personal leadership narratives.</w:t>
            </w:r>
          </w:p>
        </w:tc>
      </w:tr>
      <w:tr w:rsidR="0022622B" w:rsidRPr="008D07EA" w14:paraId="68B9BA1F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7CE37E5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What can be measured?</w:t>
            </w:r>
          </w:p>
        </w:tc>
        <w:tc>
          <w:tcPr>
            <w:tcW w:w="0" w:type="auto"/>
            <w:vAlign w:val="center"/>
            <w:hideMark/>
          </w:tcPr>
          <w:p w14:paraId="2D4312A0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Task completion rates, meeting attendance, engagement scores, and leader feedback ratings.</w:t>
            </w:r>
          </w:p>
        </w:tc>
        <w:tc>
          <w:tcPr>
            <w:tcW w:w="0" w:type="auto"/>
            <w:vAlign w:val="center"/>
            <w:hideMark/>
          </w:tcPr>
          <w:p w14:paraId="012E5414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Leadership effectiveness scores with contextual insights, communication effectiveness, and adaptability in virtual settings.</w:t>
            </w:r>
          </w:p>
        </w:tc>
        <w:tc>
          <w:tcPr>
            <w:tcW w:w="0" w:type="auto"/>
            <w:vAlign w:val="center"/>
            <w:hideMark/>
          </w:tcPr>
          <w:p w14:paraId="695C2F79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Power relations in virtual leadership, access to decision-making, team inclusion, and resistance patterns.</w:t>
            </w:r>
          </w:p>
        </w:tc>
        <w:tc>
          <w:tcPr>
            <w:tcW w:w="0" w:type="auto"/>
            <w:vAlign w:val="center"/>
            <w:hideMark/>
          </w:tcPr>
          <w:p w14:paraId="1096153F" w14:textId="77777777" w:rsidR="0022622B" w:rsidRPr="008D07EA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Individual leadership experiences, team member perceptions, adaptation strategies, emotional responses, and sense-making processes.</w:t>
            </w:r>
          </w:p>
        </w:tc>
      </w:tr>
    </w:tbl>
    <w:p w14:paraId="382625DB" w14:textId="77777777" w:rsidR="0022622B" w:rsidRPr="008D07EA" w:rsidRDefault="0022622B" w:rsidP="0022622B">
      <w:pPr>
        <w:rPr>
          <w:rFonts w:asciiTheme="minorBidi" w:hAnsiTheme="minorBidi" w:cstheme="minorBidi"/>
          <w:sz w:val="22"/>
          <w:szCs w:val="22"/>
        </w:rPr>
      </w:pPr>
      <w:r w:rsidRPr="008D07EA">
        <w:rPr>
          <w:rFonts w:asciiTheme="minorBidi" w:hAnsiTheme="minorBidi" w:cstheme="minorBidi"/>
          <w:sz w:val="22"/>
          <w:szCs w:val="22"/>
        </w:rPr>
        <w:pict w14:anchorId="0652DAF0">
          <v:rect id="_x0000_i1054" style="width:0;height:1.5pt" o:hrstd="t" o:hr="t" fillcolor="#a0a0a0" stroked="f"/>
        </w:pict>
      </w:r>
    </w:p>
    <w:p w14:paraId="2A87204C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0A99C9DC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  <w:r w:rsidRPr="0022622B">
        <w:rPr>
          <w:rFonts w:asciiTheme="minorBidi" w:hAnsiTheme="minorBidi" w:cstheme="minorBidi"/>
          <w:sz w:val="22"/>
          <w:szCs w:val="22"/>
        </w:rPr>
        <w:pict w14:anchorId="10186885">
          <v:rect id="_x0000_i1056" style="width:0;height:1.5pt" o:hrstd="t" o:hr="t" fillcolor="#a0a0a0" stroked="f"/>
        </w:pict>
      </w:r>
    </w:p>
    <w:p w14:paraId="03F3FB3E" w14:textId="26441692" w:rsidR="0022622B" w:rsidRPr="0022622B" w:rsidRDefault="0022622B" w:rsidP="0022622B">
      <w:pPr>
        <w:spacing w:before="100" w:beforeAutospacing="1" w:after="100" w:afterAutospacing="1"/>
        <w:outlineLvl w:val="2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t xml:space="preserve">Table </w:t>
      </w:r>
      <w:r w:rsidRPr="0022622B">
        <w:rPr>
          <w:rFonts w:asciiTheme="minorBidi" w:hAnsiTheme="minorBidi" w:cstheme="minorBidi"/>
          <w:b/>
          <w:bCs/>
          <w:sz w:val="22"/>
          <w:szCs w:val="22"/>
        </w:rPr>
        <w:t xml:space="preserve">4: </w:t>
      </w:r>
      <w:r w:rsidRPr="008D07EA">
        <w:rPr>
          <w:rFonts w:asciiTheme="minorBidi" w:hAnsiTheme="minorBidi" w:cstheme="minorBidi"/>
          <w:b/>
          <w:bCs/>
          <w:sz w:val="22"/>
          <w:szCs w:val="22"/>
        </w:rPr>
        <w:t xml:space="preserve">Knowledge Perspective </w:t>
      </w:r>
      <w:r w:rsidRPr="0022622B">
        <w:rPr>
          <w:rFonts w:asciiTheme="minorBidi" w:hAnsiTheme="minorBidi" w:cstheme="minorBidi"/>
          <w:b/>
          <w:bCs/>
          <w:sz w:val="22"/>
          <w:szCs w:val="22"/>
        </w:rPr>
        <w:t xml:space="preserve">on </w:t>
      </w:r>
      <w:r w:rsidRPr="0022622B">
        <w:rPr>
          <w:rFonts w:asciiTheme="minorBidi" w:hAnsiTheme="minorBidi" w:cstheme="minorBidi"/>
          <w:b/>
          <w:bCs/>
          <w:sz w:val="22"/>
          <w:szCs w:val="22"/>
        </w:rPr>
        <w:t>Employee Satisfaction During Organisational Change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68"/>
        <w:gridCol w:w="2652"/>
        <w:gridCol w:w="2360"/>
        <w:gridCol w:w="2476"/>
      </w:tblGrid>
      <w:tr w:rsidR="0022622B" w:rsidRPr="0022622B" w14:paraId="3DDEC725" w14:textId="77777777" w:rsidTr="0022622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1FA370A" w14:textId="77777777" w:rsidR="0022622B" w:rsidRPr="0022622B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lastRenderedPageBreak/>
              <w:t>Paradigm</w:t>
            </w:r>
          </w:p>
        </w:tc>
        <w:tc>
          <w:tcPr>
            <w:tcW w:w="0" w:type="auto"/>
            <w:vAlign w:val="center"/>
            <w:hideMark/>
          </w:tcPr>
          <w:p w14:paraId="371E5958" w14:textId="77777777" w:rsidR="0022622B" w:rsidRPr="0022622B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What Counts as Knowledge?</w:t>
            </w:r>
          </w:p>
        </w:tc>
        <w:tc>
          <w:tcPr>
            <w:tcW w:w="0" w:type="auto"/>
            <w:vAlign w:val="center"/>
            <w:hideMark/>
          </w:tcPr>
          <w:p w14:paraId="22564F3A" w14:textId="77777777" w:rsidR="0022622B" w:rsidRPr="0022622B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How Do We Get It?</w:t>
            </w:r>
          </w:p>
        </w:tc>
        <w:tc>
          <w:tcPr>
            <w:tcW w:w="0" w:type="auto"/>
            <w:vAlign w:val="center"/>
            <w:hideMark/>
          </w:tcPr>
          <w:p w14:paraId="642A17C5" w14:textId="77777777" w:rsidR="0022622B" w:rsidRPr="0022622B" w:rsidRDefault="0022622B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How Do We Know It’s True?</w:t>
            </w:r>
          </w:p>
        </w:tc>
      </w:tr>
      <w:tr w:rsidR="0022622B" w:rsidRPr="0022622B" w14:paraId="640B5561" w14:textId="77777777" w:rsidTr="0022622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68AA378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Positivist</w:t>
            </w:r>
          </w:p>
        </w:tc>
        <w:tc>
          <w:tcPr>
            <w:tcW w:w="0" w:type="auto"/>
            <w:vAlign w:val="center"/>
            <w:hideMark/>
          </w:tcPr>
          <w:p w14:paraId="2FAE01F2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>Objective data (e.g., employee retention rates, absenteeism, survey scores).</w:t>
            </w:r>
          </w:p>
        </w:tc>
        <w:tc>
          <w:tcPr>
            <w:tcW w:w="0" w:type="auto"/>
            <w:vAlign w:val="center"/>
            <w:hideMark/>
          </w:tcPr>
          <w:p w14:paraId="418D621A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>Use quantitative methods such as HR analytics, employee satisfaction surveys.</w:t>
            </w:r>
          </w:p>
        </w:tc>
        <w:tc>
          <w:tcPr>
            <w:tcW w:w="0" w:type="auto"/>
            <w:vAlign w:val="center"/>
            <w:hideMark/>
          </w:tcPr>
          <w:p w14:paraId="67F95A55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 xml:space="preserve">Knowledge is true if results are </w:t>
            </w: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consistent, measurable, and statistically valid</w:t>
            </w:r>
            <w:r w:rsidRPr="0022622B">
              <w:rPr>
                <w:rFonts w:asciiTheme="minorBidi" w:hAnsiTheme="minorBidi" w:cstheme="minorBidi"/>
                <w:sz w:val="22"/>
                <w:szCs w:val="22"/>
              </w:rPr>
              <w:t>.</w:t>
            </w:r>
          </w:p>
        </w:tc>
      </w:tr>
      <w:tr w:rsidR="0022622B" w:rsidRPr="0022622B" w14:paraId="35C7928A" w14:textId="77777777" w:rsidTr="0022622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1D756A9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Post-positivist</w:t>
            </w:r>
          </w:p>
        </w:tc>
        <w:tc>
          <w:tcPr>
            <w:tcW w:w="0" w:type="auto"/>
            <w:vAlign w:val="center"/>
            <w:hideMark/>
          </w:tcPr>
          <w:p w14:paraId="5D2464DD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>Combination of measurable data and contextual influences (e.g., leadership impact).</w:t>
            </w:r>
          </w:p>
        </w:tc>
        <w:tc>
          <w:tcPr>
            <w:tcW w:w="0" w:type="auto"/>
            <w:vAlign w:val="center"/>
            <w:hideMark/>
          </w:tcPr>
          <w:p w14:paraId="583E5976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>Mixed methods—survey data, interviews, and controlled experiments.</w:t>
            </w:r>
          </w:p>
        </w:tc>
        <w:tc>
          <w:tcPr>
            <w:tcW w:w="0" w:type="auto"/>
            <w:vAlign w:val="center"/>
            <w:hideMark/>
          </w:tcPr>
          <w:p w14:paraId="6AFAE246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 xml:space="preserve">Knowledge is reliable if </w:t>
            </w: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multiple sources confirm</w:t>
            </w:r>
            <w:r w:rsidRPr="0022622B">
              <w:rPr>
                <w:rFonts w:asciiTheme="minorBidi" w:hAnsiTheme="minorBidi" w:cstheme="minorBidi"/>
                <w:sz w:val="22"/>
                <w:szCs w:val="22"/>
              </w:rPr>
              <w:t xml:space="preserve"> trends with minimal bias.</w:t>
            </w:r>
          </w:p>
        </w:tc>
      </w:tr>
      <w:tr w:rsidR="0022622B" w:rsidRPr="0022622B" w14:paraId="38143FA9" w14:textId="77777777" w:rsidTr="0022622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44D7C64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Critical Theory</w:t>
            </w:r>
          </w:p>
        </w:tc>
        <w:tc>
          <w:tcPr>
            <w:tcW w:w="0" w:type="auto"/>
            <w:vAlign w:val="center"/>
            <w:hideMark/>
          </w:tcPr>
          <w:p w14:paraId="6BA9F45F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>Power structures in organisational change, employee voice in decision-making, inequalities.</w:t>
            </w:r>
          </w:p>
        </w:tc>
        <w:tc>
          <w:tcPr>
            <w:tcW w:w="0" w:type="auto"/>
            <w:vAlign w:val="center"/>
            <w:hideMark/>
          </w:tcPr>
          <w:p w14:paraId="7210DDDD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>Critical discourse analysis, focus groups, policy reviews.</w:t>
            </w:r>
          </w:p>
        </w:tc>
        <w:tc>
          <w:tcPr>
            <w:tcW w:w="0" w:type="auto"/>
            <w:vAlign w:val="center"/>
            <w:hideMark/>
          </w:tcPr>
          <w:p w14:paraId="0C1C6325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 xml:space="preserve">Truth is established if research </w:t>
            </w: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exposes workplace inequalities</w:t>
            </w:r>
            <w:r w:rsidRPr="0022622B">
              <w:rPr>
                <w:rFonts w:asciiTheme="minorBidi" w:hAnsiTheme="minorBidi" w:cstheme="minorBidi"/>
                <w:sz w:val="22"/>
                <w:szCs w:val="22"/>
              </w:rPr>
              <w:t xml:space="preserve"> and promotes fairness.</w:t>
            </w:r>
          </w:p>
        </w:tc>
      </w:tr>
      <w:tr w:rsidR="0022622B" w:rsidRPr="0022622B" w14:paraId="2298D74B" w14:textId="77777777" w:rsidTr="0022622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BDAF93A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Interpretivist/Constructivist</w:t>
            </w:r>
          </w:p>
        </w:tc>
        <w:tc>
          <w:tcPr>
            <w:tcW w:w="0" w:type="auto"/>
            <w:vAlign w:val="center"/>
            <w:hideMark/>
          </w:tcPr>
          <w:p w14:paraId="1A98272D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>Subjective experiences of employee satisfaction (e.g., personal meaning, emotions, adaptability).</w:t>
            </w:r>
          </w:p>
        </w:tc>
        <w:tc>
          <w:tcPr>
            <w:tcW w:w="0" w:type="auto"/>
            <w:vAlign w:val="center"/>
            <w:hideMark/>
          </w:tcPr>
          <w:p w14:paraId="5A239BA0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>Qualitative methods—personal narratives, ethnographic studies, employee diaries.</w:t>
            </w:r>
          </w:p>
        </w:tc>
        <w:tc>
          <w:tcPr>
            <w:tcW w:w="0" w:type="auto"/>
            <w:vAlign w:val="center"/>
            <w:hideMark/>
          </w:tcPr>
          <w:p w14:paraId="23161E65" w14:textId="77777777" w:rsidR="0022622B" w:rsidRPr="0022622B" w:rsidRDefault="0022622B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22622B">
              <w:rPr>
                <w:rFonts w:asciiTheme="minorBidi" w:hAnsiTheme="minorBidi" w:cstheme="minorBidi"/>
                <w:sz w:val="22"/>
                <w:szCs w:val="22"/>
              </w:rPr>
              <w:t xml:space="preserve">Truth is validated through </w:t>
            </w:r>
            <w:r w:rsidRPr="0022622B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employees’ lived experiences and reflections</w:t>
            </w:r>
            <w:r w:rsidRPr="0022622B">
              <w:rPr>
                <w:rFonts w:asciiTheme="minorBidi" w:hAnsiTheme="minorBidi" w:cstheme="minorBidi"/>
                <w:sz w:val="22"/>
                <w:szCs w:val="22"/>
              </w:rPr>
              <w:t>.</w:t>
            </w:r>
          </w:p>
        </w:tc>
      </w:tr>
    </w:tbl>
    <w:p w14:paraId="5C88207A" w14:textId="77777777" w:rsidR="0022622B" w:rsidRPr="0022622B" w:rsidRDefault="0022622B" w:rsidP="0022622B">
      <w:pPr>
        <w:rPr>
          <w:rFonts w:asciiTheme="minorBidi" w:hAnsiTheme="minorBidi" w:cstheme="minorBidi"/>
          <w:sz w:val="22"/>
          <w:szCs w:val="22"/>
        </w:rPr>
      </w:pPr>
      <w:r w:rsidRPr="0022622B">
        <w:rPr>
          <w:rFonts w:asciiTheme="minorBidi" w:hAnsiTheme="minorBidi" w:cstheme="minorBidi"/>
          <w:sz w:val="22"/>
          <w:szCs w:val="22"/>
        </w:rPr>
        <w:pict w14:anchorId="0F0B34D8">
          <v:rect id="_x0000_i1058" style="width:0;height:1.5pt" o:hrstd="t" o:hr="t" fillcolor="#a0a0a0" stroked="f"/>
        </w:pict>
      </w:r>
    </w:p>
    <w:p w14:paraId="22B14939" w14:textId="77777777" w:rsidR="0022622B" w:rsidRPr="008D07EA" w:rsidRDefault="0022622B" w:rsidP="0022622B">
      <w:pPr>
        <w:rPr>
          <w:rFonts w:asciiTheme="minorBidi" w:hAnsiTheme="minorBidi" w:cstheme="minorBidi"/>
          <w:sz w:val="22"/>
          <w:szCs w:val="22"/>
        </w:rPr>
      </w:pPr>
    </w:p>
    <w:p w14:paraId="23EA53B4" w14:textId="2E7B4B34" w:rsidR="008D07EA" w:rsidRPr="008D07EA" w:rsidRDefault="008D07EA" w:rsidP="0022622B">
      <w:pPr>
        <w:spacing w:before="100" w:beforeAutospacing="1" w:after="100" w:afterAutospacing="1"/>
        <w:outlineLvl w:val="2"/>
        <w:rPr>
          <w:rFonts w:asciiTheme="minorBidi" w:hAnsiTheme="minorBidi" w:cstheme="minorBidi"/>
          <w:b/>
          <w:bCs/>
          <w:sz w:val="22"/>
          <w:szCs w:val="22"/>
        </w:rPr>
      </w:pPr>
      <w:r w:rsidRPr="008D07EA">
        <w:rPr>
          <w:rFonts w:asciiTheme="minorBidi" w:hAnsiTheme="minorBidi" w:cstheme="minorBidi"/>
          <w:b/>
          <w:bCs/>
          <w:sz w:val="22"/>
          <w:szCs w:val="22"/>
        </w:rPr>
        <w:t xml:space="preserve">Table </w:t>
      </w:r>
      <w:r w:rsidR="0022622B" w:rsidRPr="0022622B">
        <w:rPr>
          <w:rFonts w:asciiTheme="minorBidi" w:hAnsiTheme="minorBidi" w:cstheme="minorBidi"/>
          <w:b/>
          <w:bCs/>
          <w:sz w:val="22"/>
          <w:szCs w:val="22"/>
        </w:rPr>
        <w:t>4</w:t>
      </w:r>
      <w:r w:rsidRPr="0022622B">
        <w:rPr>
          <w:rFonts w:asciiTheme="minorBidi" w:hAnsiTheme="minorBidi" w:cstheme="minorBidi"/>
          <w:b/>
          <w:bCs/>
          <w:sz w:val="22"/>
          <w:szCs w:val="22"/>
        </w:rPr>
        <w:t>:</w:t>
      </w:r>
      <w:r w:rsidR="0022622B" w:rsidRPr="0022622B">
        <w:rPr>
          <w:rFonts w:asciiTheme="minorBidi" w:hAnsiTheme="minorBidi" w:cstheme="minorBidi"/>
          <w:b/>
          <w:bCs/>
          <w:sz w:val="22"/>
          <w:szCs w:val="22"/>
        </w:rPr>
        <w:t xml:space="preserve"> </w:t>
      </w:r>
      <w:r w:rsidRPr="008D07EA">
        <w:rPr>
          <w:rFonts w:asciiTheme="minorBidi" w:hAnsiTheme="minorBidi" w:cstheme="minorBidi"/>
          <w:b/>
          <w:bCs/>
          <w:sz w:val="22"/>
          <w:szCs w:val="22"/>
        </w:rPr>
        <w:t>Knowledge Perspective on Leadership Effectiveness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968"/>
        <w:gridCol w:w="2661"/>
        <w:gridCol w:w="2356"/>
        <w:gridCol w:w="2471"/>
      </w:tblGrid>
      <w:tr w:rsidR="0022622B" w:rsidRPr="008D07EA" w14:paraId="045E3175" w14:textId="77777777" w:rsidTr="006713C5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F99F176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Paradigm</w:t>
            </w:r>
          </w:p>
        </w:tc>
        <w:tc>
          <w:tcPr>
            <w:tcW w:w="0" w:type="auto"/>
            <w:vAlign w:val="center"/>
            <w:hideMark/>
          </w:tcPr>
          <w:p w14:paraId="7FD12A3C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What Counts as Knowledge?</w:t>
            </w:r>
          </w:p>
        </w:tc>
        <w:tc>
          <w:tcPr>
            <w:tcW w:w="0" w:type="auto"/>
            <w:vAlign w:val="center"/>
            <w:hideMark/>
          </w:tcPr>
          <w:p w14:paraId="164E2F11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How Do We Get It?</w:t>
            </w:r>
          </w:p>
        </w:tc>
        <w:tc>
          <w:tcPr>
            <w:tcW w:w="0" w:type="auto"/>
            <w:vAlign w:val="center"/>
            <w:hideMark/>
          </w:tcPr>
          <w:p w14:paraId="50706EF9" w14:textId="77777777" w:rsidR="008D07EA" w:rsidRPr="008D07EA" w:rsidRDefault="008D07EA" w:rsidP="0022622B">
            <w:pPr>
              <w:rPr>
                <w:rFonts w:asciiTheme="minorBidi" w:hAnsiTheme="minorBidi" w:cstheme="minorBidi"/>
                <w:b/>
                <w:bCs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How Do We Know It’s True?</w:t>
            </w:r>
          </w:p>
        </w:tc>
      </w:tr>
      <w:tr w:rsidR="0022622B" w:rsidRPr="008D07EA" w14:paraId="0B5C64D0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C9C17AB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Positivist</w:t>
            </w:r>
          </w:p>
        </w:tc>
        <w:tc>
          <w:tcPr>
            <w:tcW w:w="0" w:type="auto"/>
            <w:vAlign w:val="center"/>
            <w:hideMark/>
          </w:tcPr>
          <w:p w14:paraId="7B44BD8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Objective data (e.g., team performance, efficiency, engagement scores).</w:t>
            </w:r>
          </w:p>
        </w:tc>
        <w:tc>
          <w:tcPr>
            <w:tcW w:w="0" w:type="auto"/>
            <w:vAlign w:val="center"/>
            <w:hideMark/>
          </w:tcPr>
          <w:p w14:paraId="1726FB85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Measure &amp; test using surveys, experiments, and quantitative data.</w:t>
            </w:r>
          </w:p>
        </w:tc>
        <w:tc>
          <w:tcPr>
            <w:tcW w:w="0" w:type="auto"/>
            <w:vAlign w:val="center"/>
            <w:hideMark/>
          </w:tcPr>
          <w:p w14:paraId="4D8BE852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Results are valid if they are measurable, repeatable, and statistically significant.</w:t>
            </w:r>
          </w:p>
        </w:tc>
      </w:tr>
      <w:tr w:rsidR="0022622B" w:rsidRPr="008D07EA" w14:paraId="6996E059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2943CED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Post-positivist</w:t>
            </w:r>
          </w:p>
        </w:tc>
        <w:tc>
          <w:tcPr>
            <w:tcW w:w="0" w:type="auto"/>
            <w:vAlign w:val="center"/>
            <w:hideMark/>
          </w:tcPr>
          <w:p w14:paraId="3BF2473C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Multiple indicators (e.g., leadership impact, communication effectiveness).</w:t>
            </w:r>
          </w:p>
        </w:tc>
        <w:tc>
          <w:tcPr>
            <w:tcW w:w="0" w:type="auto"/>
            <w:vAlign w:val="center"/>
            <w:hideMark/>
          </w:tcPr>
          <w:p w14:paraId="58A39B7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Mixed methods—combining surveys, case studies, and observations.</w:t>
            </w:r>
          </w:p>
        </w:tc>
        <w:tc>
          <w:tcPr>
            <w:tcW w:w="0" w:type="auto"/>
            <w:vAlign w:val="center"/>
            <w:hideMark/>
          </w:tcPr>
          <w:p w14:paraId="178F254E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Findings are considered true if different sources confirm the patterns and trends.</w:t>
            </w:r>
          </w:p>
        </w:tc>
      </w:tr>
      <w:tr w:rsidR="0022622B" w:rsidRPr="008D07EA" w14:paraId="652BF928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C29AD51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Critical Theory</w:t>
            </w:r>
          </w:p>
        </w:tc>
        <w:tc>
          <w:tcPr>
            <w:tcW w:w="0" w:type="auto"/>
            <w:vAlign w:val="center"/>
            <w:hideMark/>
          </w:tcPr>
          <w:p w14:paraId="45EAE759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Power dynamics (e.g., who has control in virtual teams, inclusion in decision-making).</w:t>
            </w:r>
          </w:p>
        </w:tc>
        <w:tc>
          <w:tcPr>
            <w:tcW w:w="0" w:type="auto"/>
            <w:vAlign w:val="center"/>
            <w:hideMark/>
          </w:tcPr>
          <w:p w14:paraId="5FBA22E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Dialogue &amp; critique—analysing leadership's effects on different team members.</w:t>
            </w:r>
          </w:p>
        </w:tc>
        <w:tc>
          <w:tcPr>
            <w:tcW w:w="0" w:type="auto"/>
            <w:vAlign w:val="center"/>
            <w:hideMark/>
          </w:tcPr>
          <w:p w14:paraId="02D94B57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Validity is based on whether the research reveals inequalities and drives positive change.</w:t>
            </w:r>
          </w:p>
        </w:tc>
      </w:tr>
      <w:tr w:rsidR="0022622B" w:rsidRPr="008D07EA" w14:paraId="6C69BD6B" w14:textId="77777777" w:rsidTr="006713C5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3026858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b/>
                <w:bCs/>
                <w:sz w:val="22"/>
                <w:szCs w:val="22"/>
              </w:rPr>
              <w:t>Interpretivist/Constructivist</w:t>
            </w:r>
          </w:p>
        </w:tc>
        <w:tc>
          <w:tcPr>
            <w:tcW w:w="0" w:type="auto"/>
            <w:vAlign w:val="center"/>
            <w:hideMark/>
          </w:tcPr>
          <w:p w14:paraId="6E69EFA0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Personal experiences (e.g., how team members and leaders perceive their effectiveness).</w:t>
            </w:r>
          </w:p>
        </w:tc>
        <w:tc>
          <w:tcPr>
            <w:tcW w:w="0" w:type="auto"/>
            <w:vAlign w:val="center"/>
            <w:hideMark/>
          </w:tcPr>
          <w:p w14:paraId="711AD066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In-depth interviews, case studies, and ethnographic research.</w:t>
            </w:r>
          </w:p>
        </w:tc>
        <w:tc>
          <w:tcPr>
            <w:tcW w:w="0" w:type="auto"/>
            <w:vAlign w:val="center"/>
            <w:hideMark/>
          </w:tcPr>
          <w:p w14:paraId="2CB9BBE3" w14:textId="77777777" w:rsidR="008D07EA" w:rsidRPr="008D07EA" w:rsidRDefault="008D07EA" w:rsidP="0022622B">
            <w:pPr>
              <w:rPr>
                <w:rFonts w:asciiTheme="minorBidi" w:hAnsiTheme="minorBidi" w:cstheme="minorBidi"/>
                <w:sz w:val="22"/>
                <w:szCs w:val="22"/>
              </w:rPr>
            </w:pPr>
            <w:r w:rsidRPr="008D07EA">
              <w:rPr>
                <w:rFonts w:asciiTheme="minorBidi" w:hAnsiTheme="minorBidi" w:cstheme="minorBidi"/>
                <w:sz w:val="22"/>
                <w:szCs w:val="22"/>
              </w:rPr>
              <w:t>Knowledge is valid when participants confirm that it represents their lived experiences.</w:t>
            </w:r>
          </w:p>
        </w:tc>
      </w:tr>
    </w:tbl>
    <w:p w14:paraId="6A85539C" w14:textId="77777777" w:rsidR="008D07EA" w:rsidRPr="0022622B" w:rsidRDefault="008D07EA" w:rsidP="0022622B">
      <w:pPr>
        <w:spacing w:before="100" w:beforeAutospacing="1" w:after="100" w:afterAutospacing="1"/>
        <w:outlineLvl w:val="3"/>
        <w:rPr>
          <w:rFonts w:asciiTheme="minorBidi" w:hAnsiTheme="minorBidi" w:cstheme="minorBidi"/>
          <w:b/>
          <w:bCs/>
          <w:sz w:val="22"/>
          <w:szCs w:val="22"/>
        </w:rPr>
      </w:pPr>
    </w:p>
    <w:sectPr w:rsidR="008D07EA" w:rsidRPr="0022622B" w:rsidSect="0022622B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83D4703"/>
    <w:multiLevelType w:val="multilevel"/>
    <w:tmpl w:val="E604C8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4581376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07EA"/>
    <w:rsid w:val="0022622B"/>
    <w:rsid w:val="00745D0C"/>
    <w:rsid w:val="00870D93"/>
    <w:rsid w:val="008D07EA"/>
    <w:rsid w:val="008E4F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C415C5"/>
  <w15:chartTrackingRefBased/>
  <w15:docId w15:val="{1E66043C-CEA5-44F3-A820-ADFF5BD09B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2622B"/>
    <w:pPr>
      <w:spacing w:after="0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07E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07E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D07E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07E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07E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07E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07E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07E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07E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07E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07E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D07E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07E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07E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07E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07E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07E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07E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07E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07E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07E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07E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07E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07E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07E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07E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07E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07E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07E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22622B"/>
    <w:pPr>
      <w:spacing w:before="100" w:beforeAutospacing="1" w:after="100" w:afterAutospacing="1"/>
    </w:pPr>
  </w:style>
  <w:style w:type="character" w:styleId="Strong">
    <w:name w:val="Strong"/>
    <w:basedOn w:val="DefaultParagraphFont"/>
    <w:uiPriority w:val="22"/>
    <w:qFormat/>
    <w:rsid w:val="0022622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39241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25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1745</Words>
  <Characters>9948</Characters>
  <Application>Microsoft Office Word</Application>
  <DocSecurity>0</DocSecurity>
  <Lines>82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2</cp:revision>
  <dcterms:created xsi:type="dcterms:W3CDTF">2025-02-22T12:23:00Z</dcterms:created>
  <dcterms:modified xsi:type="dcterms:W3CDTF">2025-02-22T12:23:00Z</dcterms:modified>
</cp:coreProperties>
</file>