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15BD48" w14:textId="77777777" w:rsidR="00516506" w:rsidRPr="008D4133" w:rsidRDefault="00516506" w:rsidP="00516506">
      <w:pPr>
        <w:pStyle w:val="Heading1"/>
        <w:snapToGrid w:val="0"/>
        <w:spacing w:before="1"/>
        <w:ind w:left="0" w:right="-52"/>
        <w:jc w:val="both"/>
        <w:rPr>
          <w:b/>
          <w:bCs/>
          <w:sz w:val="22"/>
          <w:szCs w:val="22"/>
          <w:u w:val="single"/>
        </w:rPr>
      </w:pPr>
      <w:r w:rsidRPr="008D4133">
        <w:rPr>
          <w:b/>
          <w:bCs/>
          <w:sz w:val="22"/>
          <w:szCs w:val="22"/>
          <w:u w:val="single"/>
        </w:rPr>
        <w:t>Introduction</w:t>
      </w:r>
    </w:p>
    <w:p w14:paraId="470B5FF4" w14:textId="77777777" w:rsidR="00516506" w:rsidRPr="008D4133" w:rsidRDefault="00516506" w:rsidP="00516506">
      <w:pPr>
        <w:pStyle w:val="Heading1"/>
        <w:snapToGrid w:val="0"/>
        <w:spacing w:before="1"/>
        <w:ind w:left="0" w:right="-52"/>
        <w:jc w:val="both"/>
        <w:rPr>
          <w:b/>
          <w:bCs/>
          <w:sz w:val="22"/>
          <w:szCs w:val="22"/>
          <w:u w:val="single"/>
        </w:rPr>
      </w:pPr>
      <w:r w:rsidRPr="008D4133">
        <w:rPr>
          <w:sz w:val="22"/>
          <w:szCs w:val="22"/>
        </w:rPr>
        <w:t xml:space="preserve">Providing meaningful feedback to learners, through assessment for learning (AfL), and adapting teaching to meet their needs can be a powerful tool in learner progress </w:t>
      </w:r>
      <w:r w:rsidRPr="008D4133">
        <w:rPr>
          <w:color w:val="21211E"/>
          <w:sz w:val="22"/>
          <w:szCs w:val="22"/>
        </w:rPr>
        <w:t xml:space="preserve">(Donaldson, 2015, p.68), with Wiliam (2018a, p.38) stating that the </w:t>
      </w:r>
      <w:r w:rsidRPr="008D4133">
        <w:rPr>
          <w:sz w:val="22"/>
          <w:szCs w:val="22"/>
        </w:rPr>
        <w:t xml:space="preserve">rate of learning can be doubled if AfL is implemented effectively. Whilst assessment </w:t>
      </w:r>
      <w:r w:rsidRPr="008D4133">
        <w:rPr>
          <w:i/>
          <w:iCs/>
          <w:sz w:val="22"/>
          <w:szCs w:val="22"/>
        </w:rPr>
        <w:t>of</w:t>
      </w:r>
      <w:r w:rsidRPr="008D4133">
        <w:rPr>
          <w:sz w:val="22"/>
          <w:szCs w:val="22"/>
        </w:rPr>
        <w:t xml:space="preserve"> learning utilises summative assessments (Deeley, 2017), where the end result is to summarise the expertise of an individual in an academic field following the completion of a learning sequence (Radford, Webster and Bosanquet, 2021), assessment </w:t>
      </w:r>
      <w:r w:rsidRPr="008D4133">
        <w:rPr>
          <w:i/>
          <w:iCs/>
          <w:sz w:val="22"/>
          <w:szCs w:val="22"/>
        </w:rPr>
        <w:t xml:space="preserve">for </w:t>
      </w:r>
      <w:r w:rsidRPr="008D4133">
        <w:rPr>
          <w:sz w:val="22"/>
          <w:szCs w:val="22"/>
        </w:rPr>
        <w:t xml:space="preserve">learning focuses on formative assessment, which sees the process used to aid learner progress during a learning sequence (ibid). </w:t>
      </w:r>
    </w:p>
    <w:p w14:paraId="1A6CE397" w14:textId="77777777" w:rsidR="00516506" w:rsidRPr="008D4133" w:rsidRDefault="00516506" w:rsidP="00516506">
      <w:pPr>
        <w:spacing w:before="92"/>
        <w:ind w:right="-33"/>
        <w:jc w:val="both"/>
      </w:pPr>
      <w:r w:rsidRPr="008D4133">
        <w:t>The definition of assessment, in the context of AfL, can be taken to mean an activity, often referred to as a strategy (Appendix A), carried out by teachers or learners to gain an insight as to whether learners are progressing as expected, or whether teaching requires modification to aid learner progress (Black and Wiliam, 1998, p.140). In pursuit of the Four Purposes (Welsh Government, 2020), effective classroom practitioners utilise AfL not only to identify areas where additional support is required, but also, as a vehicle to bring to light the efficacy of their own practice, and to foster ambitious learners (Donaldson, 2015, p.68). Effective practice within this area is demanding and, as such, should be a focus of professional development (ibid, p.78). Implementation of AfL is also reported as enhancing the classroom practitioner’s professionalism and ability to be a facilitator of learning, as opposed to being one who just delivers content (Flórez and Sammons, 2013, p.18). Furthermore, Wiliam (2016) highlights how AfL, as a continuum during practice, also improves the classroom practitioner’s own reflection. Being on the cusp of educational reform, with the Curriculum for Wales set to be fully implemented from September 2022 (Welsh Government, 2020), schools will be required to design their own curriculum, incorporating assessment as an ongoing process (ibid, p.31). As such, there is an immediate need for AfL to be embedded within student teacher education and understanding, with criticality and reflection (both during and after teaching) being required in order to ensure best practice (</w:t>
      </w:r>
      <w:r w:rsidRPr="008D4133">
        <w:rPr>
          <w:lang w:bidi="ar-SA"/>
        </w:rPr>
        <w:t>Schön</w:t>
      </w:r>
      <w:r w:rsidRPr="008D4133">
        <w:t>, 1987; Welsh Government, 2019). It is for such reasons that AfL features within the Professional Standards for Teaching and Leadership (Welsh Government, 2019) and Donaldson’s (2015) Pedagogical Principles, and a driving force for it being the specific area of focus of this assignment.</w:t>
      </w:r>
    </w:p>
    <w:p w14:paraId="5E63EA6D" w14:textId="77777777" w:rsidR="00516506" w:rsidRPr="008D4133" w:rsidRDefault="00516506" w:rsidP="00516506">
      <w:pPr>
        <w:spacing w:before="92"/>
        <w:ind w:right="-33"/>
        <w:jc w:val="both"/>
      </w:pPr>
      <w:r w:rsidRPr="008D4133">
        <w:t>As such, this assignment looks to critically discuss some of the topics surrounding AfL, and link theory to own recent practice conducting AfL during professional teaching experience (PTE1 Block 1). The results of the critical discussion will then be used to identify specific actions to be taken in own future teaching, in order to use AfL to accelerate learner progress.</w:t>
      </w:r>
    </w:p>
    <w:p w14:paraId="3A2537E2" w14:textId="77777777" w:rsidR="00516506" w:rsidRPr="008D4133" w:rsidRDefault="00516506" w:rsidP="00516506">
      <w:pPr>
        <w:spacing w:before="92"/>
        <w:ind w:right="-33"/>
        <w:jc w:val="both"/>
        <w:rPr>
          <w:rFonts w:eastAsia="Times New Roman"/>
          <w:color w:val="21211E"/>
          <w:lang w:bidi="ar-SA"/>
        </w:rPr>
      </w:pPr>
      <w:r w:rsidRPr="008D4133">
        <w:rPr>
          <w:rFonts w:eastAsia="Times New Roman"/>
          <w:color w:val="21211E"/>
          <w:lang w:bidi="ar-SA"/>
        </w:rPr>
        <w:t>Black and Wiliam (1998) identified four characteristics of effective AfL:</w:t>
      </w:r>
    </w:p>
    <w:p w14:paraId="40DD9C3D" w14:textId="77777777" w:rsidR="00516506" w:rsidRPr="008D4133" w:rsidRDefault="00516506" w:rsidP="00516506">
      <w:pPr>
        <w:pStyle w:val="ListParagraph"/>
        <w:numPr>
          <w:ilvl w:val="0"/>
          <w:numId w:val="7"/>
        </w:numPr>
        <w:spacing w:before="92"/>
        <w:ind w:right="-33"/>
      </w:pPr>
      <w:r w:rsidRPr="008D4133">
        <w:rPr>
          <w:rFonts w:eastAsia="Times New Roman"/>
          <w:color w:val="21211E"/>
          <w:lang w:bidi="ar-SA"/>
        </w:rPr>
        <w:t>Sharing criteria with others</w:t>
      </w:r>
    </w:p>
    <w:p w14:paraId="10BFA069" w14:textId="77777777" w:rsidR="00516506" w:rsidRPr="008D4133" w:rsidRDefault="00516506" w:rsidP="00516506">
      <w:pPr>
        <w:pStyle w:val="ListParagraph"/>
        <w:numPr>
          <w:ilvl w:val="0"/>
          <w:numId w:val="7"/>
        </w:numPr>
        <w:spacing w:before="92"/>
        <w:ind w:right="-33"/>
      </w:pPr>
      <w:r w:rsidRPr="008D4133">
        <w:rPr>
          <w:rFonts w:eastAsia="Times New Roman"/>
          <w:color w:val="21211E"/>
          <w:lang w:bidi="ar-SA"/>
        </w:rPr>
        <w:t>Quality of questions/quality of talk</w:t>
      </w:r>
    </w:p>
    <w:p w14:paraId="2279A43A" w14:textId="77777777" w:rsidR="00516506" w:rsidRPr="008D4133" w:rsidRDefault="00516506" w:rsidP="00516506">
      <w:pPr>
        <w:pStyle w:val="ListParagraph"/>
        <w:numPr>
          <w:ilvl w:val="0"/>
          <w:numId w:val="7"/>
        </w:numPr>
        <w:spacing w:before="92"/>
        <w:ind w:right="-33"/>
      </w:pPr>
      <w:r w:rsidRPr="008D4133">
        <w:rPr>
          <w:rFonts w:eastAsia="Times New Roman"/>
          <w:color w:val="21211E"/>
          <w:lang w:bidi="ar-SA"/>
        </w:rPr>
        <w:t>Use and quality of feedback</w:t>
      </w:r>
    </w:p>
    <w:p w14:paraId="2F9E14DF" w14:textId="77777777" w:rsidR="00516506" w:rsidRPr="008D4133" w:rsidRDefault="00516506" w:rsidP="00516506">
      <w:pPr>
        <w:pStyle w:val="ListParagraph"/>
        <w:numPr>
          <w:ilvl w:val="0"/>
          <w:numId w:val="7"/>
        </w:numPr>
        <w:spacing w:before="92"/>
        <w:ind w:right="-33"/>
      </w:pPr>
      <w:r w:rsidRPr="008D4133">
        <w:rPr>
          <w:rFonts w:eastAsia="Times New Roman"/>
          <w:color w:val="21211E"/>
          <w:lang w:bidi="ar-SA"/>
        </w:rPr>
        <w:t>Peer and self-assessment</w:t>
      </w:r>
    </w:p>
    <w:p w14:paraId="5E9373A5" w14:textId="77777777" w:rsidR="00516506" w:rsidRPr="008D4133" w:rsidRDefault="00516506" w:rsidP="00516506">
      <w:pPr>
        <w:spacing w:before="92"/>
        <w:ind w:right="-33"/>
        <w:jc w:val="both"/>
      </w:pPr>
      <w:r w:rsidRPr="008D4133">
        <w:t>The experience which forms the basis of this assignment (Professional Experience Template 1) fell within the AfL characteristic of ‘use and quality of feedback’ (Welsh Government, 2010), whereby the ongoing feedback aimed to keep learners on track. However, other characteristics will also be discussed in this assignment, in order to provide a deeper understanding of effective practice going forward.</w:t>
      </w:r>
    </w:p>
    <w:p w14:paraId="59C86977" w14:textId="77777777" w:rsidR="00516506" w:rsidRPr="008D4133" w:rsidRDefault="00516506" w:rsidP="00516506">
      <w:pPr>
        <w:spacing w:before="92"/>
        <w:ind w:right="-33"/>
        <w:jc w:val="both"/>
      </w:pPr>
    </w:p>
    <w:p w14:paraId="7882E2FA" w14:textId="77777777" w:rsidR="00516506" w:rsidRPr="008D4133" w:rsidRDefault="00516506" w:rsidP="00516506">
      <w:pPr>
        <w:spacing w:before="92"/>
        <w:ind w:right="-33"/>
        <w:jc w:val="both"/>
        <w:rPr>
          <w:b/>
          <w:bCs/>
          <w:u w:val="single"/>
        </w:rPr>
      </w:pPr>
      <w:r w:rsidRPr="008D4133">
        <w:rPr>
          <w:b/>
          <w:bCs/>
          <w:u w:val="single"/>
        </w:rPr>
        <w:t>Critical discussion</w:t>
      </w:r>
    </w:p>
    <w:p w14:paraId="504A8E79" w14:textId="77777777" w:rsidR="00516506" w:rsidRPr="008D4133" w:rsidRDefault="00516506" w:rsidP="00516506">
      <w:pPr>
        <w:spacing w:before="92"/>
        <w:ind w:right="-33"/>
        <w:jc w:val="both"/>
      </w:pPr>
      <w:r w:rsidRPr="008D4133">
        <w:t>‘Use and quality of feedback’ strategies focus on providing information and next steps to the learner as to how to progress, instead of merely summarising weaknesses in the learner’s work (Wiliam, 2018a, p.140), or just providing grades (</w:t>
      </w:r>
      <w:r w:rsidRPr="008D4133">
        <w:rPr>
          <w:color w:val="21211E"/>
        </w:rPr>
        <w:t>Flórez and Sammons, 2013</w:t>
      </w:r>
      <w:r w:rsidRPr="008D4133">
        <w:t xml:space="preserve">). Bridging the gaps in knowledge or skills needs to appear achievable to the learner concerned (Coe </w:t>
      </w:r>
      <w:r w:rsidRPr="008D4133">
        <w:rPr>
          <w:i/>
          <w:iCs/>
        </w:rPr>
        <w:t xml:space="preserve">et </w:t>
      </w:r>
      <w:r w:rsidRPr="008D4133">
        <w:rPr>
          <w:i/>
          <w:iCs/>
        </w:rPr>
        <w:lastRenderedPageBreak/>
        <w:t>al.</w:t>
      </w:r>
      <w:r w:rsidRPr="008D4133">
        <w:t xml:space="preserve">, 2020, p.35) and thus, providing assistance on how to do so will aid in accelerating learner progress (Wiliam, 2018a). Following this, it is vital that feedback be acted on (Coe </w:t>
      </w:r>
      <w:r w:rsidRPr="008D4133">
        <w:rPr>
          <w:i/>
          <w:iCs/>
        </w:rPr>
        <w:t>et al.,</w:t>
      </w:r>
      <w:r w:rsidRPr="008D4133">
        <w:t xml:space="preserve"> 2020; Radford, Webster and Bosanquet, 2021). In this way, AfL can focus on the future and not the past (Wiliam, 2018b). It is with these points in mind that the professional experience (Professional Experience Template 1), during own practice in Reception, was conducted through the use of the ‘one star and a wish’ strategy, which aimed to provide ongoing feedback to enable learners to keep their learning on track. Learners were engaged in teacher-learner reflective conversation to highlight areas where success criteria were met, and what steps they could next take to progress their learning. One such example being providing advice to a learner on how to improve their pencil grip, as opposed to merely saying that their handwriting was messy. Learners were then seen to act upon the feedback in a positive manner, having been given the tools necessary to do so, in the form of actionable feedback. For this to be effective, feedback must be clearly linked to success criteria (</w:t>
      </w:r>
      <w:r w:rsidRPr="008D4133">
        <w:rPr>
          <w:color w:val="21211E"/>
        </w:rPr>
        <w:t xml:space="preserve">Flórez and Sammons, 2013, </w:t>
      </w:r>
      <w:r w:rsidRPr="008D4133">
        <w:t xml:space="preserve">p.9), linked to the ‘sharing criteria with others’ AfL characteristic (Black and Wiliam, 1998), demonstrating how the four characteristics of AfL </w:t>
      </w:r>
      <w:r w:rsidRPr="008D4133">
        <w:rPr>
          <w:rFonts w:eastAsia="Times New Roman"/>
          <w:color w:val="21211E"/>
          <w:lang w:bidi="ar-SA"/>
        </w:rPr>
        <w:t>support and feed into each other</w:t>
      </w:r>
      <w:r w:rsidRPr="008D4133">
        <w:t xml:space="preserve">, as opposed to an AfL strategy being associated with only one characteristic. </w:t>
      </w:r>
    </w:p>
    <w:p w14:paraId="5748A953" w14:textId="77777777" w:rsidR="00516506" w:rsidRPr="008D4133" w:rsidRDefault="00516506" w:rsidP="00516506">
      <w:pPr>
        <w:spacing w:before="92"/>
        <w:ind w:right="-33"/>
        <w:jc w:val="both"/>
      </w:pPr>
      <w:r w:rsidRPr="008D4133">
        <w:t>Feedback must also be delivered in a manner appropriate to the learner’s ability, with easily understood language or communication formats. In this way, feedback can become meaningful (</w:t>
      </w:r>
      <w:r w:rsidRPr="008D4133">
        <w:rPr>
          <w:color w:val="21211E"/>
        </w:rPr>
        <w:t xml:space="preserve">Donaldson, 2015, p.67). </w:t>
      </w:r>
      <w:r w:rsidRPr="008D4133">
        <w:t>Personal experiences of using AfL within Reception provided an example of this whereby feedback was recorded pictorially to enable learners, not fully proficient in reading, to easily reflect on feedback and their next steps for improvement (Plate 1). Without such use and quality of feedback, feedback may impair learner progress, in place of accelerating it (Wiliam, 2018a, p.152).</w:t>
      </w:r>
    </w:p>
    <w:p w14:paraId="1994A82D" w14:textId="77777777" w:rsidR="00516506" w:rsidRPr="008D4133" w:rsidRDefault="00516506" w:rsidP="00516506">
      <w:pPr>
        <w:spacing w:before="92"/>
        <w:ind w:right="-33"/>
        <w:jc w:val="both"/>
      </w:pPr>
    </w:p>
    <w:p w14:paraId="770483B6" w14:textId="004B8A9D" w:rsidR="00516506" w:rsidRPr="008D4133" w:rsidRDefault="00516506" w:rsidP="00516506">
      <w:pPr>
        <w:keepNext/>
        <w:spacing w:before="92"/>
        <w:ind w:right="-33"/>
        <w:jc w:val="center"/>
      </w:pPr>
    </w:p>
    <w:p w14:paraId="033DD442" w14:textId="77777777" w:rsidR="00516506" w:rsidRPr="008D4133" w:rsidRDefault="00516506" w:rsidP="00516506">
      <w:pPr>
        <w:pStyle w:val="Caption"/>
        <w:numPr>
          <w:ilvl w:val="0"/>
          <w:numId w:val="0"/>
        </w:numPr>
        <w:jc w:val="center"/>
        <w:rPr>
          <w:rFonts w:ascii="Arial" w:hAnsi="Arial" w:cs="Arial"/>
          <w:szCs w:val="22"/>
        </w:rPr>
      </w:pPr>
      <w:r w:rsidRPr="008D4133">
        <w:rPr>
          <w:rFonts w:ascii="Arial" w:hAnsi="Arial" w:cs="Arial"/>
          <w:szCs w:val="22"/>
        </w:rPr>
        <w:t xml:space="preserve">Plate </w:t>
      </w:r>
      <w:r w:rsidRPr="008D4133">
        <w:rPr>
          <w:rFonts w:ascii="Arial" w:hAnsi="Arial" w:cs="Arial"/>
          <w:szCs w:val="22"/>
        </w:rPr>
        <w:fldChar w:fldCharType="begin"/>
      </w:r>
      <w:r w:rsidRPr="008D4133">
        <w:rPr>
          <w:rFonts w:ascii="Arial" w:hAnsi="Arial" w:cs="Arial"/>
          <w:szCs w:val="22"/>
        </w:rPr>
        <w:instrText xml:space="preserve"> SEQ Plate \* ARABIC </w:instrText>
      </w:r>
      <w:r w:rsidRPr="008D4133">
        <w:rPr>
          <w:rFonts w:ascii="Arial" w:hAnsi="Arial" w:cs="Arial"/>
          <w:szCs w:val="22"/>
        </w:rPr>
        <w:fldChar w:fldCharType="separate"/>
      </w:r>
      <w:r w:rsidRPr="008D4133">
        <w:rPr>
          <w:rFonts w:ascii="Arial" w:hAnsi="Arial" w:cs="Arial"/>
          <w:noProof/>
          <w:szCs w:val="22"/>
        </w:rPr>
        <w:t>1</w:t>
      </w:r>
      <w:r w:rsidRPr="008D4133">
        <w:rPr>
          <w:rFonts w:ascii="Arial" w:hAnsi="Arial" w:cs="Arial"/>
          <w:szCs w:val="22"/>
        </w:rPr>
        <w:fldChar w:fldCharType="end"/>
      </w:r>
      <w:r w:rsidRPr="008D4133">
        <w:rPr>
          <w:rFonts w:ascii="Arial" w:hAnsi="Arial" w:cs="Arial"/>
          <w:szCs w:val="22"/>
        </w:rPr>
        <w:t>. Image of the 'One star and a wish' chart created for use within Reception teaching.</w:t>
      </w:r>
    </w:p>
    <w:p w14:paraId="76049442" w14:textId="77777777" w:rsidR="00516506" w:rsidRPr="008D4133" w:rsidRDefault="00516506" w:rsidP="00516506">
      <w:pPr>
        <w:spacing w:before="92"/>
        <w:ind w:right="-33"/>
        <w:jc w:val="both"/>
      </w:pPr>
    </w:p>
    <w:p w14:paraId="28B88F3B" w14:textId="77777777" w:rsidR="00516506" w:rsidRPr="008D4133" w:rsidRDefault="00516506" w:rsidP="00516506">
      <w:pPr>
        <w:spacing w:before="92"/>
        <w:ind w:right="-33"/>
        <w:jc w:val="both"/>
      </w:pPr>
      <w:r w:rsidRPr="008D4133">
        <w:t>AfL feedback should also be regular (Rosenshine, 2012, p.16; Donaldson, 2015, p.67), and viewed as being an inextricably linked component of the learning continuum, with short cycles of implementation (Wiliam, 2018b), and not relegated to an end of sequence task (Schellekens et al. 2021). Bloom (1984) went further and put forward a case for providing immediate feedback, as experienced by learners during one-to-one tuition. However, experience from PTE 1 Block 1 has highlighted how classrooms can be busy environments which, as Hattie points out (2012, p.111) are ‘difficult to monitor’ where immediate feedback from the teacher for each learner is not always realistic. Time constraints may also impact the ability to provide meaningful feedback (</w:t>
      </w:r>
      <w:r w:rsidRPr="008D4133">
        <w:rPr>
          <w:color w:val="21211E"/>
        </w:rPr>
        <w:t xml:space="preserve">Flórez and Sammons, 2013, </w:t>
      </w:r>
      <w:r w:rsidRPr="008D4133">
        <w:t xml:space="preserve">p.10). The is exemplified in the aforementioned drawing technique utilised within Reception, which was time consuming and did not allow for all learners to be approached during the short lessons typical of Reception teaching. </w:t>
      </w:r>
    </w:p>
    <w:p w14:paraId="4B5BA087" w14:textId="77777777" w:rsidR="00516506" w:rsidRPr="008D4133" w:rsidRDefault="00516506" w:rsidP="00516506">
      <w:pPr>
        <w:spacing w:before="92"/>
        <w:ind w:right="-33"/>
        <w:jc w:val="both"/>
      </w:pPr>
      <w:r w:rsidRPr="008D4133">
        <w:t xml:space="preserve">Peer- and self-assessment strategies may, in time-limited conditions, provide an alternative as it is the learner who invests the time in the initial implementation of the strategy, leaving teachers free to observe (Welsh Government, 2010, p.27) and assist individuals where needed. Furthermore, the capacity to learn throughout life is aided by developing the ability to reflect on learning experience and progress (Donaldson, 2015, p.80). Self-assessment AfL strategies offer a route to this, by encouraging learners to stop and reflect on their work, and thus encourage learners to take ownership over their own learning (Radford, Webster and Bosanquet, 2021). At the same time, this encourages learners to become active participants in their learning, meeting one of the Welsh Government’s guiding principles for assessment (2020, p.31). However, learners need to be endowed with the tools (such as self-confidence) and the language skills necessary to assess their own learning (Radford, Webster and Bosanquet, 2021). In addition, criticality of one’s own work can be difficult (Brown, 2019, p.5). As such, peer-assessment can aid in providing support and guidance from peers, in addition </w:t>
      </w:r>
      <w:r w:rsidRPr="008D4133">
        <w:lastRenderedPageBreak/>
        <w:t xml:space="preserve">to the assessment being benefited by the distance between the work being assessed and the assessor. Such strategies share similarities with that of social constructivism (Vygotsky, 1978) in that learners are encouraged, through discourse, to lead the learning and reinforce their own understanding by explaining concepts and feedback to their peers. In this way, subject knowledge is ‘rehearsed’ and repeated, improving recall of it at a later date (Rosenshine, 2012, P.12). However, care must be taken once again in busy learning environs where a teacher’s attention is divided between all pupils, as learners could lead each other down paths of misunderstanding without guidance (Richardson, 2003, p.1631; Rosenshine, 2012, P.16). Furthermore, </w:t>
      </w:r>
      <w:r w:rsidRPr="008D4133">
        <w:rPr>
          <w:color w:val="21211E"/>
        </w:rPr>
        <w:t>successful peer-assessment relies on high quality group work (Welsh Government, 2010, p.27), which can take time to achieve.</w:t>
      </w:r>
    </w:p>
    <w:p w14:paraId="152A2992" w14:textId="77777777" w:rsidR="00516506" w:rsidRPr="008D4133" w:rsidRDefault="00516506" w:rsidP="00516506">
      <w:pPr>
        <w:spacing w:before="92"/>
        <w:ind w:right="-33"/>
        <w:jc w:val="both"/>
      </w:pPr>
      <w:r w:rsidRPr="008D4133">
        <w:t xml:space="preserve">The effective practitioner’s response to such challenges is not to reduce AfL and merely ask at the end of the lesson whether anyone has any questions; this will not elicit the depth of feedback required (Rosenshine, 2012, P.16; Wiliam, 2016). The answer instead, as put forward by Hattie (2012, p.111), lies in the ability to see patterns, anticipate needs and make on-the-spot decisions, during teaching time, concerning learner progress. This is reminiscent of Schön’s reflection in-action (1987), highlighting not only the integral role reflection plays but also, how important situational awareness is. Such actions would see, for example, clear success criteria being provided (Radford, Webster and Bosanquet, 2021) in anticipation of needs, linked to </w:t>
      </w:r>
      <w:r w:rsidRPr="008D4133">
        <w:rPr>
          <w:rFonts w:eastAsia="Times New Roman"/>
          <w:color w:val="21211E"/>
          <w:lang w:bidi="ar-SA"/>
        </w:rPr>
        <w:t xml:space="preserve">Black and Wiliam’s (1998) effective AfL characteristic of ‘sharing criteria with </w:t>
      </w:r>
      <w:proofErr w:type="gramStart"/>
      <w:r w:rsidRPr="008D4133">
        <w:rPr>
          <w:rFonts w:eastAsia="Times New Roman"/>
          <w:color w:val="21211E"/>
          <w:lang w:bidi="ar-SA"/>
        </w:rPr>
        <w:t>others’</w:t>
      </w:r>
      <w:proofErr w:type="gramEnd"/>
      <w:r w:rsidRPr="008D4133">
        <w:rPr>
          <w:rFonts w:eastAsia="Times New Roman"/>
          <w:color w:val="21211E"/>
          <w:lang w:bidi="ar-SA"/>
        </w:rPr>
        <w:t xml:space="preserve">. </w:t>
      </w:r>
      <w:r w:rsidRPr="008D4133">
        <w:t xml:space="preserve">Flexible thinking such as this also allows for an AfL strategy to be adapted to meet the needs of the learner there and then. For example, ‘Three stars and a wish’ has been cited as being used to elicit several different characteristics of </w:t>
      </w:r>
      <w:proofErr w:type="gramStart"/>
      <w:r w:rsidRPr="008D4133">
        <w:t>AfL;</w:t>
      </w:r>
      <w:proofErr w:type="gramEnd"/>
      <w:r w:rsidRPr="008D4133">
        <w:t xml:space="preserve"> self-assessment (Radford, Webster and Bosanquet, 2021), providing quality feedback (Welsh Government, 2010) and peer-assessment (</w:t>
      </w:r>
      <w:r w:rsidRPr="008D4133">
        <w:rPr>
          <w:color w:val="21211E"/>
        </w:rPr>
        <w:t xml:space="preserve">Flórez and Sammons, 2013, </w:t>
      </w:r>
      <w:r w:rsidRPr="008D4133">
        <w:t xml:space="preserve">p.23). </w:t>
      </w:r>
      <w:r w:rsidRPr="008D4133">
        <w:rPr>
          <w:rFonts w:eastAsia="Times New Roman"/>
          <w:color w:val="21211E"/>
          <w:lang w:bidi="ar-SA"/>
        </w:rPr>
        <w:t xml:space="preserve">In this way, we see again how Black and Wiliam’s (1998) four characteristics of effective AfL can be linked. </w:t>
      </w:r>
      <w:r w:rsidRPr="008D4133">
        <w:t xml:space="preserve">The effective practitioner also creates a supportive environment for learning, where learners feel safe to express their thoughts, and not pressurised in to providing positive feedback to their peers (Brown, 2019, p.6), especially during group work. Coe </w:t>
      </w:r>
      <w:r w:rsidRPr="008D4133">
        <w:rPr>
          <w:i/>
          <w:iCs/>
        </w:rPr>
        <w:t>et al.</w:t>
      </w:r>
      <w:r w:rsidRPr="008D4133">
        <w:t xml:space="preserve"> (2020) and Schellekens </w:t>
      </w:r>
      <w:r w:rsidRPr="008D4133">
        <w:rPr>
          <w:i/>
          <w:iCs/>
        </w:rPr>
        <w:t>et al.</w:t>
      </w:r>
      <w:r w:rsidRPr="008D4133">
        <w:t xml:space="preserve"> (2021) identify this as being an important element of effective teaching, where respect exists between teacher and learners, and between learners and learners. Some (Welsh Government, 2010, p.6; Deeley, 2017) emphasise the use of creating and discussing clearly defined classroom ‘rules’, or charter, which outline the expected and agreed upon behaviour from all learners. Coe et al. (2020, p.23) also report that mutual respect can be fostered by way of all parties involved recognising each other as individuals. ‘Safe’ environments can thus be created (Donaldson, 2015, p.68) where learners feel included, valued and confident enough to express their thoughts without fear of making mistakes; an important element in the learning process (Wood, Bruner and Ross, 1976, p. 90-91). With this, we see a feedback loop whereby treating and understanding learners as individuals creates a supportive environment in which AfL can be effectively utilised, leading to a greater understanding of learners as individuals. Such strategies can also go a long way to creating the high-quality group work required for productive peer-assessment (</w:t>
      </w:r>
      <w:r w:rsidRPr="008D4133">
        <w:rPr>
          <w:color w:val="21211E"/>
        </w:rPr>
        <w:t>Welsh Government, 2010).</w:t>
      </w:r>
    </w:p>
    <w:p w14:paraId="0D89874E" w14:textId="77777777" w:rsidR="00516506" w:rsidRPr="008D4133" w:rsidRDefault="00516506" w:rsidP="00516506">
      <w:pPr>
        <w:spacing w:before="92"/>
        <w:ind w:right="-33"/>
        <w:jc w:val="both"/>
      </w:pPr>
      <w:r w:rsidRPr="008D4133">
        <w:t xml:space="preserve">Other issues however may present themselves during peer-assessment should learners struggle to convey ideas due to underdeveloped communication and questioning abilities (Welsh Government, 2010, p.13). Whilst questioning is one of the elements of the dimensions of great teaching (Coe et al., 2020), careful consideration must be given to the quality of questions used in AfL. Whilst Rosenshine (2010, p.12) states that many questions should be asked, Coe </w:t>
      </w:r>
      <w:r w:rsidRPr="008D4133">
        <w:rPr>
          <w:i/>
          <w:iCs/>
        </w:rPr>
        <w:t>et al.</w:t>
      </w:r>
      <w:r w:rsidRPr="008D4133">
        <w:t xml:space="preserve"> (2017, p.34) place a caveat, stating that quality is found in asking the right type of questions. In developing high quality talk amongst peers, high quality questions are required (Welsh Government, 2010, p.16). Questions such as ‘can you explain….?’ and, ‘why do you think that?’ are open-ended and encourage skills laid out in Bloom’s Taxonomy (Figure 1), such as the higher order thinking skills of analysis and evaluation. In circumstances of reduced questioning and communication ability Rosenshine (2012, p.15), suggests that scaffolding (temporary support aimed at bridging a knowledge gap) in the form of providing stem questions (Appendix B), in addition to modelling by the teacher or peers, may help to </w:t>
      </w:r>
      <w:r w:rsidRPr="008D4133">
        <w:lastRenderedPageBreak/>
        <w:t>initiate a dialogue.</w:t>
      </w:r>
    </w:p>
    <w:p w14:paraId="701876D4" w14:textId="77777777" w:rsidR="00516506" w:rsidRPr="008D4133" w:rsidRDefault="00516506" w:rsidP="00516506">
      <w:pPr>
        <w:spacing w:before="92"/>
        <w:ind w:right="-33"/>
        <w:jc w:val="both"/>
      </w:pPr>
    </w:p>
    <w:p w14:paraId="75938565" w14:textId="5A3A0E82" w:rsidR="00516506" w:rsidRPr="008D4133" w:rsidRDefault="00516506" w:rsidP="00516506">
      <w:pPr>
        <w:pStyle w:val="BodyText"/>
        <w:keepNext/>
        <w:spacing w:before="1"/>
        <w:ind w:left="360"/>
        <w:jc w:val="center"/>
      </w:pPr>
    </w:p>
    <w:p w14:paraId="37716090" w14:textId="77777777" w:rsidR="00516506" w:rsidRPr="008D4133" w:rsidRDefault="00516506" w:rsidP="00516506">
      <w:pPr>
        <w:pStyle w:val="Caption"/>
        <w:numPr>
          <w:ilvl w:val="0"/>
          <w:numId w:val="0"/>
        </w:numPr>
        <w:rPr>
          <w:rFonts w:ascii="Arial" w:hAnsi="Arial" w:cs="Arial"/>
          <w:szCs w:val="22"/>
        </w:rPr>
      </w:pPr>
      <w:r w:rsidRPr="008D4133">
        <w:rPr>
          <w:rFonts w:ascii="Arial" w:hAnsi="Arial" w:cs="Arial"/>
          <w:szCs w:val="22"/>
        </w:rPr>
        <w:t xml:space="preserve">Figure </w:t>
      </w:r>
      <w:r w:rsidRPr="008D4133">
        <w:rPr>
          <w:rFonts w:ascii="Arial" w:hAnsi="Arial" w:cs="Arial"/>
          <w:szCs w:val="22"/>
        </w:rPr>
        <w:fldChar w:fldCharType="begin"/>
      </w:r>
      <w:r w:rsidRPr="008D4133">
        <w:rPr>
          <w:rFonts w:ascii="Arial" w:hAnsi="Arial" w:cs="Arial"/>
          <w:szCs w:val="22"/>
        </w:rPr>
        <w:instrText xml:space="preserve"> SEQ Figure \* ARABIC </w:instrText>
      </w:r>
      <w:r w:rsidRPr="008D4133">
        <w:rPr>
          <w:rFonts w:ascii="Arial" w:hAnsi="Arial" w:cs="Arial"/>
          <w:szCs w:val="22"/>
        </w:rPr>
        <w:fldChar w:fldCharType="separate"/>
      </w:r>
      <w:r w:rsidRPr="008D4133">
        <w:rPr>
          <w:rFonts w:ascii="Arial" w:hAnsi="Arial" w:cs="Arial"/>
          <w:noProof/>
          <w:szCs w:val="22"/>
        </w:rPr>
        <w:t>1</w:t>
      </w:r>
      <w:r w:rsidRPr="008D4133">
        <w:rPr>
          <w:rFonts w:ascii="Arial" w:hAnsi="Arial" w:cs="Arial"/>
          <w:noProof/>
          <w:szCs w:val="22"/>
        </w:rPr>
        <w:fldChar w:fldCharType="end"/>
      </w:r>
      <w:r w:rsidRPr="008D4133">
        <w:rPr>
          <w:rFonts w:ascii="Arial" w:hAnsi="Arial" w:cs="Arial"/>
          <w:szCs w:val="22"/>
        </w:rPr>
        <w:t>. Bloom's Taxonomy, taken from Welsh Government, 2010, p.17.</w:t>
      </w:r>
    </w:p>
    <w:p w14:paraId="13924B4F" w14:textId="77777777" w:rsidR="00516506" w:rsidRPr="008D4133" w:rsidRDefault="00516506" w:rsidP="00516506">
      <w:pPr>
        <w:spacing w:before="92"/>
        <w:ind w:right="-33"/>
        <w:jc w:val="both"/>
      </w:pPr>
    </w:p>
    <w:p w14:paraId="6E5FC4C0" w14:textId="77777777" w:rsidR="00516506" w:rsidRPr="008D4133" w:rsidRDefault="00516506" w:rsidP="00516506">
      <w:pPr>
        <w:spacing w:before="92"/>
        <w:ind w:right="-33"/>
        <w:jc w:val="both"/>
      </w:pPr>
      <w:r w:rsidRPr="008D4133">
        <w:t xml:space="preserve">With the above discussion in mind, we see that </w:t>
      </w:r>
      <w:r w:rsidRPr="008D4133">
        <w:rPr>
          <w:color w:val="21211E"/>
        </w:rPr>
        <w:t xml:space="preserve">an understanding of a wide range of AfL strategies </w:t>
      </w:r>
      <w:proofErr w:type="gramStart"/>
      <w:r w:rsidRPr="008D4133">
        <w:rPr>
          <w:color w:val="21211E"/>
        </w:rPr>
        <w:t>is</w:t>
      </w:r>
      <w:proofErr w:type="gramEnd"/>
      <w:r w:rsidRPr="008D4133">
        <w:rPr>
          <w:color w:val="21211E"/>
        </w:rPr>
        <w:t xml:space="preserve"> required, in order to embed AfL within all areas and stages of learning (</w:t>
      </w:r>
      <w:r w:rsidRPr="008D4133">
        <w:t xml:space="preserve">Hattie, 2012, p. 113; </w:t>
      </w:r>
      <w:r w:rsidRPr="008D4133">
        <w:rPr>
          <w:color w:val="21211E"/>
        </w:rPr>
        <w:t xml:space="preserve">Donaldson, 2015, p.77). And, despite the above challenges, </w:t>
      </w:r>
      <w:r w:rsidRPr="008D4133">
        <w:t>Wiliam (2018b) states that it is a relatively simple process to implement AfL strategies. However, discourse surrounding challenges faced by successful implementation of AfL remain.</w:t>
      </w:r>
    </w:p>
    <w:p w14:paraId="6B0BFCA6" w14:textId="77777777" w:rsidR="00516506" w:rsidRPr="008D4133" w:rsidRDefault="00516506" w:rsidP="00516506">
      <w:pPr>
        <w:spacing w:before="92"/>
        <w:ind w:right="-33"/>
        <w:jc w:val="both"/>
        <w:rPr>
          <w:color w:val="21211E"/>
        </w:rPr>
      </w:pPr>
      <w:r w:rsidRPr="008D4133">
        <w:rPr>
          <w:color w:val="21211E"/>
        </w:rPr>
        <w:t xml:space="preserve">AfL strategies can only be truly successful when designed, carried out and acted upon in an effective manner (Donaldson, 2015, p.78). Flórez and Sammons (2013, p.15) state that restrictions, relating to practicality, result in AfL not being implemented in a way that mirrors best practice, with Schellekens (et al. 2021) further stating that, whilst there is strong evidence to support student-centred practices, real-world teaching practices still rely heavily on teachers leading the learning. This may perhaps be due to a lack of understanding in the application of AfL, a reluctance to decrease teacher control in leading the learning (Flórez and Sammons, 2013, p.19) and time constraints (Donaldson, 2015, p.78). As such, a habit of reflection on-, and in-, action is required to ensure that strategies are being deployed effectively, and feedback not sessile and in a state of intention, but instead, being utilised in a regime of action (Wiliam, 2018b). </w:t>
      </w:r>
    </w:p>
    <w:p w14:paraId="45E852BB" w14:textId="77777777" w:rsidR="00516506" w:rsidRPr="008D4133" w:rsidRDefault="00516506" w:rsidP="00516506">
      <w:pPr>
        <w:spacing w:before="92"/>
        <w:ind w:right="-33"/>
        <w:jc w:val="both"/>
      </w:pPr>
      <w:r w:rsidRPr="008D4133">
        <w:rPr>
          <w:color w:val="21211E"/>
        </w:rPr>
        <w:t>Furthermore, classroom practitioners must understand their cohort and choose the most appropriate strategies. This again can take time or require a guiding hand from a more experienced colleague. In-class experience with Reception year (</w:t>
      </w:r>
      <w:r w:rsidRPr="008D4133">
        <w:t>Professional Experience Template 1</w:t>
      </w:r>
      <w:r w:rsidRPr="008D4133">
        <w:rPr>
          <w:color w:val="21211E"/>
        </w:rPr>
        <w:t xml:space="preserve">) highlighted how strategies must be carefully considered, and questions adapted, when working with younger learners. In this instance, the general format of three stars and a wish was simplified down to one star and a wish; whilst research suggests that learners become more motivated when faced with three times as much praise as constructive criticism (Welsh Government, 2010, p.86), younger learners can easily become overwhelmed or distracted and thus, three stars was reduced to one.  </w:t>
      </w:r>
    </w:p>
    <w:p w14:paraId="7CBAB575" w14:textId="77777777" w:rsidR="00516506" w:rsidRPr="008D4133" w:rsidRDefault="00516506" w:rsidP="00516506">
      <w:pPr>
        <w:spacing w:before="92"/>
        <w:ind w:right="-33"/>
        <w:jc w:val="both"/>
        <w:rPr>
          <w:color w:val="21211E"/>
        </w:rPr>
      </w:pPr>
    </w:p>
    <w:p w14:paraId="21D04E6E" w14:textId="77777777" w:rsidR="00516506" w:rsidRPr="008D4133" w:rsidRDefault="00516506" w:rsidP="00516506">
      <w:pPr>
        <w:ind w:left="36"/>
        <w:rPr>
          <w:b/>
          <w:bCs/>
          <w:u w:val="single"/>
        </w:rPr>
      </w:pPr>
      <w:r w:rsidRPr="008D4133">
        <w:rPr>
          <w:b/>
          <w:bCs/>
          <w:u w:val="single"/>
        </w:rPr>
        <w:t>Conclusion</w:t>
      </w:r>
    </w:p>
    <w:p w14:paraId="4F5D8E6D" w14:textId="77777777" w:rsidR="00516506" w:rsidRPr="008D4133" w:rsidRDefault="00516506" w:rsidP="00516506">
      <w:pPr>
        <w:spacing w:before="92"/>
        <w:ind w:right="-33"/>
        <w:jc w:val="both"/>
        <w:rPr>
          <w:color w:val="21211E"/>
        </w:rPr>
      </w:pPr>
      <w:r w:rsidRPr="008D4133">
        <w:rPr>
          <w:color w:val="21211E"/>
        </w:rPr>
        <w:t>Whilst a review of literature has highlighted that AfL conducted within own practice does demonstrate some effective techniques, and provide first-hand examples of challenges, it has also highlighted some important steps to take in order to develop implementation, and aid learner progress</w:t>
      </w:r>
      <w:r>
        <w:rPr>
          <w:color w:val="21211E"/>
        </w:rPr>
        <w:t xml:space="preserve">, and thus meet the Assessment standard of the Professional Standards for Teaching and Leadership </w:t>
      </w:r>
      <w:r w:rsidRPr="008D4133">
        <w:t>(Welsh Government, 2019)</w:t>
      </w:r>
      <w:r w:rsidRPr="008D4133">
        <w:rPr>
          <w:color w:val="21211E"/>
        </w:rPr>
        <w:t>. Using AfL to accelerate progress requires daily use of a broad repertoire of strategies spanning all four characteristics of effective AfL (</w:t>
      </w:r>
      <w:r w:rsidRPr="008D4133">
        <w:rPr>
          <w:rFonts w:eastAsia="Times New Roman"/>
          <w:color w:val="21211E"/>
          <w:lang w:bidi="ar-SA"/>
        </w:rPr>
        <w:t>Black and Wiliam, 1998</w:t>
      </w:r>
      <w:r w:rsidRPr="008D4133">
        <w:rPr>
          <w:color w:val="21211E"/>
        </w:rPr>
        <w:t>), alongside formation of an inclusive learning environment, with group work resulting in fruitful discourse between peers.</w:t>
      </w:r>
    </w:p>
    <w:p w14:paraId="532DDBD7" w14:textId="77777777" w:rsidR="00516506" w:rsidRPr="008D4133" w:rsidRDefault="00516506" w:rsidP="00516506">
      <w:pPr>
        <w:spacing w:before="92"/>
        <w:ind w:right="-33"/>
        <w:jc w:val="both"/>
        <w:rPr>
          <w:color w:val="21211E"/>
        </w:rPr>
      </w:pPr>
      <w:r w:rsidRPr="008D4133">
        <w:rPr>
          <w:color w:val="21211E"/>
        </w:rPr>
        <w:t>PTE1 Block 2 will provide an opportunity to extend my current working knowledge and experience of AfL strategies, thus increasing my repertoire of strategies. This will be achieved by ensuring that a range of appropriate strategies are included in lesson plans, with daily discussions with my class mentor to ensure their suitability. AfL will be conducted throughout lessons, as opposed to just at the end (</w:t>
      </w:r>
      <w:r w:rsidRPr="008D4133">
        <w:t xml:space="preserve">Schellekens et al. 2021), with </w:t>
      </w:r>
      <w:r w:rsidRPr="008D4133">
        <w:rPr>
          <w:color w:val="21211E"/>
        </w:rPr>
        <w:t>results acted upon (</w:t>
      </w:r>
      <w:r w:rsidRPr="008D4133">
        <w:t xml:space="preserve">Black and Wiiam, 1998; Coe </w:t>
      </w:r>
      <w:r w:rsidRPr="008D4133">
        <w:rPr>
          <w:i/>
          <w:iCs/>
        </w:rPr>
        <w:t>et al.,</w:t>
      </w:r>
      <w:r w:rsidRPr="008D4133">
        <w:t xml:space="preserve"> 2020; Radford, Webster and Bosanquet, 2021</w:t>
      </w:r>
      <w:r w:rsidRPr="008D4133">
        <w:rPr>
          <w:color w:val="21211E"/>
        </w:rPr>
        <w:t>) and teaching adjusted to meet the needs of the learner/s, thus aiding progression in learning (</w:t>
      </w:r>
      <w:r w:rsidRPr="008D4133">
        <w:t>Hattie, 2012, p.111</w:t>
      </w:r>
      <w:r w:rsidRPr="008D4133">
        <w:rPr>
          <w:color w:val="21211E"/>
        </w:rPr>
        <w:t>).</w:t>
      </w:r>
    </w:p>
    <w:p w14:paraId="2157A4B1" w14:textId="77777777" w:rsidR="00516506" w:rsidRPr="008D4133" w:rsidRDefault="00516506" w:rsidP="00516506">
      <w:pPr>
        <w:spacing w:before="92"/>
        <w:ind w:right="-33"/>
        <w:jc w:val="both"/>
        <w:rPr>
          <w:color w:val="21211E"/>
        </w:rPr>
      </w:pPr>
      <w:r w:rsidRPr="008D4133">
        <w:rPr>
          <w:color w:val="21211E"/>
        </w:rPr>
        <w:t xml:space="preserve">In order to address time limitations experienced in previous practice, future development will include a deeper study of effective peer-, and self-, assessment strategies, which will allow for whole-class AfL to be conducted during shorter teaching periods. Strategies such as ‘talk </w:t>
      </w:r>
      <w:r w:rsidRPr="008D4133">
        <w:rPr>
          <w:color w:val="21211E"/>
        </w:rPr>
        <w:lastRenderedPageBreak/>
        <w:t>partners’, ‘think-pair-share’ and ‘What Went Well and Even Better If’ (Welsh Government, 2010) will be utilised during PTE 1 Block 2, with reflection in-, and on-, action (</w:t>
      </w:r>
      <w:r w:rsidRPr="008D4133">
        <w:rPr>
          <w:lang w:bidi="ar-SA"/>
        </w:rPr>
        <w:t>Schön</w:t>
      </w:r>
      <w:r w:rsidRPr="008D4133">
        <w:t>, 1987</w:t>
      </w:r>
      <w:r w:rsidRPr="008D4133">
        <w:rPr>
          <w:color w:val="21211E"/>
        </w:rPr>
        <w:t>) carried out on own practice, in order to reflect upon learner progress.</w:t>
      </w:r>
    </w:p>
    <w:p w14:paraId="3A55EF1F" w14:textId="77777777" w:rsidR="00516506" w:rsidRPr="008D4133" w:rsidRDefault="00516506" w:rsidP="00516506">
      <w:pPr>
        <w:spacing w:before="92"/>
        <w:ind w:right="-33"/>
        <w:jc w:val="both"/>
        <w:rPr>
          <w:color w:val="21211E"/>
        </w:rPr>
      </w:pPr>
      <w:r w:rsidRPr="008D4133">
        <w:rPr>
          <w:color w:val="21211E"/>
        </w:rPr>
        <w:t>In order to foster an inclusive learning environment, where learners feel safe and confident to express their thoughts (</w:t>
      </w:r>
      <w:r w:rsidRPr="008D4133">
        <w:t xml:space="preserve">Wood, Bruner and Ross, 1976, p. 90-91), </w:t>
      </w:r>
      <w:r w:rsidRPr="008D4133">
        <w:rPr>
          <w:color w:val="21211E"/>
        </w:rPr>
        <w:t>day to day own practice will continue to be welcoming, consistent and caring, by recognising each learner as an individual (</w:t>
      </w:r>
      <w:r w:rsidRPr="008D4133">
        <w:t xml:space="preserve">Coe </w:t>
      </w:r>
      <w:r w:rsidRPr="008D4133">
        <w:rPr>
          <w:i/>
          <w:iCs/>
        </w:rPr>
        <w:t>et al.,</w:t>
      </w:r>
      <w:r w:rsidRPr="008D4133">
        <w:t xml:space="preserve"> 2020, p.23</w:t>
      </w:r>
      <w:r w:rsidRPr="008D4133">
        <w:rPr>
          <w:color w:val="21211E"/>
        </w:rPr>
        <w:t>) and not making assumptions but instead, spending time working with each learner. Classroom behaviour rules/charter will also be referred to during teaching to remind learners of their responsibilities to each other (</w:t>
      </w:r>
      <w:r w:rsidRPr="008D4133">
        <w:t>Deeley, 2017), and own practice will also reflect the values laid out in the classroom rules/charter so as to model them to learners and increase their understanding of what is required of them (</w:t>
      </w:r>
      <w:r w:rsidRPr="008D4133">
        <w:rPr>
          <w:color w:val="21211E"/>
        </w:rPr>
        <w:t>Welsh Government, 2010, p.6</w:t>
      </w:r>
      <w:r w:rsidRPr="008D4133">
        <w:t>)</w:t>
      </w:r>
      <w:r w:rsidRPr="008D4133">
        <w:rPr>
          <w:color w:val="21211E"/>
        </w:rPr>
        <w:t>. In addition, small group tasks and collaborative thinking tasks will be included within lesson plans in order to aid/maintain high quality discussion within group work, whilst also allowing learning via social constructivism (Vygotsky, 1978). Improving the quality of group work will then, in turn, aid the implementation of peer-assessment (Welsh Government, 2010, p.27). Experience, and literature, has also highlighted that some learners may require assistance in communicating effectively during group work. In such scenarios, the use of stem questions (</w:t>
      </w:r>
      <w:r w:rsidRPr="008D4133">
        <w:t>Rosenshine, 2012, P.15</w:t>
      </w:r>
      <w:r w:rsidRPr="008D4133">
        <w:rPr>
          <w:color w:val="21211E"/>
        </w:rPr>
        <w:t xml:space="preserve">) will provide scaffolding, by way of providing a starting point for conversations to take shape and address underdeveloped communication skills </w:t>
      </w:r>
      <w:r w:rsidRPr="008D4133">
        <w:t>(Welsh Government, 2010, p.13)</w:t>
      </w:r>
      <w:r w:rsidRPr="008D4133">
        <w:rPr>
          <w:color w:val="21211E"/>
        </w:rPr>
        <w:t>. Being mindful however, that learners can have misconceptions and pass these on to their peers (</w:t>
      </w:r>
      <w:r w:rsidRPr="008D4133">
        <w:t>Richardson, 2003, p.1631</w:t>
      </w:r>
      <w:r w:rsidRPr="008D4133">
        <w:rPr>
          <w:color w:val="21211E"/>
        </w:rPr>
        <w:t>), resources, such as exemplars, will be provided in cases where confusion may occur in newly gained understanding.</w:t>
      </w:r>
    </w:p>
    <w:p w14:paraId="0DC3436B" w14:textId="77777777" w:rsidR="00516506" w:rsidRPr="008D4133" w:rsidRDefault="00516506" w:rsidP="00516506">
      <w:pPr>
        <w:spacing w:before="92"/>
        <w:ind w:right="-33"/>
        <w:jc w:val="both"/>
        <w:rPr>
          <w:color w:val="21211E"/>
        </w:rPr>
      </w:pPr>
      <w:r w:rsidRPr="008D4133">
        <w:rPr>
          <w:color w:val="21211E"/>
        </w:rPr>
        <w:t>Self-assessment outcomes depend on the ability of the learner to reflect and requires a level of self-confidence (</w:t>
      </w:r>
      <w:r w:rsidRPr="008D4133">
        <w:t>Radford, Webster and Bosanquet, 2021</w:t>
      </w:r>
      <w:r w:rsidRPr="008D4133">
        <w:rPr>
          <w:color w:val="21211E"/>
        </w:rPr>
        <w:t>). This may vary between learners, with some struggling to understand the task at hand. As such, modelling of self-assessment will be conducted in order to aid learners in understanding what is required of them (Welsh Government, 2010, p.27). Lesson plans will also ensure that success criteria will be easily understood by learners, in order to provide clarity for them to mark against, whilst also anticipating learner needs (</w:t>
      </w:r>
      <w:r w:rsidRPr="008D4133">
        <w:t>Radford, Webster and Bosanquet, 2021</w:t>
      </w:r>
      <w:r w:rsidRPr="008D4133">
        <w:rPr>
          <w:color w:val="21211E"/>
        </w:rPr>
        <w:t>).</w:t>
      </w:r>
    </w:p>
    <w:p w14:paraId="16FE1A78" w14:textId="77777777" w:rsidR="00516506" w:rsidRPr="008D4133" w:rsidRDefault="00516506" w:rsidP="00516506">
      <w:pPr>
        <w:spacing w:before="92"/>
        <w:ind w:right="-33"/>
        <w:jc w:val="both"/>
        <w:rPr>
          <w:color w:val="21211E"/>
        </w:rPr>
      </w:pPr>
      <w:r w:rsidRPr="008D4133">
        <w:rPr>
          <w:color w:val="21211E"/>
        </w:rPr>
        <w:t>Together, the above actions, informed by the above reviewed literature, will form the next steps of my development and enable my practice to be that of a reflective practitioner where AfL is conducted under best practice, in order to accelerate learner progress.</w:t>
      </w:r>
    </w:p>
    <w:p w14:paraId="67130BA1" w14:textId="77777777" w:rsidR="008643FD" w:rsidRDefault="00516506"/>
    <w:sectPr w:rsidR="008643FD" w:rsidSect="00C40C0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EF5C63"/>
    <w:multiLevelType w:val="multilevel"/>
    <w:tmpl w:val="91AA91C0"/>
    <w:lvl w:ilvl="0">
      <w:start w:val="1"/>
      <w:numFmt w:val="decimal"/>
      <w:lvlText w:val="%1."/>
      <w:lvlJc w:val="left"/>
      <w:pPr>
        <w:tabs>
          <w:tab w:val="num" w:pos="567"/>
        </w:tabs>
        <w:ind w:left="0" w:firstLine="0"/>
      </w:pPr>
      <w:rPr>
        <w:rFonts w:hint="default"/>
        <w:b/>
        <w:bCs w:val="0"/>
        <w:i w:val="0"/>
        <w:iCs w:val="0"/>
        <w:caps w:val="0"/>
        <w:smallCaps w:val="0"/>
        <w:strike w:val="0"/>
        <w:dstrike w:val="0"/>
        <w:vanish w:val="0"/>
        <w:color w:val="000000"/>
        <w:spacing w:val="0"/>
        <w:position w:val="0"/>
        <w:u w:val="none"/>
        <w:effect w:val="none"/>
        <w:vertAlign w:val="baseline"/>
      </w:rPr>
    </w:lvl>
    <w:lvl w:ilvl="1">
      <w:start w:val="1"/>
      <w:numFmt w:val="decimal"/>
      <w:lvlText w:val="%1.%2."/>
      <w:lvlJc w:val="left"/>
      <w:pPr>
        <w:tabs>
          <w:tab w:val="num" w:pos="964"/>
        </w:tabs>
        <w:ind w:left="0" w:firstLine="0"/>
      </w:pPr>
      <w:rPr>
        <w:rFonts w:hint="default"/>
        <w:b/>
        <w:i w:val="0"/>
      </w:rPr>
    </w:lvl>
    <w:lvl w:ilvl="2">
      <w:start w:val="1"/>
      <w:numFmt w:val="decimal"/>
      <w:pStyle w:val="4point"/>
      <w:lvlText w:val="%1.%2.%3."/>
      <w:lvlJc w:val="left"/>
      <w:pPr>
        <w:tabs>
          <w:tab w:val="num" w:pos="1418"/>
        </w:tabs>
        <w:ind w:left="0" w:firstLine="0"/>
      </w:pPr>
      <w:rPr>
        <w:rFonts w:hint="default"/>
        <w:b/>
      </w:rPr>
    </w:lvl>
    <w:lvl w:ilvl="3">
      <w:start w:val="1"/>
      <w:numFmt w:val="decimal"/>
      <w:lvlRestart w:val="0"/>
      <w:lvlText w:val="%1.%2.%3.%4."/>
      <w:lvlJc w:val="left"/>
      <w:pPr>
        <w:ind w:left="1008" w:hanging="648"/>
      </w:pPr>
      <w:rPr>
        <w:rFonts w:cs="Times New Roman" w:hint="default"/>
      </w:rPr>
    </w:lvl>
    <w:lvl w:ilvl="4">
      <w:start w:val="1"/>
      <w:numFmt w:val="decimal"/>
      <w:lvlText w:val="%1.%2.%3.%4.%5."/>
      <w:lvlJc w:val="left"/>
      <w:pPr>
        <w:tabs>
          <w:tab w:val="num" w:pos="2880"/>
        </w:tabs>
        <w:ind w:left="1512" w:hanging="792"/>
      </w:pPr>
      <w:rPr>
        <w:rFonts w:cs="Times New Roman" w:hint="default"/>
      </w:rPr>
    </w:lvl>
    <w:lvl w:ilvl="5">
      <w:start w:val="1"/>
      <w:numFmt w:val="decimal"/>
      <w:lvlText w:val="%1.%2.%3.%4.%5.%6."/>
      <w:lvlJc w:val="left"/>
      <w:pPr>
        <w:tabs>
          <w:tab w:val="num" w:pos="3600"/>
        </w:tabs>
        <w:ind w:left="2016" w:hanging="936"/>
      </w:pPr>
      <w:rPr>
        <w:rFonts w:cs="Times New Roman" w:hint="default"/>
      </w:rPr>
    </w:lvl>
    <w:lvl w:ilvl="6">
      <w:start w:val="1"/>
      <w:numFmt w:val="decimal"/>
      <w:lvlText w:val="%1.%2.%3.%4.%5.%6.%7."/>
      <w:lvlJc w:val="left"/>
      <w:pPr>
        <w:tabs>
          <w:tab w:val="num" w:pos="4680"/>
        </w:tabs>
        <w:ind w:left="2520" w:hanging="1080"/>
      </w:pPr>
      <w:rPr>
        <w:rFonts w:cs="Times New Roman" w:hint="default"/>
      </w:rPr>
    </w:lvl>
    <w:lvl w:ilvl="7">
      <w:start w:val="1"/>
      <w:numFmt w:val="decimal"/>
      <w:lvlText w:val="%1.%2.%3.%4.%5.%6.%7.%8."/>
      <w:lvlJc w:val="left"/>
      <w:pPr>
        <w:tabs>
          <w:tab w:val="num" w:pos="5400"/>
        </w:tabs>
        <w:ind w:left="3024" w:hanging="1224"/>
      </w:pPr>
      <w:rPr>
        <w:rFonts w:cs="Times New Roman" w:hint="default"/>
      </w:rPr>
    </w:lvl>
    <w:lvl w:ilvl="8">
      <w:start w:val="1"/>
      <w:numFmt w:val="decimal"/>
      <w:lvlText w:val="%1.%2.%3.%4.%5.%6.%7.%8.%9."/>
      <w:lvlJc w:val="left"/>
      <w:pPr>
        <w:tabs>
          <w:tab w:val="num" w:pos="6120"/>
        </w:tabs>
        <w:ind w:left="3600" w:hanging="1440"/>
      </w:pPr>
      <w:rPr>
        <w:rFonts w:cs="Times New Roman" w:hint="default"/>
      </w:rPr>
    </w:lvl>
  </w:abstractNum>
  <w:abstractNum w:abstractNumId="1" w15:restartNumberingAfterBreak="0">
    <w:nsid w:val="2EA65D9C"/>
    <w:multiLevelType w:val="multilevel"/>
    <w:tmpl w:val="ABDEEA40"/>
    <w:lvl w:ilvl="0">
      <w:start w:val="1"/>
      <w:numFmt w:val="decimal"/>
      <w:pStyle w:val="Caption"/>
      <w:lvlText w:val="%1."/>
      <w:lvlJc w:val="left"/>
      <w:pPr>
        <w:tabs>
          <w:tab w:val="num" w:pos="567"/>
        </w:tabs>
        <w:ind w:left="0" w:firstLine="0"/>
      </w:pPr>
      <w:rPr>
        <w:rFonts w:hint="default"/>
        <w:b/>
        <w:bCs w:val="0"/>
        <w:i w:val="0"/>
        <w:iCs w:val="0"/>
        <w:caps w:val="0"/>
        <w:smallCaps w:val="0"/>
        <w:strike w:val="0"/>
        <w:dstrike w:val="0"/>
        <w:vanish w:val="0"/>
        <w:color w:val="000000"/>
        <w:spacing w:val="0"/>
        <w:position w:val="0"/>
        <w:u w:val="none"/>
        <w:effect w:val="none"/>
        <w:vertAlign w:val="baseline"/>
      </w:rPr>
    </w:lvl>
    <w:lvl w:ilvl="1">
      <w:start w:val="1"/>
      <w:numFmt w:val="decimal"/>
      <w:lvlText w:val="%1.%2."/>
      <w:lvlJc w:val="left"/>
      <w:pPr>
        <w:tabs>
          <w:tab w:val="num" w:pos="964"/>
        </w:tabs>
        <w:ind w:left="0" w:firstLine="0"/>
      </w:pPr>
      <w:rPr>
        <w:rFonts w:hint="default"/>
        <w:b/>
        <w:i w:val="0"/>
      </w:rPr>
    </w:lvl>
    <w:lvl w:ilvl="2">
      <w:start w:val="1"/>
      <w:numFmt w:val="decimal"/>
      <w:lvlText w:val="%1.%2.%3."/>
      <w:lvlJc w:val="left"/>
      <w:pPr>
        <w:tabs>
          <w:tab w:val="num" w:pos="1418"/>
        </w:tabs>
        <w:ind w:left="0" w:firstLine="0"/>
      </w:pPr>
      <w:rPr>
        <w:rFonts w:hint="default"/>
        <w:b/>
      </w:rPr>
    </w:lvl>
    <w:lvl w:ilvl="3">
      <w:start w:val="4"/>
      <w:numFmt w:val="decimal"/>
      <w:lvlRestart w:val="0"/>
      <w:lvlText w:val="%1.%2.%3.%4."/>
      <w:lvlJc w:val="left"/>
      <w:pPr>
        <w:ind w:left="1008" w:hanging="648"/>
      </w:pPr>
      <w:rPr>
        <w:rFonts w:cs="Times New Roman" w:hint="default"/>
      </w:rPr>
    </w:lvl>
    <w:lvl w:ilvl="4">
      <w:start w:val="1"/>
      <w:numFmt w:val="decimal"/>
      <w:lvlText w:val="%1.%2.%3.%4.%5."/>
      <w:lvlJc w:val="left"/>
      <w:pPr>
        <w:tabs>
          <w:tab w:val="num" w:pos="2880"/>
        </w:tabs>
        <w:ind w:left="1512" w:hanging="792"/>
      </w:pPr>
      <w:rPr>
        <w:rFonts w:cs="Times New Roman" w:hint="default"/>
      </w:rPr>
    </w:lvl>
    <w:lvl w:ilvl="5">
      <w:start w:val="1"/>
      <w:numFmt w:val="decimal"/>
      <w:lvlText w:val="%1.%2.%3.%4.%5.%6."/>
      <w:lvlJc w:val="left"/>
      <w:pPr>
        <w:tabs>
          <w:tab w:val="num" w:pos="3600"/>
        </w:tabs>
        <w:ind w:left="2016" w:hanging="936"/>
      </w:pPr>
      <w:rPr>
        <w:rFonts w:cs="Times New Roman" w:hint="default"/>
      </w:rPr>
    </w:lvl>
    <w:lvl w:ilvl="6">
      <w:start w:val="1"/>
      <w:numFmt w:val="decimal"/>
      <w:lvlText w:val="%1.%2.%3.%4.%5.%6.%7."/>
      <w:lvlJc w:val="left"/>
      <w:pPr>
        <w:tabs>
          <w:tab w:val="num" w:pos="4680"/>
        </w:tabs>
        <w:ind w:left="2520" w:hanging="1080"/>
      </w:pPr>
      <w:rPr>
        <w:rFonts w:cs="Times New Roman" w:hint="default"/>
      </w:rPr>
    </w:lvl>
    <w:lvl w:ilvl="7">
      <w:start w:val="1"/>
      <w:numFmt w:val="decimal"/>
      <w:lvlText w:val="%1.%2.%3.%4.%5.%6.%7.%8."/>
      <w:lvlJc w:val="left"/>
      <w:pPr>
        <w:tabs>
          <w:tab w:val="num" w:pos="5400"/>
        </w:tabs>
        <w:ind w:left="3024" w:hanging="1224"/>
      </w:pPr>
      <w:rPr>
        <w:rFonts w:cs="Times New Roman" w:hint="default"/>
      </w:rPr>
    </w:lvl>
    <w:lvl w:ilvl="8">
      <w:start w:val="1"/>
      <w:numFmt w:val="decimal"/>
      <w:lvlText w:val="%1.%2.%3.%4.%5.%6.%7.%8.%9."/>
      <w:lvlJc w:val="left"/>
      <w:pPr>
        <w:tabs>
          <w:tab w:val="num" w:pos="6120"/>
        </w:tabs>
        <w:ind w:left="3600" w:hanging="1440"/>
      </w:pPr>
      <w:rPr>
        <w:rFonts w:cs="Times New Roman" w:hint="default"/>
      </w:rPr>
    </w:lvl>
  </w:abstractNum>
  <w:abstractNum w:abstractNumId="2" w15:restartNumberingAfterBreak="0">
    <w:nsid w:val="32D67204"/>
    <w:multiLevelType w:val="hybridMultilevel"/>
    <w:tmpl w:val="9E9E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55C23"/>
    <w:multiLevelType w:val="multilevel"/>
    <w:tmpl w:val="FA9A9B14"/>
    <w:lvl w:ilvl="0">
      <w:start w:val="1"/>
      <w:numFmt w:val="decimal"/>
      <w:lvlText w:val="%1."/>
      <w:lvlJc w:val="left"/>
      <w:pPr>
        <w:tabs>
          <w:tab w:val="num" w:pos="567"/>
        </w:tabs>
        <w:ind w:left="0" w:firstLine="0"/>
      </w:pPr>
      <w:rPr>
        <w:rFonts w:hint="default"/>
        <w:b/>
        <w:bCs w:val="0"/>
        <w:i w:val="0"/>
        <w:iCs w:val="0"/>
        <w:caps w:val="0"/>
        <w:smallCaps w:val="0"/>
        <w:strike w:val="0"/>
        <w:dstrike w:val="0"/>
        <w:vanish w:val="0"/>
        <w:color w:val="000000"/>
        <w:spacing w:val="0"/>
        <w:position w:val="0"/>
        <w:u w:val="none"/>
        <w:effect w:val="none"/>
        <w:vertAlign w:val="baseline"/>
      </w:rPr>
    </w:lvl>
    <w:lvl w:ilvl="1">
      <w:start w:val="1"/>
      <w:numFmt w:val="decimal"/>
      <w:lvlText w:val="%1.%2."/>
      <w:lvlJc w:val="left"/>
      <w:pPr>
        <w:tabs>
          <w:tab w:val="num" w:pos="964"/>
        </w:tabs>
        <w:ind w:left="0" w:firstLine="0"/>
      </w:pPr>
      <w:rPr>
        <w:rFonts w:hint="default"/>
        <w:b/>
        <w:i w:val="0"/>
      </w:rPr>
    </w:lvl>
    <w:lvl w:ilvl="2">
      <w:start w:val="1"/>
      <w:numFmt w:val="decimal"/>
      <w:lvlText w:val="%1.%2.%3."/>
      <w:lvlJc w:val="left"/>
      <w:pPr>
        <w:tabs>
          <w:tab w:val="num" w:pos="1418"/>
        </w:tabs>
        <w:ind w:left="0" w:firstLine="0"/>
      </w:pPr>
      <w:rPr>
        <w:rFonts w:hint="default"/>
        <w:b/>
      </w:rPr>
    </w:lvl>
    <w:lvl w:ilvl="3">
      <w:start w:val="1"/>
      <w:numFmt w:val="decimal"/>
      <w:lvlText w:val="%1.%2.%3.%4."/>
      <w:lvlJc w:val="left"/>
      <w:pPr>
        <w:ind w:left="1008" w:hanging="648"/>
      </w:pPr>
      <w:rPr>
        <w:rFonts w:cs="Times New Roman" w:hint="default"/>
      </w:rPr>
    </w:lvl>
    <w:lvl w:ilvl="4">
      <w:start w:val="1"/>
      <w:numFmt w:val="decimal"/>
      <w:lvlText w:val="%1.%2.%3.%4.%5."/>
      <w:lvlJc w:val="left"/>
      <w:pPr>
        <w:tabs>
          <w:tab w:val="num" w:pos="2880"/>
        </w:tabs>
        <w:ind w:left="1512" w:hanging="792"/>
      </w:pPr>
      <w:rPr>
        <w:rFonts w:cs="Times New Roman" w:hint="default"/>
      </w:rPr>
    </w:lvl>
    <w:lvl w:ilvl="5">
      <w:start w:val="1"/>
      <w:numFmt w:val="decimal"/>
      <w:lvlText w:val="%1.%2.%3.%4.%5.%6."/>
      <w:lvlJc w:val="left"/>
      <w:pPr>
        <w:tabs>
          <w:tab w:val="num" w:pos="3600"/>
        </w:tabs>
        <w:ind w:left="2016" w:hanging="936"/>
      </w:pPr>
      <w:rPr>
        <w:rFonts w:cs="Times New Roman" w:hint="default"/>
      </w:rPr>
    </w:lvl>
    <w:lvl w:ilvl="6">
      <w:start w:val="1"/>
      <w:numFmt w:val="decimal"/>
      <w:lvlText w:val="%1.%2.%3.%4.%5.%6.%7."/>
      <w:lvlJc w:val="left"/>
      <w:pPr>
        <w:tabs>
          <w:tab w:val="num" w:pos="4680"/>
        </w:tabs>
        <w:ind w:left="2520" w:hanging="1080"/>
      </w:pPr>
      <w:rPr>
        <w:rFonts w:cs="Times New Roman" w:hint="default"/>
      </w:rPr>
    </w:lvl>
    <w:lvl w:ilvl="7">
      <w:start w:val="1"/>
      <w:numFmt w:val="decimal"/>
      <w:lvlText w:val="%1.%2.%3.%4.%5.%6.%7.%8."/>
      <w:lvlJc w:val="left"/>
      <w:pPr>
        <w:tabs>
          <w:tab w:val="num" w:pos="5400"/>
        </w:tabs>
        <w:ind w:left="3024" w:hanging="1224"/>
      </w:pPr>
      <w:rPr>
        <w:rFonts w:cs="Times New Roman" w:hint="default"/>
      </w:rPr>
    </w:lvl>
    <w:lvl w:ilvl="8">
      <w:start w:val="1"/>
      <w:numFmt w:val="decimal"/>
      <w:lvlText w:val="%1.%2.%3.%4.%5.%6.%7.%8.%9."/>
      <w:lvlJc w:val="left"/>
      <w:pPr>
        <w:tabs>
          <w:tab w:val="num" w:pos="6120"/>
        </w:tabs>
        <w:ind w:left="3600" w:hanging="1440"/>
      </w:pPr>
      <w:rPr>
        <w:rFonts w:cs="Times New Roman" w:hint="default"/>
      </w:rPr>
    </w:lvl>
  </w:abstractNum>
  <w:abstractNum w:abstractNumId="4" w15:restartNumberingAfterBreak="0">
    <w:nsid w:val="68CE0796"/>
    <w:multiLevelType w:val="multilevel"/>
    <w:tmpl w:val="7C5089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4ptHeading"/>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EEB58A7"/>
    <w:multiLevelType w:val="multilevel"/>
    <w:tmpl w:val="4C5A82F8"/>
    <w:lvl w:ilvl="0">
      <w:start w:val="1"/>
      <w:numFmt w:val="decimal"/>
      <w:lvlText w:val="%1."/>
      <w:lvlJc w:val="left"/>
      <w:pPr>
        <w:tabs>
          <w:tab w:val="num" w:pos="567"/>
        </w:tabs>
        <w:ind w:left="0" w:firstLine="0"/>
      </w:pPr>
      <w:rPr>
        <w:rFonts w:hint="default"/>
        <w:b/>
        <w:bCs w:val="0"/>
        <w:i w:val="0"/>
        <w:iCs w:val="0"/>
        <w:caps w:val="0"/>
        <w:smallCaps w:val="0"/>
        <w:strike w:val="0"/>
        <w:dstrike w:val="0"/>
        <w:vanish w:val="0"/>
        <w:color w:val="000000"/>
        <w:spacing w:val="0"/>
        <w:position w:val="0"/>
        <w:u w:val="none"/>
        <w:effect w:val="none"/>
        <w:vertAlign w:val="baseline"/>
      </w:rPr>
    </w:lvl>
    <w:lvl w:ilvl="1">
      <w:start w:val="1"/>
      <w:numFmt w:val="decimal"/>
      <w:lvlText w:val="%1.%2."/>
      <w:lvlJc w:val="left"/>
      <w:pPr>
        <w:tabs>
          <w:tab w:val="num" w:pos="964"/>
        </w:tabs>
        <w:ind w:left="0" w:firstLine="0"/>
      </w:pPr>
      <w:rPr>
        <w:rFonts w:hint="default"/>
        <w:b/>
        <w:i w:val="0"/>
      </w:rPr>
    </w:lvl>
    <w:lvl w:ilvl="2">
      <w:start w:val="1"/>
      <w:numFmt w:val="decimal"/>
      <w:lvlText w:val="%1.%2.%3."/>
      <w:lvlJc w:val="left"/>
      <w:pPr>
        <w:tabs>
          <w:tab w:val="num" w:pos="1418"/>
        </w:tabs>
        <w:ind w:left="0" w:firstLine="0"/>
      </w:pPr>
      <w:rPr>
        <w:rFonts w:hint="default"/>
        <w:b/>
      </w:rPr>
    </w:lvl>
    <w:lvl w:ilvl="3">
      <w:start w:val="1"/>
      <w:numFmt w:val="decimal"/>
      <w:lvlRestart w:val="0"/>
      <w:lvlText w:val="%1.%2.%3.%4."/>
      <w:lvlJc w:val="left"/>
      <w:pPr>
        <w:ind w:left="1008" w:hanging="648"/>
      </w:pPr>
      <w:rPr>
        <w:rFonts w:cs="Times New Roman" w:hint="default"/>
      </w:rPr>
    </w:lvl>
    <w:lvl w:ilvl="4">
      <w:start w:val="1"/>
      <w:numFmt w:val="decimal"/>
      <w:lvlText w:val="%1.%2.%3.%4.%5."/>
      <w:lvlJc w:val="left"/>
      <w:pPr>
        <w:tabs>
          <w:tab w:val="num" w:pos="2880"/>
        </w:tabs>
        <w:ind w:left="1512" w:hanging="792"/>
      </w:pPr>
      <w:rPr>
        <w:rFonts w:cs="Times New Roman" w:hint="default"/>
      </w:rPr>
    </w:lvl>
    <w:lvl w:ilvl="5">
      <w:start w:val="1"/>
      <w:numFmt w:val="decimal"/>
      <w:lvlText w:val="%1.%2.%3.%4.%5.%6."/>
      <w:lvlJc w:val="left"/>
      <w:pPr>
        <w:tabs>
          <w:tab w:val="num" w:pos="3600"/>
        </w:tabs>
        <w:ind w:left="2016" w:hanging="936"/>
      </w:pPr>
      <w:rPr>
        <w:rFonts w:cs="Times New Roman" w:hint="default"/>
      </w:rPr>
    </w:lvl>
    <w:lvl w:ilvl="6">
      <w:start w:val="1"/>
      <w:numFmt w:val="decimal"/>
      <w:lvlText w:val="%1.%2.%3.%4.%5.%6.%7."/>
      <w:lvlJc w:val="left"/>
      <w:pPr>
        <w:tabs>
          <w:tab w:val="num" w:pos="4680"/>
        </w:tabs>
        <w:ind w:left="2520" w:hanging="1080"/>
      </w:pPr>
      <w:rPr>
        <w:rFonts w:cs="Times New Roman" w:hint="default"/>
      </w:rPr>
    </w:lvl>
    <w:lvl w:ilvl="7">
      <w:start w:val="1"/>
      <w:numFmt w:val="decimal"/>
      <w:lvlText w:val="%1.%2.%3.%4.%5.%6.%7.%8."/>
      <w:lvlJc w:val="left"/>
      <w:pPr>
        <w:tabs>
          <w:tab w:val="num" w:pos="5400"/>
        </w:tabs>
        <w:ind w:left="3024" w:hanging="1224"/>
      </w:pPr>
      <w:rPr>
        <w:rFonts w:cs="Times New Roman" w:hint="default"/>
      </w:rPr>
    </w:lvl>
    <w:lvl w:ilvl="8">
      <w:start w:val="1"/>
      <w:numFmt w:val="decimal"/>
      <w:lvlText w:val="%1.%2.%3.%4.%5.%6.%7.%8.%9."/>
      <w:lvlJc w:val="left"/>
      <w:pPr>
        <w:tabs>
          <w:tab w:val="num" w:pos="6120"/>
        </w:tabs>
        <w:ind w:left="3600" w:hanging="1440"/>
      </w:pPr>
      <w:rPr>
        <w:rFonts w:cs="Times New Roman" w:hint="default"/>
      </w:rPr>
    </w:lvl>
  </w:abstractNum>
  <w:num w:numId="1">
    <w:abstractNumId w:val="3"/>
  </w:num>
  <w:num w:numId="2">
    <w:abstractNumId w:val="5"/>
  </w:num>
  <w:num w:numId="3">
    <w:abstractNumId w:val="0"/>
  </w:num>
  <w:num w:numId="4">
    <w:abstractNumId w:val="1"/>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506"/>
    <w:rsid w:val="00313ACB"/>
    <w:rsid w:val="00516506"/>
    <w:rsid w:val="00616875"/>
    <w:rsid w:val="007A1FCC"/>
    <w:rsid w:val="008A1D63"/>
    <w:rsid w:val="00A57CE7"/>
    <w:rsid w:val="00AF18F2"/>
    <w:rsid w:val="00C0792E"/>
    <w:rsid w:val="00C166CA"/>
    <w:rsid w:val="00C40C06"/>
    <w:rsid w:val="00D94ABD"/>
    <w:rsid w:val="00E5018E"/>
    <w:rsid w:val="00F64ED7"/>
    <w:rsid w:val="00F86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7A28E3"/>
  <w15:chartTrackingRefBased/>
  <w15:docId w15:val="{05584854-8A8F-6F43-9A16-E8FBDDCA3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16506"/>
    <w:pPr>
      <w:widowControl w:val="0"/>
      <w:autoSpaceDE w:val="0"/>
      <w:autoSpaceDN w:val="0"/>
    </w:pPr>
    <w:rPr>
      <w:rFonts w:ascii="Arial" w:eastAsia="Arial" w:hAnsi="Arial" w:cs="Arial"/>
      <w:sz w:val="22"/>
      <w:szCs w:val="22"/>
      <w:lang w:eastAsia="en-GB" w:bidi="en-GB"/>
    </w:rPr>
  </w:style>
  <w:style w:type="paragraph" w:styleId="Heading1">
    <w:name w:val="heading 1"/>
    <w:basedOn w:val="Normal"/>
    <w:link w:val="Heading1Char"/>
    <w:uiPriority w:val="1"/>
    <w:qFormat/>
    <w:rsid w:val="00516506"/>
    <w:pPr>
      <w:ind w:left="828"/>
      <w:outlineLvl w:val="0"/>
    </w:pPr>
    <w:rPr>
      <w:sz w:val="24"/>
      <w:szCs w:val="24"/>
    </w:rPr>
  </w:style>
  <w:style w:type="paragraph" w:styleId="Heading3">
    <w:name w:val="heading 3"/>
    <w:basedOn w:val="Normal"/>
    <w:next w:val="Normal"/>
    <w:link w:val="Heading3Char"/>
    <w:uiPriority w:val="9"/>
    <w:semiHidden/>
    <w:unhideWhenUsed/>
    <w:qFormat/>
    <w:rsid w:val="0061687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ptHeading">
    <w:name w:val="4pt Heading"/>
    <w:basedOn w:val="Heading3"/>
    <w:next w:val="BodyText"/>
    <w:link w:val="4ptHeadingChar"/>
    <w:autoRedefine/>
    <w:uiPriority w:val="99"/>
    <w:qFormat/>
    <w:rsid w:val="00616875"/>
    <w:pPr>
      <w:keepNext w:val="0"/>
      <w:keepLines w:val="0"/>
      <w:numPr>
        <w:ilvl w:val="2"/>
        <w:numId w:val="6"/>
      </w:numPr>
      <w:tabs>
        <w:tab w:val="left" w:pos="0"/>
        <w:tab w:val="left" w:pos="851"/>
        <w:tab w:val="num" w:pos="1418"/>
      </w:tabs>
      <w:suppressAutoHyphens/>
      <w:spacing w:before="120" w:line="360" w:lineRule="auto"/>
      <w:jc w:val="both"/>
    </w:pPr>
    <w:rPr>
      <w:rFonts w:ascii="Tahoma" w:eastAsiaTheme="minorHAnsi" w:hAnsi="Tahoma" w:cstheme="minorBidi"/>
      <w:b/>
      <w:bCs/>
      <w:iCs/>
      <w:color w:val="auto"/>
      <w:spacing w:val="-3"/>
    </w:rPr>
  </w:style>
  <w:style w:type="character" w:customStyle="1" w:styleId="4ptHeadingChar">
    <w:name w:val="4pt Heading Char"/>
    <w:link w:val="4ptHeading"/>
    <w:uiPriority w:val="99"/>
    <w:locked/>
    <w:rsid w:val="00616875"/>
    <w:rPr>
      <w:rFonts w:ascii="Tahoma" w:hAnsi="Tahoma"/>
      <w:b/>
      <w:bCs/>
      <w:iCs/>
      <w:spacing w:val="-3"/>
    </w:rPr>
  </w:style>
  <w:style w:type="character" w:customStyle="1" w:styleId="Heading3Char">
    <w:name w:val="Heading 3 Char"/>
    <w:basedOn w:val="DefaultParagraphFont"/>
    <w:link w:val="Heading3"/>
    <w:uiPriority w:val="9"/>
    <w:semiHidden/>
    <w:rsid w:val="00616875"/>
    <w:rPr>
      <w:rFonts w:asciiTheme="majorHAnsi" w:eastAsiaTheme="majorEastAsia" w:hAnsiTheme="majorHAnsi" w:cstheme="majorBidi"/>
      <w:color w:val="1F3763" w:themeColor="accent1" w:themeShade="7F"/>
    </w:rPr>
  </w:style>
  <w:style w:type="paragraph" w:styleId="BodyText">
    <w:name w:val="Body Text"/>
    <w:basedOn w:val="Normal"/>
    <w:link w:val="BodyTextChar"/>
    <w:uiPriority w:val="99"/>
    <w:semiHidden/>
    <w:unhideWhenUsed/>
    <w:rsid w:val="00616875"/>
    <w:pPr>
      <w:spacing w:after="120"/>
    </w:pPr>
  </w:style>
  <w:style w:type="character" w:customStyle="1" w:styleId="BodyTextChar">
    <w:name w:val="Body Text Char"/>
    <w:basedOn w:val="DefaultParagraphFont"/>
    <w:link w:val="BodyText"/>
    <w:uiPriority w:val="99"/>
    <w:semiHidden/>
    <w:rsid w:val="00616875"/>
  </w:style>
  <w:style w:type="paragraph" w:customStyle="1" w:styleId="4point">
    <w:name w:val="4 point"/>
    <w:basedOn w:val="Normal"/>
    <w:qFormat/>
    <w:rsid w:val="00616875"/>
    <w:pPr>
      <w:numPr>
        <w:ilvl w:val="2"/>
        <w:numId w:val="3"/>
      </w:numPr>
      <w:spacing w:line="360" w:lineRule="auto"/>
      <w:jc w:val="both"/>
    </w:pPr>
    <w:rPr>
      <w:rFonts w:ascii="Tahoma" w:eastAsia="Times New Roman" w:hAnsi="Tahoma" w:cs="Tahoma"/>
      <w:b/>
      <w:kern w:val="28"/>
      <w:sz w:val="20"/>
      <w:szCs w:val="20"/>
    </w:rPr>
  </w:style>
  <w:style w:type="paragraph" w:styleId="Caption">
    <w:name w:val="caption"/>
    <w:basedOn w:val="Normal"/>
    <w:next w:val="Normal"/>
    <w:autoRedefine/>
    <w:uiPriority w:val="35"/>
    <w:qFormat/>
    <w:rsid w:val="00616875"/>
    <w:pPr>
      <w:numPr>
        <w:numId w:val="5"/>
      </w:numPr>
      <w:jc w:val="both"/>
      <w:outlineLvl w:val="0"/>
    </w:pPr>
    <w:rPr>
      <w:rFonts w:ascii="Tahoma" w:eastAsia="Times New Roman" w:hAnsi="Tahoma" w:cs="Tahoma"/>
      <w:b/>
      <w:bCs/>
      <w:kern w:val="28"/>
      <w:szCs w:val="20"/>
    </w:rPr>
  </w:style>
  <w:style w:type="character" w:customStyle="1" w:styleId="Heading1Char">
    <w:name w:val="Heading 1 Char"/>
    <w:basedOn w:val="DefaultParagraphFont"/>
    <w:link w:val="Heading1"/>
    <w:uiPriority w:val="1"/>
    <w:rsid w:val="00516506"/>
    <w:rPr>
      <w:rFonts w:ascii="Arial" w:eastAsia="Arial" w:hAnsi="Arial" w:cs="Arial"/>
      <w:lang w:eastAsia="en-GB" w:bidi="en-GB"/>
    </w:rPr>
  </w:style>
  <w:style w:type="paragraph" w:styleId="ListParagraph">
    <w:name w:val="List Paragraph"/>
    <w:basedOn w:val="Normal"/>
    <w:uiPriority w:val="1"/>
    <w:qFormat/>
    <w:rsid w:val="00516506"/>
    <w:pPr>
      <w:ind w:left="467"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2989</Words>
  <Characters>17043</Characters>
  <Application>Microsoft Office Word</Application>
  <DocSecurity>0</DocSecurity>
  <Lines>142</Lines>
  <Paragraphs>39</Paragraphs>
  <ScaleCrop>false</ScaleCrop>
  <Company/>
  <LinksUpToDate>false</LinksUpToDate>
  <CharactersWithSpaces>19993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Jane Northam</dc:creator>
  <cp:keywords/>
  <dc:description/>
  <cp:lastModifiedBy>Melissa Jane Northam</cp:lastModifiedBy>
  <cp:revision>1</cp:revision>
  <dcterms:created xsi:type="dcterms:W3CDTF">2022-01-02T12:57:00Z</dcterms:created>
  <dcterms:modified xsi:type="dcterms:W3CDTF">2022-01-02T12:57:00Z</dcterms:modified>
</cp:coreProperties>
</file>