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72E5C" w14:textId="77777777" w:rsidR="001B6F17" w:rsidRPr="00CE5575" w:rsidRDefault="001B6F17">
      <w:pPr>
        <w:rPr>
          <w:b/>
          <w:bCs/>
          <w:i/>
          <w:iCs/>
          <w:sz w:val="36"/>
          <w:szCs w:val="36"/>
          <w:u w:val="single"/>
        </w:rPr>
      </w:pPr>
      <w:r w:rsidRPr="00CE5575">
        <w:rPr>
          <w:b/>
          <w:bCs/>
          <w:i/>
          <w:iCs/>
          <w:sz w:val="36"/>
          <w:szCs w:val="36"/>
          <w:u w:val="single"/>
        </w:rPr>
        <w:t>Communication</w:t>
      </w:r>
    </w:p>
    <w:p w14:paraId="3ACE439F" w14:textId="4B54AF7B" w:rsidR="009020A4" w:rsidRDefault="001B6F17">
      <w:r>
        <w:t xml:space="preserve">You know if your </w:t>
      </w:r>
      <w:r w:rsidR="00CE5575">
        <w:t>communicating well</w:t>
      </w:r>
      <w:r>
        <w:t xml:space="preserve"> with someone else when they are able to pick up keys points within what you have said</w:t>
      </w:r>
      <w:r w:rsidR="00CE5575">
        <w:t xml:space="preserve">. And those people are more likely to take on board what you have just said </w:t>
      </w:r>
    </w:p>
    <w:p w14:paraId="0ADCD77B" w14:textId="766D0158" w:rsidR="00CE5575" w:rsidRDefault="00CE5575">
      <w:pPr>
        <w:rPr>
          <w:rFonts w:ascii="Helvetica" w:hAnsi="Helvetica" w:cs="Helvetica"/>
          <w:color w:val="333333"/>
        </w:rPr>
      </w:pPr>
      <w:r w:rsidRPr="00590DA6">
        <w:rPr>
          <w:rFonts w:ascii="Helvetica" w:hAnsi="Helvetica" w:cs="Helvetica"/>
          <w:color w:val="333333"/>
          <w:highlight w:val="yellow"/>
        </w:rPr>
        <w:t>When doctors use communication skills effectively, both they and their patients benefit. Firstly, doctors identify their patients' problems more accurately.</w:t>
      </w:r>
      <w:r w:rsidRPr="00590DA6">
        <w:rPr>
          <w:rStyle w:val="xref-bibr"/>
          <w:rFonts w:ascii="&amp;quot" w:hAnsi="&amp;quot"/>
          <w:color w:val="333333"/>
          <w:position w:val="6"/>
          <w:sz w:val="15"/>
          <w:szCs w:val="15"/>
          <w:highlight w:val="yellow"/>
          <w:bdr w:val="none" w:sz="0" w:space="0" w:color="auto" w:frame="1"/>
        </w:rPr>
        <w:t>1</w:t>
      </w:r>
      <w:r w:rsidRPr="00590DA6">
        <w:rPr>
          <w:rFonts w:ascii="Helvetica" w:hAnsi="Helvetica" w:cs="Helvetica"/>
          <w:color w:val="333333"/>
          <w:highlight w:val="yellow"/>
        </w:rPr>
        <w:t xml:space="preserve"> Secondly, their patients are more satisfied with their care and can better understand their problems, investigations, and treatment options. Thirdly, patients are more likely to adhere to treatment and to follow advice on behaviour change.</w:t>
      </w:r>
      <w:r w:rsidRPr="00590DA6">
        <w:rPr>
          <w:rStyle w:val="xref-bibr"/>
          <w:rFonts w:ascii="&amp;quot" w:hAnsi="&amp;quot"/>
          <w:color w:val="333333"/>
          <w:position w:val="6"/>
          <w:sz w:val="15"/>
          <w:szCs w:val="15"/>
          <w:highlight w:val="yellow"/>
          <w:bdr w:val="none" w:sz="0" w:space="0" w:color="auto" w:frame="1"/>
        </w:rPr>
        <w:t>2</w:t>
      </w:r>
      <w:r w:rsidRPr="00590DA6">
        <w:rPr>
          <w:rFonts w:ascii="Helvetica" w:hAnsi="Helvetica" w:cs="Helvetica"/>
          <w:color w:val="333333"/>
          <w:highlight w:val="yellow"/>
        </w:rPr>
        <w:t xml:space="preserve"> Fourthly, patients' distress and their vulnerability to anxiety and depression are lessened. Finally, doctors' own wellbeing is improved.</w:t>
      </w:r>
      <w:r w:rsidRPr="00590DA6">
        <w:rPr>
          <w:rStyle w:val="xref-bibr"/>
          <w:rFonts w:ascii="&amp;quot" w:hAnsi="&amp;quot"/>
          <w:color w:val="333333"/>
          <w:position w:val="6"/>
          <w:sz w:val="15"/>
          <w:szCs w:val="15"/>
          <w:highlight w:val="yellow"/>
          <w:bdr w:val="none" w:sz="0" w:space="0" w:color="auto" w:frame="1"/>
        </w:rPr>
        <w:t>3</w:t>
      </w:r>
      <w:r w:rsidRPr="00590DA6">
        <w:rPr>
          <w:rFonts w:ascii="&amp;quot" w:hAnsi="&amp;quot"/>
          <w:color w:val="333333"/>
          <w:sz w:val="20"/>
          <w:szCs w:val="20"/>
          <w:highlight w:val="yellow"/>
          <w:bdr w:val="none" w:sz="0" w:space="0" w:color="auto" w:frame="1"/>
          <w:vertAlign w:val="superscript"/>
        </w:rPr>
        <w:t>–</w:t>
      </w:r>
      <w:r w:rsidRPr="00590DA6">
        <w:rPr>
          <w:rStyle w:val="xref-bibr"/>
          <w:rFonts w:ascii="&amp;quot" w:hAnsi="&amp;quot"/>
          <w:color w:val="333333"/>
          <w:position w:val="6"/>
          <w:sz w:val="15"/>
          <w:szCs w:val="15"/>
          <w:highlight w:val="yellow"/>
          <w:bdr w:val="none" w:sz="0" w:space="0" w:color="auto" w:frame="1"/>
        </w:rPr>
        <w:t>5</w:t>
      </w:r>
      <w:r w:rsidRPr="00590DA6">
        <w:rPr>
          <w:rFonts w:ascii="Helvetica" w:hAnsi="Helvetica" w:cs="Helvetica"/>
          <w:color w:val="333333"/>
          <w:highlight w:val="yellow"/>
        </w:rPr>
        <w:t xml:space="preserve"> We present evidence that doctors do not communicate with their patients as well as they should, and we consider possible reasons for this. We also describe the skills essential for effective communication and discuss how doctors can acquire these skills.</w:t>
      </w:r>
    </w:p>
    <w:p w14:paraId="4ED98424" w14:textId="494190AD" w:rsidR="00CE5575" w:rsidRDefault="00CE5575">
      <w:sdt>
        <w:sdtPr>
          <w:id w:val="-1067190630"/>
          <w:citation/>
        </w:sdtPr>
        <w:sdtContent>
          <w:r>
            <w:fldChar w:fldCharType="begin"/>
          </w:r>
          <w:r>
            <w:rPr>
              <w:rFonts w:ascii="Helvetica" w:hAnsi="Helvetica" w:cs="Helvetica"/>
              <w:color w:val="333333"/>
            </w:rPr>
            <w:instrText xml:space="preserve"> CITATION Pet02 \l 2057 </w:instrText>
          </w:r>
          <w:r>
            <w:fldChar w:fldCharType="separate"/>
          </w:r>
          <w:r w:rsidRPr="00CE5575">
            <w:rPr>
              <w:rFonts w:ascii="Helvetica" w:hAnsi="Helvetica" w:cs="Helvetica"/>
              <w:noProof/>
              <w:color w:val="333333"/>
            </w:rPr>
            <w:t>(Peter Maguire, 2002)</w:t>
          </w:r>
          <w:r>
            <w:fldChar w:fldCharType="end"/>
          </w:r>
        </w:sdtContent>
      </w:sdt>
    </w:p>
    <w:p w14:paraId="73581004" w14:textId="018E6543" w:rsidR="00590DA6" w:rsidRDefault="00590DA6"/>
    <w:p w14:paraId="4ECF7F39" w14:textId="1D9BF084" w:rsidR="00590DA6" w:rsidRDefault="00590DA6">
      <w:r>
        <w:t>Networking</w:t>
      </w:r>
    </w:p>
    <w:p w14:paraId="0266AB35" w14:textId="5A880207" w:rsidR="00590DA6" w:rsidRDefault="00590DA6">
      <w:r>
        <w:t>This is very</w:t>
      </w:r>
      <w:r w:rsidR="001B66EB">
        <w:t xml:space="preserve"> helpful for new people coming in to the business to adjust quickly if there is already a good stable network in place. It also allows us to expand easily as well</w:t>
      </w:r>
    </w:p>
    <w:p w14:paraId="534D365E" w14:textId="7A23E1C3" w:rsidR="00590DA6" w:rsidRDefault="001B66EB">
      <w:pPr>
        <w:rPr>
          <w:rFonts w:ascii="Helvetica" w:hAnsi="Helvetica" w:cs="Helvetica"/>
          <w:color w:val="000000"/>
        </w:rPr>
      </w:pPr>
      <w:r w:rsidRPr="001B66EB">
        <w:rPr>
          <w:rFonts w:ascii="Helvetica" w:hAnsi="Helvetica" w:cs="Helvetica"/>
          <w:color w:val="000000"/>
          <w:highlight w:val="yellow"/>
        </w:rPr>
        <w:t xml:space="preserve">Creating new ties in a social network facilitates knowledge exchange and affects positional advantage. In this paper, we study the process, which we call network building, of establishing ties between two existing social networks in order to reach certain structural goals. We focus on the case when one of the two networks </w:t>
      </w:r>
      <w:proofErr w:type="gramStart"/>
      <w:r w:rsidRPr="001B66EB">
        <w:rPr>
          <w:rFonts w:ascii="Helvetica" w:hAnsi="Helvetica" w:cs="Helvetica"/>
          <w:color w:val="000000"/>
          <w:highlight w:val="yellow"/>
        </w:rPr>
        <w:t>consists</w:t>
      </w:r>
      <w:proofErr w:type="gramEnd"/>
      <w:r w:rsidRPr="001B66EB">
        <w:rPr>
          <w:rFonts w:ascii="Helvetica" w:hAnsi="Helvetica" w:cs="Helvetica"/>
          <w:color w:val="000000"/>
          <w:highlight w:val="yellow"/>
        </w:rPr>
        <w:t xml:space="preserve"> only of a single member and motivate this case from two perspectives. The first perspective is socialization: we ask how a newcomer can forge relationships with an existing network to place herself at the </w:t>
      </w:r>
      <w:proofErr w:type="spellStart"/>
      <w:r w:rsidRPr="001B66EB">
        <w:rPr>
          <w:rFonts w:ascii="Helvetica" w:hAnsi="Helvetica" w:cs="Helvetica"/>
          <w:color w:val="000000"/>
          <w:highlight w:val="yellow"/>
        </w:rPr>
        <w:t>center</w:t>
      </w:r>
      <w:proofErr w:type="spellEnd"/>
      <w:r w:rsidRPr="001B66EB">
        <w:rPr>
          <w:rFonts w:ascii="Helvetica" w:hAnsi="Helvetica" w:cs="Helvetica"/>
          <w:color w:val="000000"/>
          <w:highlight w:val="yellow"/>
        </w:rPr>
        <w:t>. We prove that obtaining optimal solutions to this problem is NP-complete, and present several efficient algorithms to solve this problem and compare them with each other. The second perspective is network expansion: we investigate how a network may preserve or reduce its diameter through linking with a new node, hence ensuring small distance between its members. We give two algorithms for this problem. For both perspectives the experiment demonstrates that a small number of new links is usually sufficient to reach the respective goal.</w:t>
      </w:r>
    </w:p>
    <w:p w14:paraId="4D98E46F" w14:textId="639E8BAF" w:rsidR="001B66EB" w:rsidRPr="001B66EB" w:rsidRDefault="001B66EB">
      <w:pPr>
        <w:rPr>
          <w:sz w:val="24"/>
          <w:szCs w:val="24"/>
        </w:rPr>
      </w:pPr>
      <w:sdt>
        <w:sdtPr>
          <w:rPr>
            <w:sz w:val="24"/>
            <w:szCs w:val="24"/>
          </w:rPr>
          <w:id w:val="1154186470"/>
          <w:citation/>
        </w:sdtPr>
        <w:sdtContent>
          <w:r w:rsidRPr="001B66EB">
            <w:rPr>
              <w:sz w:val="24"/>
              <w:szCs w:val="24"/>
            </w:rPr>
            <w:fldChar w:fldCharType="begin"/>
          </w:r>
          <w:r w:rsidRPr="001B66EB">
            <w:rPr>
              <w:rFonts w:ascii="Helvetica" w:hAnsi="Helvetica" w:cs="Helvetica"/>
              <w:color w:val="000000"/>
            </w:rPr>
            <w:instrText xml:space="preserve"> CITATION Ana16 \l 2057 </w:instrText>
          </w:r>
          <w:r w:rsidRPr="001B66EB">
            <w:rPr>
              <w:sz w:val="24"/>
              <w:szCs w:val="24"/>
            </w:rPr>
            <w:fldChar w:fldCharType="separate"/>
          </w:r>
          <w:r w:rsidRPr="001B66EB">
            <w:rPr>
              <w:rFonts w:ascii="Helvetica" w:hAnsi="Helvetica" w:cs="Helvetica"/>
              <w:noProof/>
              <w:color w:val="000000"/>
            </w:rPr>
            <w:t>(Anastasia Moskvina, 2016)</w:t>
          </w:r>
          <w:r w:rsidRPr="001B66EB">
            <w:rPr>
              <w:sz w:val="24"/>
              <w:szCs w:val="24"/>
            </w:rPr>
            <w:fldChar w:fldCharType="end"/>
          </w:r>
        </w:sdtContent>
      </w:sdt>
    </w:p>
    <w:p w14:paraId="259138FB" w14:textId="0BC25A40" w:rsidR="00590DA6" w:rsidRDefault="00590DA6">
      <w:r>
        <w:t>Motivation</w:t>
      </w:r>
    </w:p>
    <w:p w14:paraId="3A0CF190" w14:textId="4FC46B9E" w:rsidR="00590DA6" w:rsidRDefault="001B66EB">
      <w:r>
        <w:t>Motivation is needed by students so that there work they produce is to a high standard a lack of motivation can cause the students to</w:t>
      </w:r>
      <w:r w:rsidR="00825A8C">
        <w:t xml:space="preserve"> do</w:t>
      </w:r>
      <w:r>
        <w:t xml:space="preserve"> less than satisfactory work and </w:t>
      </w:r>
      <w:r w:rsidR="00825A8C">
        <w:t>maybe not even do the work at all</w:t>
      </w:r>
    </w:p>
    <w:p w14:paraId="3D616FD4" w14:textId="68F3D312" w:rsidR="00825A8C" w:rsidRPr="00825A8C" w:rsidRDefault="00825A8C">
      <w:pPr>
        <w:rPr>
          <w:sz w:val="18"/>
          <w:szCs w:val="18"/>
        </w:rPr>
      </w:pPr>
      <w:r w:rsidRPr="00825A8C">
        <w:rPr>
          <w:rFonts w:ascii="Arial" w:hAnsi="Arial" w:cs="Arial"/>
          <w:color w:val="333333"/>
          <w:highlight w:val="yellow"/>
        </w:rPr>
        <w:t xml:space="preserve">Self-determination theory (Deci &amp; Ryan, 1985, 1991), when applied to the realm of education, is concerned primarily with promoting in students an interest in learning, a valuing of education, and a confidence in their own capacities and attributes. These outcomes are manifestations of being intrinsically motivated and internalizing values and regulatory processes. Research suggests that these processes result in high-quality learning and conceptual understanding, as well as enhanced personal growth and adjustment. In this </w:t>
      </w:r>
      <w:r w:rsidRPr="00825A8C">
        <w:rPr>
          <w:rFonts w:ascii="Arial" w:hAnsi="Arial" w:cs="Arial"/>
          <w:color w:val="333333"/>
          <w:highlight w:val="yellow"/>
        </w:rPr>
        <w:lastRenderedPageBreak/>
        <w:t xml:space="preserve">article we also describe social-contextual factors that nurture intrinsic motivation and </w:t>
      </w:r>
      <w:bookmarkStart w:id="0" w:name="_GoBack"/>
      <w:bookmarkEnd w:id="0"/>
      <w:r w:rsidRPr="00825A8C">
        <w:rPr>
          <w:rFonts w:ascii="Arial" w:hAnsi="Arial" w:cs="Arial"/>
          <w:color w:val="333333"/>
          <w:highlight w:val="yellow"/>
        </w:rPr>
        <w:t>promote internalization, leading to the desired educational outcomes.</w:t>
      </w:r>
      <w:r>
        <w:rPr>
          <w:rFonts w:ascii="Arial" w:hAnsi="Arial" w:cs="Arial"/>
          <w:color w:val="333333"/>
        </w:rPr>
        <w:t xml:space="preserve"> </w:t>
      </w:r>
      <w:sdt>
        <w:sdtPr>
          <w:rPr>
            <w:rFonts w:ascii="Arial" w:hAnsi="Arial" w:cs="Arial"/>
            <w:color w:val="333333"/>
            <w:highlight w:val="yellow"/>
          </w:rPr>
          <w:id w:val="1665196738"/>
          <w:citation/>
        </w:sdtPr>
        <w:sdtContent>
          <w:r w:rsidRPr="00825A8C">
            <w:rPr>
              <w:rFonts w:ascii="Arial" w:hAnsi="Arial" w:cs="Arial"/>
              <w:color w:val="333333"/>
              <w:highlight w:val="yellow"/>
            </w:rPr>
            <w:fldChar w:fldCharType="begin"/>
          </w:r>
          <w:r w:rsidRPr="00825A8C">
            <w:rPr>
              <w:rFonts w:ascii="Arial" w:hAnsi="Arial" w:cs="Arial"/>
              <w:color w:val="333333"/>
              <w:highlight w:val="yellow"/>
            </w:rPr>
            <w:instrText xml:space="preserve"> CITATION Edw11 \l 2057 </w:instrText>
          </w:r>
          <w:r w:rsidRPr="00825A8C">
            <w:rPr>
              <w:rFonts w:ascii="Arial" w:hAnsi="Arial" w:cs="Arial"/>
              <w:color w:val="333333"/>
              <w:highlight w:val="yellow"/>
            </w:rPr>
            <w:fldChar w:fldCharType="separate"/>
          </w:r>
          <w:r w:rsidRPr="00825A8C">
            <w:rPr>
              <w:rFonts w:ascii="Arial" w:hAnsi="Arial" w:cs="Arial"/>
              <w:noProof/>
              <w:color w:val="333333"/>
              <w:highlight w:val="yellow"/>
            </w:rPr>
            <w:t>(Edward L. Deci, 2011)</w:t>
          </w:r>
          <w:r w:rsidRPr="00825A8C">
            <w:rPr>
              <w:rFonts w:ascii="Arial" w:hAnsi="Arial" w:cs="Arial"/>
              <w:color w:val="333333"/>
              <w:highlight w:val="yellow"/>
            </w:rPr>
            <w:fldChar w:fldCharType="end"/>
          </w:r>
        </w:sdtContent>
      </w:sdt>
    </w:p>
    <w:sectPr w:rsidR="00825A8C" w:rsidRPr="00825A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20FC9" w14:textId="77777777" w:rsidR="001177E5" w:rsidRDefault="001177E5" w:rsidP="001B6F17">
      <w:pPr>
        <w:spacing w:after="0" w:line="240" w:lineRule="auto"/>
      </w:pPr>
      <w:r>
        <w:separator/>
      </w:r>
    </w:p>
  </w:endnote>
  <w:endnote w:type="continuationSeparator" w:id="0">
    <w:p w14:paraId="1E05A58C" w14:textId="77777777" w:rsidR="001177E5" w:rsidRDefault="001177E5" w:rsidP="001B6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ACACD1" w14:textId="77777777" w:rsidR="001177E5" w:rsidRDefault="001177E5" w:rsidP="001B6F17">
      <w:pPr>
        <w:spacing w:after="0" w:line="240" w:lineRule="auto"/>
      </w:pPr>
      <w:r>
        <w:separator/>
      </w:r>
    </w:p>
  </w:footnote>
  <w:footnote w:type="continuationSeparator" w:id="0">
    <w:p w14:paraId="77E13103" w14:textId="77777777" w:rsidR="001177E5" w:rsidRDefault="001177E5" w:rsidP="001B6F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F17"/>
    <w:rsid w:val="001177E5"/>
    <w:rsid w:val="001B66EB"/>
    <w:rsid w:val="001B6F17"/>
    <w:rsid w:val="00590DA6"/>
    <w:rsid w:val="00730F43"/>
    <w:rsid w:val="00782AC8"/>
    <w:rsid w:val="007A094F"/>
    <w:rsid w:val="00825A8C"/>
    <w:rsid w:val="00BC5CCD"/>
    <w:rsid w:val="00C81B91"/>
    <w:rsid w:val="00CE5575"/>
    <w:rsid w:val="00E90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697CE"/>
  <w15:chartTrackingRefBased/>
  <w15:docId w15:val="{C2E19BC6-EAFC-4285-A8DC-6E82A9B5F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6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F17"/>
  </w:style>
  <w:style w:type="paragraph" w:styleId="Footer">
    <w:name w:val="footer"/>
    <w:basedOn w:val="Normal"/>
    <w:link w:val="FooterChar"/>
    <w:uiPriority w:val="99"/>
    <w:unhideWhenUsed/>
    <w:rsid w:val="001B6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F17"/>
  </w:style>
  <w:style w:type="character" w:customStyle="1" w:styleId="xref-bibr">
    <w:name w:val="xref-bibr"/>
    <w:basedOn w:val="DefaultParagraphFont"/>
    <w:rsid w:val="00CE55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300430">
      <w:bodyDiv w:val="1"/>
      <w:marLeft w:val="0"/>
      <w:marRight w:val="0"/>
      <w:marTop w:val="0"/>
      <w:marBottom w:val="0"/>
      <w:divBdr>
        <w:top w:val="none" w:sz="0" w:space="0" w:color="auto"/>
        <w:left w:val="none" w:sz="0" w:space="0" w:color="auto"/>
        <w:bottom w:val="none" w:sz="0" w:space="0" w:color="auto"/>
        <w:right w:val="none" w:sz="0" w:space="0" w:color="auto"/>
      </w:divBdr>
    </w:div>
    <w:div w:id="1532842385">
      <w:bodyDiv w:val="1"/>
      <w:marLeft w:val="0"/>
      <w:marRight w:val="0"/>
      <w:marTop w:val="0"/>
      <w:marBottom w:val="0"/>
      <w:divBdr>
        <w:top w:val="none" w:sz="0" w:space="0" w:color="auto"/>
        <w:left w:val="none" w:sz="0" w:space="0" w:color="auto"/>
        <w:bottom w:val="none" w:sz="0" w:space="0" w:color="auto"/>
        <w:right w:val="none" w:sz="0" w:space="0" w:color="auto"/>
      </w:divBdr>
    </w:div>
    <w:div w:id="175238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Pet02</b:Tag>
    <b:SourceType>InternetSite</b:SourceType>
    <b:Guid>{268C454F-F66A-494E-9A96-BEDD476C236C}</b:Guid>
    <b:Author>
      <b:Author>
        <b:NameList>
          <b:Person>
            <b:Last>Peter Maguire</b:Last>
            <b:First>Carolyn</b:First>
            <b:Middle>Pitceathly</b:Middle>
          </b:Person>
        </b:NameList>
      </b:Author>
    </b:Author>
    <b:Title>Key communication skills and how to acquire them</b:Title>
    <b:Year>2002</b:Year>
    <b:Publisher>bmj.com</b:Publisher>
    <b:InternetSiteTitle>the BMJ</b:InternetSiteTitle>
    <b:Month>September</b:Month>
    <b:Day>28</b:Day>
    <b:URL>https://www.bmj.com/content/325/7366/697?lookupType=volpage&amp;vol=325&amp;fp=697&amp;v</b:URL>
    <b:RefOrder>1</b:RefOrder>
  </b:Source>
  <b:Source>
    <b:Tag>Ana16</b:Tag>
    <b:SourceType>InternetSite</b:SourceType>
    <b:Guid>{2D3BD345-7E81-44DD-85C4-743F355816A9}</b:Guid>
    <b:Author>
      <b:Author>
        <b:NameList>
          <b:Person>
            <b:Last>Anastasia Moskvina</b:Last>
            <b:First>Jiamou</b:First>
            <b:Middle>Liu</b:Middle>
          </b:Person>
        </b:NameList>
      </b:Author>
    </b:Author>
    <b:Title>How to Build Your Network? A Structural Analysis</b:Title>
    <b:InternetSiteTitle>Cornell university</b:InternetSiteTitle>
    <b:Year>2016</b:Year>
    <b:Month>May</b:Month>
    <b:Day>12</b:Day>
    <b:URL>https://arxiv.org/abs/1605.03644</b:URL>
    <b:RefOrder>2</b:RefOrder>
  </b:Source>
  <b:Source>
    <b:Tag>Edw11</b:Tag>
    <b:SourceType>InternetSite</b:SourceType>
    <b:Guid>{4FF93110-76FC-4C98-AC3F-8177CBB307B3}</b:Guid>
    <b:Author>
      <b:Author>
        <b:NameList>
          <b:Person>
            <b:Last>Edward L. Deci</b:Last>
            <b:First>Robert</b:First>
            <b:Middle>J. Vallerand , Luc G. Pelletier &amp; Richard M. Ryan</b:Middle>
          </b:Person>
        </b:NameList>
      </b:Author>
    </b:Author>
    <b:Title>Motivation and Education: The Self-Determination Perspective</b:Title>
    <b:InternetSiteTitle>Taylor and francis online</b:InternetSiteTitle>
    <b:Year>2011</b:Year>
    <b:Month>November</b:Month>
    <b:Day>21</b:Day>
    <b:URL>https://www.tandfonline.com/doi/abs/10.1080/00461520.1991.9653137</b:URL>
    <b:RefOrder>3</b:RefOrder>
  </b:Source>
</b:Sources>
</file>

<file path=customXml/itemProps1.xml><?xml version="1.0" encoding="utf-8"?>
<ds:datastoreItem xmlns:ds="http://schemas.openxmlformats.org/officeDocument/2006/customXml" ds:itemID="{0B02A381-CA5D-487C-8D46-BE1AB0963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Pages>
  <Words>498</Words>
  <Characters>2843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2019-10-29T15:58:00Z</dcterms:created>
  <dcterms:modified xsi:type="dcterms:W3CDTF">2019-10-29T16:57:00Z</dcterms:modified>
</cp:coreProperties>
</file>