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79A19" w14:textId="450DCABB" w:rsidR="00FF52E8" w:rsidRDefault="00FF52E8" w:rsidP="00F3754E">
      <w:pPr>
        <w:spacing w:line="480" w:lineRule="auto"/>
      </w:pPr>
      <w:r w:rsidRPr="00FF52E8">
        <w:t>Which is more important for heritage, its conservation or interpretation?</w:t>
      </w:r>
    </w:p>
    <w:p w14:paraId="349CA736" w14:textId="73577D68" w:rsidR="00AE6437" w:rsidRDefault="00AE6437" w:rsidP="00F3754E">
      <w:pPr>
        <w:spacing w:line="480" w:lineRule="auto"/>
      </w:pPr>
      <w:r w:rsidRPr="00AE6437">
        <w:t>Should heritage sites be preserved in their original states or should they be allowed to change. There are two main questions that arise if heritage sites remain as they were, as if frozen in time: Does this portray an accurate depiction of the heritage site?  And does this limit how the heritage site can be understood, and would this be truly conserving the heritage of the place?</w:t>
      </w:r>
    </w:p>
    <w:p w14:paraId="1BF82F9E" w14:textId="77777777" w:rsidR="00AE6437" w:rsidRDefault="00AE6437" w:rsidP="00F3754E">
      <w:pPr>
        <w:spacing w:line="480" w:lineRule="auto"/>
      </w:pPr>
    </w:p>
    <w:p w14:paraId="66AD9A15" w14:textId="78C796FC" w:rsidR="00052535" w:rsidRDefault="0069613B" w:rsidP="00F3754E">
      <w:pPr>
        <w:spacing w:line="480" w:lineRule="auto"/>
      </w:pPr>
      <w:r>
        <w:t>Heritage interpretation will not be identical between different individuals and groups as such how it is viewed will differ. In both a cultural</w:t>
      </w:r>
      <w:r w:rsidR="00E1644C">
        <w:t>,</w:t>
      </w:r>
      <w:r>
        <w:t xml:space="preserve"> as well as political sense</w:t>
      </w:r>
      <w:r w:rsidR="00E1644C">
        <w:t>,</w:t>
      </w:r>
      <w:r>
        <w:t xml:space="preserve"> a</w:t>
      </w:r>
      <w:r w:rsidR="004416F9">
        <w:t>n</w:t>
      </w:r>
      <w:r>
        <w:t xml:space="preserve"> example of this difference can be seen in the statues of slave owners around the </w:t>
      </w:r>
      <w:r w:rsidR="004416F9">
        <w:t>United States</w:t>
      </w:r>
      <w:r>
        <w:t xml:space="preserve"> and </w:t>
      </w:r>
      <w:r w:rsidR="004416F9">
        <w:t>United Kingdom</w:t>
      </w:r>
      <w:r>
        <w:t xml:space="preserve"> where some groups want these statues removed or destroyed while others want to preserve them as they are</w:t>
      </w:r>
      <w:r w:rsidR="00E1644C">
        <w:t>,</w:t>
      </w:r>
      <w:r>
        <w:t xml:space="preserve"> </w:t>
      </w:r>
      <w:r w:rsidR="00E1644C">
        <w:t>as</w:t>
      </w:r>
      <w:r>
        <w:t xml:space="preserve"> they argue that these represent </w:t>
      </w:r>
      <w:r w:rsidR="001F67FE">
        <w:t>their</w:t>
      </w:r>
      <w:r>
        <w:t xml:space="preserve"> cultural heritage. </w:t>
      </w:r>
      <w:r w:rsidR="00975906">
        <w:t xml:space="preserve">As well as the conflict between how this heritage is viewed internationally compared to locally with this being shown in the conflict between tourists and residents in tourist cities. </w:t>
      </w:r>
    </w:p>
    <w:p w14:paraId="58CC7B3F" w14:textId="1C1A3482" w:rsidR="00690B9C" w:rsidRDefault="00F9670D" w:rsidP="00F3754E">
      <w:pPr>
        <w:spacing w:line="480" w:lineRule="auto"/>
      </w:pPr>
      <w:r>
        <w:t xml:space="preserve">For </w:t>
      </w:r>
      <w:r w:rsidR="00286D37">
        <w:t>example, the government houses built in India by the British empire</w:t>
      </w:r>
      <w:r w:rsidR="00E1644C">
        <w:t>,</w:t>
      </w:r>
      <w:r w:rsidR="00286D37">
        <w:t xml:space="preserve"> these grand buildings stood in stark contrast to the surrounding living conditions of the local population and to preserve these as symbols of power frozen in time would portray the British empires power </w:t>
      </w:r>
      <w:r w:rsidR="00C64415">
        <w:t>in this example</w:t>
      </w:r>
      <w:r w:rsidR="00E1644C">
        <w:t>,</w:t>
      </w:r>
      <w:r w:rsidR="00C64415">
        <w:t xml:space="preserve"> as something that is unchanging and </w:t>
      </w:r>
      <w:r w:rsidR="00690B9C">
        <w:t>timeless</w:t>
      </w:r>
      <w:r w:rsidR="00C64415">
        <w:t xml:space="preserve"> in contrast to the ruins of the Mughal and other past nations symbols of power appear as fleeting and less significant because they have been allowed to be effected by the passage of time. </w:t>
      </w:r>
    </w:p>
    <w:p w14:paraId="4E75BCBA" w14:textId="17CFE98D" w:rsidR="00F9670D" w:rsidRDefault="00690B9C" w:rsidP="00F3754E">
      <w:pPr>
        <w:spacing w:line="480" w:lineRule="auto"/>
      </w:pPr>
      <w:r w:rsidRPr="00690B9C">
        <w:t xml:space="preserve">One of the major principles of heritage conservation has been the celebration of each </w:t>
      </w:r>
      <w:proofErr w:type="gramStart"/>
      <w:r w:rsidRPr="00690B9C">
        <w:t>nations</w:t>
      </w:r>
      <w:proofErr w:type="gramEnd"/>
      <w:r w:rsidRPr="00690B9C">
        <w:t xml:space="preserve"> historical identity</w:t>
      </w:r>
      <w:r w:rsidR="00E1644C">
        <w:t>,</w:t>
      </w:r>
      <w:r w:rsidRPr="00690B9C">
        <w:t xml:space="preserve"> but can this have a negative impact on heritage</w:t>
      </w:r>
      <w:r>
        <w:t xml:space="preserve"> identity </w:t>
      </w:r>
      <w:r w:rsidRPr="00690B9C">
        <w:t>as</w:t>
      </w:r>
      <w:r w:rsidRPr="00690B9C">
        <w:t xml:space="preserve"> Silberman identifies</w:t>
      </w:r>
      <w:r w:rsidRPr="00690B9C">
        <w:rPr>
          <w:vertAlign w:val="superscript"/>
        </w:rPr>
        <w:footnoteReference w:id="1"/>
      </w:r>
      <w:r w:rsidRPr="00690B9C">
        <w:t xml:space="preserve"> with it portraying a teleological vision of history that portrays the current political and economic </w:t>
      </w:r>
      <w:r w:rsidRPr="00690B9C">
        <w:lastRenderedPageBreak/>
        <w:t>regime of the nation as the inevitable result of this struggle. With heritage sites being symbolic representations of the past linking with the present</w:t>
      </w:r>
      <w:r w:rsidR="00E1644C">
        <w:t>,</w:t>
      </w:r>
      <w:r w:rsidRPr="00690B9C">
        <w:t xml:space="preserve"> </w:t>
      </w:r>
      <w:r>
        <w:t xml:space="preserve">which he argues should instead represent a waypoint into a still unfolding history. </w:t>
      </w:r>
      <w:r w:rsidR="000E7B4B">
        <w:t xml:space="preserve"> F</w:t>
      </w:r>
      <w:r>
        <w:t>urther research will need to be done on how these narrative patterns change overtime</w:t>
      </w:r>
      <w:r w:rsidR="000E7B4B">
        <w:t>,</w:t>
      </w:r>
      <w:r>
        <w:t xml:space="preserve"> to serve changing </w:t>
      </w:r>
      <w:r w:rsidRPr="00690B9C">
        <w:t>political identities and ideological trends</w:t>
      </w:r>
      <w:r>
        <w:t xml:space="preserve"> and how this can be overcome </w:t>
      </w:r>
      <w:r w:rsidR="00817A8A">
        <w:t>with an approach looking towards the future rather than the present for heritage. That this new interpretation may allow for a shared heritage between those in Inheritance conflicts such as those in Israel and Palestine as a shared experience between them instead of it being th</w:t>
      </w:r>
      <w:r w:rsidR="001F67FE">
        <w:t xml:space="preserve">e established generational version that in order for one to prosper the other must be suffering and that there own suffering causes the other to prosper. </w:t>
      </w:r>
    </w:p>
    <w:p w14:paraId="148D23DB" w14:textId="153F806B" w:rsidR="006E3DDA" w:rsidRDefault="00052535" w:rsidP="00F3754E">
      <w:pPr>
        <w:spacing w:line="480" w:lineRule="auto"/>
      </w:pPr>
      <w:r>
        <w:t>Heritage interpretation however raises questions about who controls the narrative for the cultural heritage and what is their biases and interests in what they are trying to tell</w:t>
      </w:r>
      <w:r w:rsidR="000E7B4B">
        <w:t>,</w:t>
      </w:r>
      <w:r>
        <w:t xml:space="preserve"> whereas heritage conservation has these same concerns with why </w:t>
      </w:r>
      <w:r w:rsidR="006E3DDA">
        <w:t>these groups are</w:t>
      </w:r>
      <w:r>
        <w:t xml:space="preserve"> trying to preserve these monuments</w:t>
      </w:r>
      <w:r w:rsidR="000E7B4B">
        <w:t>. T</w:t>
      </w:r>
      <w:r>
        <w:t>he narrative surrounding them is not the focus</w:t>
      </w:r>
      <w:r w:rsidR="000E7B4B">
        <w:t>,</w:t>
      </w:r>
      <w:r>
        <w:t xml:space="preserve"> these issues are less prominent as a result. </w:t>
      </w:r>
      <w:r w:rsidR="001E434E">
        <w:t xml:space="preserve">With this comes the idea of authenticity surrounding heritage developments </w:t>
      </w:r>
      <w:r w:rsidR="001C1D0F">
        <w:t xml:space="preserve">with Christine Finn highlighting this issue when they examined the national park employees surrounding native American ritual objects that had been left at </w:t>
      </w:r>
      <w:r w:rsidR="001B4EB2">
        <w:t>their</w:t>
      </w:r>
      <w:r w:rsidR="001C1D0F">
        <w:t xml:space="preserve"> original sites.</w:t>
      </w:r>
      <w:r w:rsidR="001C1D0F">
        <w:rPr>
          <w:rStyle w:val="FootnoteReference"/>
        </w:rPr>
        <w:footnoteReference w:id="2"/>
      </w:r>
      <w:r w:rsidR="001C1D0F">
        <w:t xml:space="preserve"> From this she </w:t>
      </w:r>
      <w:r w:rsidR="001B4EB2">
        <w:t xml:space="preserve">asks if one use can be seen as worthier than the other and who has the right to possess such heritage alongside who should have the power to decide which use would be the correct action. </w:t>
      </w:r>
      <w:r w:rsidR="00F9670D">
        <w:t xml:space="preserve"> </w:t>
      </w:r>
      <w:r w:rsidR="001F67FE">
        <w:tab/>
      </w:r>
    </w:p>
    <w:p w14:paraId="4D4650C8" w14:textId="08849FEF" w:rsidR="00F3754E" w:rsidRDefault="00F3754E" w:rsidP="00F3754E">
      <w:pPr>
        <w:spacing w:line="480" w:lineRule="auto"/>
      </w:pPr>
      <w:r w:rsidRPr="00F3754E">
        <w:t>An example where interpretation</w:t>
      </w:r>
      <w:r w:rsidR="00CB55D0">
        <w:t xml:space="preserve"> can</w:t>
      </w:r>
      <w:r w:rsidRPr="00F3754E">
        <w:t xml:space="preserve"> cause </w:t>
      </w:r>
      <w:r>
        <w:t xml:space="preserve">tensions can be seen in Luang Prabang in Laos where it is subject to strict heritage controls </w:t>
      </w:r>
      <w:r w:rsidR="000A59F9">
        <w:t>because of how it had successfully fused the urban structures of European colonial rulers and that of the traditional architecture.</w:t>
      </w:r>
      <w:r w:rsidR="000A59F9">
        <w:rPr>
          <w:rStyle w:val="FootnoteReference"/>
        </w:rPr>
        <w:footnoteReference w:id="3"/>
      </w:r>
      <w:r w:rsidR="000A59F9">
        <w:t xml:space="preserve"> Because this is the reason that it was added as a world heritage site the controls placed upon it have limited the amount of </w:t>
      </w:r>
      <w:r w:rsidR="000A59F9">
        <w:lastRenderedPageBreak/>
        <w:t xml:space="preserve">infrastructure that can be newly built into the city for there is a risk that it would damage the heritage of the city. This has become apparent as an issue with the increasing number of tourists that visit due to its status as a world heritage site. In </w:t>
      </w:r>
      <w:r w:rsidR="004416F9">
        <w:t>addition,</w:t>
      </w:r>
      <w:r w:rsidR="000A59F9">
        <w:t xml:space="preserve"> how the city had been negatively impacted by colonialism is currently being ignored with it instead portraying a western nostalgia that both tourist agencies and the Laos government are showing that it is a</w:t>
      </w:r>
      <w:r w:rsidR="000E7B4B">
        <w:t>n</w:t>
      </w:r>
      <w:r w:rsidR="000A59F9">
        <w:t xml:space="preserve"> unspoilt exotic destination resembling old Asia because it is not being allowed to modernise to accommodate the people who live there.  </w:t>
      </w:r>
      <w:r w:rsidR="0062219F">
        <w:t xml:space="preserve">This applies to the ideas of interpretation because of how the Laos government uses these cities as museum displays Luang Prabang as a centre for celebrating traditional culture and Vientiane as the centre for modern culture. </w:t>
      </w:r>
      <w:r w:rsidR="00CB55D0">
        <w:t xml:space="preserve">That this interaction is being enforced upon the population and that they are not allowed to modernise </w:t>
      </w:r>
      <w:r w:rsidR="001F67FE">
        <w:t>their</w:t>
      </w:r>
      <w:r w:rsidR="00CB55D0">
        <w:t xml:space="preserve"> lives because of someone else interpreted the</w:t>
      </w:r>
      <w:r w:rsidR="001F67FE">
        <w:t>ir</w:t>
      </w:r>
      <w:r w:rsidR="00CB55D0">
        <w:t xml:space="preserve"> </w:t>
      </w:r>
      <w:r w:rsidR="001F67FE">
        <w:t>heritage.</w:t>
      </w:r>
    </w:p>
    <w:p w14:paraId="4329E837" w14:textId="3C12DF95" w:rsidR="0053063E" w:rsidRDefault="006E3DDA" w:rsidP="00F3754E">
      <w:pPr>
        <w:spacing w:line="480" w:lineRule="auto"/>
      </w:pPr>
      <w:r>
        <w:t>What is the purpose of heritage</w:t>
      </w:r>
      <w:r w:rsidR="000E7B4B">
        <w:t>? W</w:t>
      </w:r>
      <w:r>
        <w:t xml:space="preserve">hy is it preserved and celebrated to begin </w:t>
      </w:r>
      <w:r w:rsidR="0035748F">
        <w:t>with</w:t>
      </w:r>
      <w:r w:rsidR="000E7B4B">
        <w:t>?</w:t>
      </w:r>
      <w:r w:rsidR="0035748F">
        <w:t xml:space="preserve"> </w:t>
      </w:r>
      <w:r w:rsidR="001F67FE">
        <w:t>I</w:t>
      </w:r>
      <w:r w:rsidR="0035748F">
        <w:t>s there</w:t>
      </w:r>
      <w:r w:rsidR="000E7B4B">
        <w:t>,</w:t>
      </w:r>
      <w:r w:rsidR="0035748F">
        <w:t xml:space="preserve"> as the faro convention declared in 2005</w:t>
      </w:r>
      <w:r w:rsidR="000E7B4B">
        <w:t>,</w:t>
      </w:r>
      <w:r w:rsidR="0035748F">
        <w:t xml:space="preserve"> a common heritage of Europe</w:t>
      </w:r>
      <w:r w:rsidR="0035748F">
        <w:rPr>
          <w:rStyle w:val="FootnoteReference"/>
        </w:rPr>
        <w:footnoteReference w:id="4"/>
      </w:r>
      <w:r w:rsidR="0035748F">
        <w:t xml:space="preserve"> and that people have a right to cultural heritage that can be interacted with by the community. </w:t>
      </w:r>
      <w:r w:rsidR="00937787">
        <w:t xml:space="preserve">The Ename charter is a development of this in 2008 which laid out seven principles for the interpretation of heritage which emphasises the importance of public communication and education with heritage preservation. Jameson states that these principles emphasise the essential parts of heritage </w:t>
      </w:r>
      <w:r w:rsidR="001E434E">
        <w:t xml:space="preserve">interpretation </w:t>
      </w:r>
      <w:r w:rsidR="00937787">
        <w:t>“</w:t>
      </w:r>
      <w:r w:rsidR="00937787" w:rsidRPr="00937787">
        <w:t xml:space="preserve">by delivering the conservation, </w:t>
      </w:r>
      <w:r w:rsidR="00937787" w:rsidRPr="00937787">
        <w:t>education, and</w:t>
      </w:r>
      <w:r w:rsidR="00937787" w:rsidRPr="00937787">
        <w:t xml:space="preserve"> stewardship messages that represent the </w:t>
      </w:r>
      <w:r w:rsidR="00937787" w:rsidRPr="00937787">
        <w:t>transcendent</w:t>
      </w:r>
      <w:r w:rsidR="00937787" w:rsidRPr="00937787">
        <w:t xml:space="preserve"> humanistic values of the resource.</w:t>
      </w:r>
      <w:r w:rsidR="00937787">
        <w:t>”</w:t>
      </w:r>
      <w:r w:rsidR="00937787">
        <w:rPr>
          <w:rStyle w:val="FootnoteReference"/>
        </w:rPr>
        <w:footnoteReference w:id="5"/>
      </w:r>
      <w:r w:rsidR="001E434E">
        <w:t xml:space="preserve"> </w:t>
      </w:r>
      <w:r w:rsidR="00104E57">
        <w:t xml:space="preserve"> ICOMOS</w:t>
      </w:r>
      <w:r w:rsidR="000E7B4B">
        <w:t>,</w:t>
      </w:r>
      <w:r w:rsidR="00104E57">
        <w:t xml:space="preserve"> one of the advisory bodies on heritage monument</w:t>
      </w:r>
      <w:r w:rsidR="000E7B4B">
        <w:t>,</w:t>
      </w:r>
      <w:r w:rsidR="00104E57">
        <w:t xml:space="preserve"> faces criticism for its understanding of heritage as they are often engineers and architects who are determining this value and critics argue that they fail to understand the African context</w:t>
      </w:r>
      <w:r w:rsidR="00104E57">
        <w:rPr>
          <w:rStyle w:val="FootnoteReference"/>
        </w:rPr>
        <w:footnoteReference w:id="6"/>
      </w:r>
      <w:r w:rsidR="00104E57">
        <w:t xml:space="preserve"> of heritage monuments instead taking a Eurocentric approach to heritage value. </w:t>
      </w:r>
      <w:r w:rsidR="00104E57" w:rsidRPr="00104E57">
        <w:t xml:space="preserve">Vinay </w:t>
      </w:r>
      <w:proofErr w:type="spellStart"/>
      <w:r w:rsidR="00104E57" w:rsidRPr="00104E57">
        <w:t>Sheel</w:t>
      </w:r>
      <w:proofErr w:type="spellEnd"/>
      <w:r w:rsidR="00104E57" w:rsidRPr="00104E57">
        <w:t xml:space="preserve"> Oberoi, the Indian Ambassador </w:t>
      </w:r>
      <w:r w:rsidR="00104E57" w:rsidRPr="00104E57">
        <w:lastRenderedPageBreak/>
        <w:t>to UNESCO</w:t>
      </w:r>
      <w:r w:rsidR="00104E57">
        <w:t xml:space="preserve"> was one of its fiercest critics arguing that if these bodies existed then neither the pyramids nor Eiffel tower would have been built due to the burdensome regulations they apply. </w:t>
      </w:r>
    </w:p>
    <w:p w14:paraId="3B182701" w14:textId="77777777" w:rsidR="00AE6437" w:rsidRDefault="00AE6437" w:rsidP="00F3754E">
      <w:pPr>
        <w:spacing w:line="480" w:lineRule="auto"/>
      </w:pPr>
    </w:p>
    <w:p w14:paraId="2AB150DD" w14:textId="46A3D552" w:rsidR="00437C7A" w:rsidRDefault="00490DEE" w:rsidP="00F3754E">
      <w:pPr>
        <w:spacing w:line="480" w:lineRule="auto"/>
      </w:pPr>
      <w:r>
        <w:t>Another crit</w:t>
      </w:r>
      <w:r w:rsidR="00AE6437">
        <w:t>ique</w:t>
      </w:r>
      <w:r>
        <w:t xml:space="preserve"> of such organisations </w:t>
      </w:r>
      <w:r w:rsidR="00AE6437">
        <w:t xml:space="preserve">comes from the origin of them, </w:t>
      </w:r>
      <w:r>
        <w:t xml:space="preserve">with UNESCO being a post war organisation to attempt to preserve European architectural achievements which then began to accept other cultures heritage later. The impact of this can be seen in the criteria required for monuments to be considered for UNESCO heritage status result in buildings </w:t>
      </w:r>
      <w:r w:rsidR="006D3397">
        <w:t>resembling European architectural styles and materials such as stone being viewed as having greater importance than those made with wood in Japan or China. This bias can be seen in culinary heritage with the French having both the gastronomic meal of the French and the baguette having acquired world heritage status despite being recent developments compared to some other the cuisines that have been denied UNESCO status.</w:t>
      </w:r>
      <w:r w:rsidR="00E54E39">
        <w:t xml:space="preserve"> This overrepresentation of Europe when it comes to world history is shown by how in 2006 fifty percent of all world heritage sites were found in Europe</w:t>
      </w:r>
      <w:r w:rsidR="001F67FE">
        <w:t>.</w:t>
      </w:r>
      <w:r w:rsidR="00E54E39">
        <w:rPr>
          <w:rStyle w:val="FootnoteReference"/>
        </w:rPr>
        <w:footnoteReference w:id="7"/>
      </w:r>
      <w:r w:rsidR="00E54E39">
        <w:t xml:space="preserve">  </w:t>
      </w:r>
      <w:r w:rsidR="001F67FE">
        <w:t xml:space="preserve">This existence of these biases for the determination of heritage might be solved with a focus on conservation rather than how these are interpreted. As if the </w:t>
      </w:r>
      <w:r w:rsidR="00582D32">
        <w:t>site or</w:t>
      </w:r>
      <w:r w:rsidR="001F67FE">
        <w:t xml:space="preserve"> practice appears to have some value the people who live </w:t>
      </w:r>
      <w:r w:rsidR="00582D32">
        <w:t>and participate in it then it can be established as heritage without having to be concerned as to how they provide value rather to observe that they do not that they need to fit a specific criteria for the</w:t>
      </w:r>
      <w:r w:rsidR="001F67FE">
        <w:t xml:space="preserve"> </w:t>
      </w:r>
      <w:r w:rsidR="00582D32">
        <w:t>traditions to be considered heritage. S</w:t>
      </w:r>
      <w:r w:rsidR="001F67FE">
        <w:t>uch as the traditions that have arisen from slavery for the enslaved people and the culinary dishes that they have invented as a result</w:t>
      </w:r>
      <w:r w:rsidR="00582D32">
        <w:t>. An example being</w:t>
      </w:r>
      <w:r w:rsidR="001F67FE">
        <w:t xml:space="preserve"> the Venezuelan Christmas dish Hallacas </w:t>
      </w:r>
      <w:r w:rsidR="00582D32">
        <w:t>which</w:t>
      </w:r>
      <w:r w:rsidR="001F67FE">
        <w:t xml:space="preserve"> is now the traditional dish for the county</w:t>
      </w:r>
      <w:r w:rsidR="00582D32">
        <w:t>,</w:t>
      </w:r>
      <w:r w:rsidR="001F67FE">
        <w:t xml:space="preserve"> </w:t>
      </w:r>
      <w:r w:rsidR="00582D32">
        <w:t>that</w:t>
      </w:r>
      <w:r w:rsidR="001F67FE">
        <w:t xml:space="preserve"> originated as the off cuttings </w:t>
      </w:r>
      <w:r w:rsidR="00582D32">
        <w:t xml:space="preserve">of the meat </w:t>
      </w:r>
      <w:r w:rsidR="001F67FE">
        <w:t>and</w:t>
      </w:r>
      <w:r w:rsidR="00582D32">
        <w:t xml:space="preserve"> remaining</w:t>
      </w:r>
      <w:r w:rsidR="001F67FE">
        <w:t xml:space="preserve"> leftovers from</w:t>
      </w:r>
      <w:r w:rsidR="00582D32">
        <w:t xml:space="preserve"> the feasts that they provided</w:t>
      </w:r>
      <w:r w:rsidR="001F67FE">
        <w:t xml:space="preserve"> the slavers that was added to the corn dough </w:t>
      </w:r>
      <w:r w:rsidR="00582D32">
        <w:t>cake,</w:t>
      </w:r>
      <w:r w:rsidR="001F67FE">
        <w:t xml:space="preserve"> they were provided for food to </w:t>
      </w:r>
      <w:r w:rsidR="001F67FE">
        <w:lastRenderedPageBreak/>
        <w:t xml:space="preserve">create this now traditional meal. </w:t>
      </w:r>
      <w:r w:rsidR="00582D32">
        <w:t xml:space="preserve">While this tradition may not fit all the criteria require for its introduction as world heritage it cannot be denied as heritage for the Venezuelan people. </w:t>
      </w:r>
    </w:p>
    <w:p w14:paraId="11BB1506" w14:textId="6F7806C6" w:rsidR="006D3397" w:rsidRDefault="00437C7A" w:rsidP="00F3754E">
      <w:pPr>
        <w:spacing w:line="480" w:lineRule="auto"/>
      </w:pPr>
      <w:r>
        <w:t>This</w:t>
      </w:r>
      <w:r w:rsidR="00E54E39">
        <w:t xml:space="preserve"> was caused by the use of a universalist principles for value determination </w:t>
      </w:r>
      <w:r w:rsidR="0040502F">
        <w:t xml:space="preserve">which and has in caused some post </w:t>
      </w:r>
      <w:r w:rsidR="0040502F" w:rsidRPr="0040502F">
        <w:t>processualist</w:t>
      </w:r>
      <w:r w:rsidR="0040502F">
        <w:t xml:space="preserve"> archaeologists to argue for the contextualisation of history.</w:t>
      </w:r>
      <w:r>
        <w:rPr>
          <w:rStyle w:val="FootnoteReference"/>
        </w:rPr>
        <w:footnoteReference w:id="8"/>
      </w:r>
      <w:r w:rsidR="0040502F">
        <w:t xml:space="preserve"> Which would apply to heritage and that the interpretation of these objects and places are more important than preserving them as timeless pieces since these biases exist. With the only way to truly show the heritage of the object would be to interpret it in its local context where it can be examined in its </w:t>
      </w:r>
      <w:r w:rsidR="0040502F" w:rsidRPr="0040502F">
        <w:t>historical, scientiﬁc</w:t>
      </w:r>
      <w:r w:rsidR="0040502F" w:rsidRPr="0040502F">
        <w:t xml:space="preserve"> and social contexts</w:t>
      </w:r>
      <w:r w:rsidR="0040502F">
        <w:t xml:space="preserve">. </w:t>
      </w:r>
      <w:r w:rsidR="008B579F">
        <w:t xml:space="preserve">Because there they would argue that there is not one consistent heritage that these sites encapsule. The heritage of the nobility for a castle ruin would have been different to that of a serf and how different ethic and social classes experienced these places differently to those in power. Allowing for this personal interpretation of heritage is vital because it allows for </w:t>
      </w:r>
      <w:r>
        <w:t>the deconstruction</w:t>
      </w:r>
      <w:r w:rsidR="008B579F">
        <w:t xml:space="preserve"> of power f</w:t>
      </w:r>
      <w:r>
        <w:t>o</w:t>
      </w:r>
      <w:r w:rsidR="008B579F">
        <w:t xml:space="preserve">r heritage. </w:t>
      </w:r>
    </w:p>
    <w:p w14:paraId="57765CF5" w14:textId="3D4102FF" w:rsidR="0053063E" w:rsidRDefault="00C64415" w:rsidP="00F3754E">
      <w:pPr>
        <w:spacing w:line="480" w:lineRule="auto"/>
      </w:pPr>
      <w:r>
        <w:t xml:space="preserve">The process of conservation is inherently political </w:t>
      </w:r>
      <w:r w:rsidR="00BC715E">
        <w:t>due to how heritage value is determined and from this the questions with ownership of the heritage. Who owns this heritage</w:t>
      </w:r>
      <w:r w:rsidR="0053063E">
        <w:t>?</w:t>
      </w:r>
      <w:r w:rsidR="00BC715E">
        <w:t xml:space="preserve"> </w:t>
      </w:r>
      <w:r w:rsidR="0053063E">
        <w:t>I</w:t>
      </w:r>
      <w:r w:rsidR="00BC715E">
        <w:t>s it something that can be privately owned that people are allowed to visit because they have a</w:t>
      </w:r>
      <w:r w:rsidR="00575014">
        <w:t>n</w:t>
      </w:r>
      <w:r w:rsidR="00BC715E">
        <w:t xml:space="preserve"> inherent right to view and interact with there heritage or can it be commercialised </w:t>
      </w:r>
      <w:r w:rsidR="00575014">
        <w:t>in a global heritage marketplace where it is competing for attention with other heritage sites. This is key for if heritage should be interpreted or conserved</w:t>
      </w:r>
      <w:r w:rsidR="0070406A">
        <w:t>,</w:t>
      </w:r>
      <w:r w:rsidR="00575014">
        <w:t xml:space="preserve"> as if a private </w:t>
      </w:r>
      <w:r w:rsidR="0070406A">
        <w:t xml:space="preserve">entity displaying </w:t>
      </w:r>
      <w:r w:rsidR="00575014">
        <w:t xml:space="preserve">heritage site is struggling for </w:t>
      </w:r>
      <w:r w:rsidR="0070406A">
        <w:t xml:space="preserve">visitors </w:t>
      </w:r>
      <w:r w:rsidR="00575014">
        <w:t xml:space="preserve">and therefore funds </w:t>
      </w:r>
      <w:r w:rsidR="0070406A">
        <w:t xml:space="preserve">in such a </w:t>
      </w:r>
      <w:r w:rsidR="00575014">
        <w:t>system it would attempt to shift its focus as to the more popular narrative</w:t>
      </w:r>
      <w:r w:rsidR="0070406A">
        <w:t>s that gain attention</w:t>
      </w:r>
      <w:r w:rsidR="00575014">
        <w:t xml:space="preserve"> rather than to stay authentic to its message. This could also happen in reverse where a successful heritage site might not want to shift away from its messaging to a more modern understanding if this would negatively impact the number of visitors they would have. </w:t>
      </w:r>
      <w:r w:rsidR="00BA5E49">
        <w:t xml:space="preserve"> This isn’t to say that the privatisation of heritage is inherently a negative process as it can have its benefits as when a public entity may have to make cutbacks and end projects and methods of interacting due to </w:t>
      </w:r>
      <w:r w:rsidR="00BA5E49">
        <w:lastRenderedPageBreak/>
        <w:t xml:space="preserve">government cutbacks the private entity would not be </w:t>
      </w:r>
      <w:r w:rsidR="000B6BF5">
        <w:t>affected</w:t>
      </w:r>
      <w:r w:rsidR="00BA5E49">
        <w:t xml:space="preserve"> by government ideological policy </w:t>
      </w:r>
      <w:r w:rsidR="000B6BF5">
        <w:t xml:space="preserve">allowing it </w:t>
      </w:r>
      <w:r w:rsidR="0053063E">
        <w:t>t</w:t>
      </w:r>
      <w:r w:rsidR="000B6BF5">
        <w:t xml:space="preserve">o continue these instead. As well as potentially strengthening the ideas of ownership for this heritage and preventing them from becoming derelict sites if the public sector is not interested in them. </w:t>
      </w:r>
    </w:p>
    <w:p w14:paraId="38B5CB81" w14:textId="3B30BAAD" w:rsidR="006E3DDA" w:rsidRDefault="000B6BF5" w:rsidP="00F3754E">
      <w:pPr>
        <w:spacing w:line="480" w:lineRule="auto"/>
      </w:pPr>
      <w:r w:rsidRPr="000B6BF5">
        <w:t xml:space="preserve">Elene </w:t>
      </w:r>
      <w:proofErr w:type="spellStart"/>
      <w:r w:rsidRPr="000B6BF5">
        <w:t>Negussie</w:t>
      </w:r>
      <w:proofErr w:type="spellEnd"/>
      <w:r>
        <w:rPr>
          <w:rStyle w:val="FootnoteReference"/>
        </w:rPr>
        <w:footnoteReference w:id="9"/>
      </w:r>
      <w:r>
        <w:t xml:space="preserve"> examined this by comparing Swedish and Irish heritage management practices. Where they identified </w:t>
      </w:r>
      <w:r w:rsidR="00CD15E0">
        <w:t>an increasingly</w:t>
      </w:r>
      <w:r>
        <w:t xml:space="preserve"> important role of voluntary bodies in heritage conservation due to shrinking public sector resources</w:t>
      </w:r>
      <w:r w:rsidR="0088266F">
        <w:t xml:space="preserve">. </w:t>
      </w:r>
      <w:r w:rsidR="00CD15E0">
        <w:t xml:space="preserve">This could be seen in Sweden on the 1990s as it was a period of deregulation and transfer of state obligations to private companies and from this you can see how heritage management can change when it is not in the public sector. </w:t>
      </w:r>
    </w:p>
    <w:p w14:paraId="0DFAAE56" w14:textId="4D281C82" w:rsidR="00CD15E0" w:rsidRDefault="00B40277" w:rsidP="00F3754E">
      <w:pPr>
        <w:spacing w:line="480" w:lineRule="auto"/>
      </w:pPr>
      <w:r>
        <w:t xml:space="preserve">Value based typologies have been established for heritage as methods of identifying which heritage is considered valuable and the development of these </w:t>
      </w:r>
      <w:r w:rsidR="00DB53D7">
        <w:t>methodologies</w:t>
      </w:r>
      <w:r>
        <w:t xml:space="preserve"> can show us </w:t>
      </w:r>
      <w:r w:rsidR="00DB53D7">
        <w:t xml:space="preserve">how conservation approaches have changed over time since in order for the state to try to conserve history it has to be of value to them. </w:t>
      </w:r>
      <w:r w:rsidR="00437C7A">
        <w:t xml:space="preserve"> </w:t>
      </w:r>
    </w:p>
    <w:p w14:paraId="1F23059E" w14:textId="15DACD6F" w:rsidR="00995494" w:rsidRDefault="00437C7A" w:rsidP="00F3754E">
      <w:pPr>
        <w:spacing w:line="480" w:lineRule="auto"/>
      </w:pPr>
      <w:r>
        <w:t>Conserving heritage features another issue in what constitutes heritage that requires this preservation</w:t>
      </w:r>
      <w:r w:rsidR="0053063E">
        <w:t>,</w:t>
      </w:r>
      <w:r>
        <w:t xml:space="preserve"> should a toxic waste dump be preserved because it is a historical artefact of human creation and design</w:t>
      </w:r>
      <w:r w:rsidR="0053063E">
        <w:t>?</w:t>
      </w:r>
      <w:r w:rsidR="0055122F">
        <w:t xml:space="preserve"> Would a site such as Chernobyl be able to be considered as a UNESCO site and conserved in its current state with nobody returning or should the ecological damages from the radiation attempt to be solved to allow for people to return once safe</w:t>
      </w:r>
      <w:r w:rsidR="0053063E">
        <w:t>?</w:t>
      </w:r>
      <w:r w:rsidR="00995494">
        <w:t xml:space="preserve"> Should some </w:t>
      </w:r>
      <w:r w:rsidR="00F779B2">
        <w:t>communities</w:t>
      </w:r>
      <w:r w:rsidR="00995494">
        <w:t xml:space="preserve"> be forced to conserve the heritage that others have enforced upon them </w:t>
      </w:r>
      <w:r w:rsidR="00F779B2">
        <w:t>with the as with the communities of the Marshall Islands where the US conducted its nuclear tests rendering large areas uninhabitable and the effects of the radiation can still be felt today on those who remain</w:t>
      </w:r>
      <w:r w:rsidR="0053063E">
        <w:t>?</w:t>
      </w:r>
      <w:r w:rsidR="00F779B2">
        <w:t xml:space="preserve"> As it is designated a world heritage site because the nuclear tests were an outstanding technological </w:t>
      </w:r>
      <w:r w:rsidR="00F779B2">
        <w:lastRenderedPageBreak/>
        <w:t>ensemble</w:t>
      </w:r>
      <w:r w:rsidR="00F779B2">
        <w:rPr>
          <w:rStyle w:val="FootnoteReference"/>
        </w:rPr>
        <w:footnoteReference w:id="10"/>
      </w:r>
      <w:r w:rsidR="0053063E">
        <w:t>.</w:t>
      </w:r>
      <w:r w:rsidR="00ED1535">
        <w:t xml:space="preserve"> It</w:t>
      </w:r>
      <w:r w:rsidR="0053063E">
        <w:t xml:space="preserve"> is</w:t>
      </w:r>
      <w:r w:rsidR="00ED1535">
        <w:t xml:space="preserve"> there as </w:t>
      </w:r>
      <w:r w:rsidR="004416F9">
        <w:t>a</w:t>
      </w:r>
      <w:r w:rsidR="00ED1535">
        <w:t xml:space="preserve"> technological achievement but the personal experience and how the residents of the islands interpret this development is far more significant in what it shows us about nuclear heritage than that of conserving the site. The tales of the damages caused by describing what the islands were like before and how the vegetation struggles to return and the birth defects that have occurred from the radiation gives a greater understanding of nuclear heritage than the domed over blast site can. Alongside how the people of the island cannot be seen to have given </w:t>
      </w:r>
      <w:r w:rsidR="00A913C2">
        <w:t>their</w:t>
      </w:r>
      <w:r w:rsidR="00ED1535">
        <w:t xml:space="preserve"> free informed consent to the tests occurring to begin with</w:t>
      </w:r>
      <w:r w:rsidR="0053063E">
        <w:t>,</w:t>
      </w:r>
      <w:r w:rsidR="00ED1535">
        <w:t xml:space="preserve"> being told that they would have to temporarily relocated before </w:t>
      </w:r>
      <w:r w:rsidR="00A913C2">
        <w:t>returning which</w:t>
      </w:r>
      <w:r w:rsidR="0053063E">
        <w:t>,</w:t>
      </w:r>
      <w:r w:rsidR="00A913C2">
        <w:t xml:space="preserve"> has still yet to occur as a result of the unsafe radiation levels. </w:t>
      </w:r>
      <w:r w:rsidR="00A913C2">
        <w:rPr>
          <w:rStyle w:val="FootnoteReference"/>
        </w:rPr>
        <w:footnoteReference w:id="11"/>
      </w:r>
      <w:r w:rsidR="00A913C2">
        <w:t xml:space="preserve"> </w:t>
      </w:r>
      <w:r w:rsidR="00D445E5">
        <w:t xml:space="preserve"> </w:t>
      </w:r>
      <w:r w:rsidR="00814A7D">
        <w:t>Brown notes that however if they were able to return</w:t>
      </w:r>
      <w:r w:rsidR="0053063E">
        <w:t>,</w:t>
      </w:r>
      <w:r w:rsidR="00814A7D">
        <w:t xml:space="preserve"> then it would bring into contention the rights of the indigenous people and that of the conservation movement as it the resettlement would challenge the global conservation management goals for natural and cultural values. Brown adds to this that the loss of traditional lagoon fishing styles as a result of the relocation and transition to a cash-based lifestyle would cause more tension as they wouldn’t be observing the traditional practices that they have lost. </w:t>
      </w:r>
    </w:p>
    <w:p w14:paraId="0CB9618A" w14:textId="6138B2DF" w:rsidR="00356F1D" w:rsidRDefault="00814A7D" w:rsidP="00F3754E">
      <w:pPr>
        <w:spacing w:line="480" w:lineRule="auto"/>
      </w:pPr>
      <w:r>
        <w:t xml:space="preserve">Ecological disasters raise similar concerns with the impact of climate change </w:t>
      </w:r>
      <w:r w:rsidR="006F1535">
        <w:t>for heritage management with it being identified as one of the greatest dangers to world heritage sites since 2005.</w:t>
      </w:r>
      <w:r w:rsidR="006F1535">
        <w:rPr>
          <w:rStyle w:val="FootnoteReference"/>
        </w:rPr>
        <w:footnoteReference w:id="12"/>
      </w:r>
      <w:r w:rsidR="00CC1419">
        <w:t xml:space="preserve"> Because of the risk of damages from this measures have been put into place for the preservation of these heritage sites particularly in Europe and the western world but if heritage is viewed as a global history then the same levels of protection being applied in European states to preserve there national heritage should be applied internationally by these more prosperous nations as to protect this global heritage from these risks. However, this returns to the issues of value identification and how these foreign states identify what is considered important to be conserved in </w:t>
      </w:r>
      <w:r w:rsidR="00CC1419">
        <w:lastRenderedPageBreak/>
        <w:t>the nations most at risk of losing their heritage. Would all that is declared to b</w:t>
      </w:r>
      <w:r w:rsidR="0053063E">
        <w:t xml:space="preserve">e </w:t>
      </w:r>
      <w:r w:rsidR="00CC1419">
        <w:t>heritage</w:t>
      </w:r>
      <w:r w:rsidR="0053063E">
        <w:t xml:space="preserve"> to</w:t>
      </w:r>
      <w:r w:rsidR="00CC1419">
        <w:t xml:space="preserve"> be protected or would they institute checks to before they fund the protection. Would only already identified world heritage sites be protected </w:t>
      </w:r>
      <w:r w:rsidR="003B1A01">
        <w:t xml:space="preserve">or would other sites be included in this protection and if only UNESCO sites are considered for this protection, then the criticisms towards UNESCO that have previously been mentioned would apply to this protection fund in what it would be allowing to be lost. While some parts of natural heritage may be lost regardless of this intervention such as the bleaching of the coral reefs </w:t>
      </w:r>
      <w:r w:rsidR="00D00610">
        <w:t xml:space="preserve">a global conservation effort is needed as </w:t>
      </w:r>
      <w:r w:rsidR="00D00610" w:rsidRPr="00D00610">
        <w:t>Hülshoff</w:t>
      </w:r>
      <w:r w:rsidR="00D00610">
        <w:t xml:space="preserve"> argues because</w:t>
      </w:r>
      <w:r w:rsidR="00356F1D">
        <w:t xml:space="preserve"> of the obligation that is held to younger generations to experience this shared history “</w:t>
      </w:r>
      <w:r w:rsidR="00D00610" w:rsidRPr="00D00610">
        <w:t>Planetary obligations such as caring for the world climate and caring for our cultural and natural inheritance are based on the principles of equity between generations.</w:t>
      </w:r>
      <w:r w:rsidR="00D00610">
        <w:t>”</w:t>
      </w:r>
      <w:r w:rsidR="00D00610">
        <w:rPr>
          <w:rStyle w:val="FootnoteReference"/>
        </w:rPr>
        <w:footnoteReference w:id="13"/>
      </w:r>
      <w:r w:rsidR="00356F1D">
        <w:t xml:space="preserve"> For protecting against preventable damages conservation greatly outweighs the importance of allowing for individual interpretations. This protection should not prevent individual interpretations </w:t>
      </w:r>
      <w:r w:rsidR="00C02D51">
        <w:t xml:space="preserve">and try to enforce the attitudes of those in power. </w:t>
      </w:r>
    </w:p>
    <w:p w14:paraId="2B8DCBF9" w14:textId="77777777" w:rsidR="00F3754E" w:rsidRDefault="00D015C4" w:rsidP="00F3754E">
      <w:pPr>
        <w:spacing w:line="480" w:lineRule="auto"/>
      </w:pPr>
      <w:r>
        <w:t xml:space="preserve">Conserving heritage is effective if heritage is taken as a tangible object as it can be managed and have protections put in place to prevent its decay however it runs into difficulties when dealing with intangible heritage than cannot be as easily managed. As if someone’s cultural practices are considered as heritage then to conserve it is to prevent changes. But if this is the enforced by </w:t>
      </w:r>
      <w:r w:rsidR="00EC0E5E">
        <w:t>an</w:t>
      </w:r>
      <w:r>
        <w:t xml:space="preserve"> outside force to the culture then what instead is happening is </w:t>
      </w:r>
      <w:r w:rsidR="00EC0E5E">
        <w:t>an</w:t>
      </w:r>
      <w:r>
        <w:t xml:space="preserve"> enforced stagnation to what is </w:t>
      </w:r>
      <w:r w:rsidR="00EC0E5E">
        <w:t>an</w:t>
      </w:r>
      <w:r>
        <w:t xml:space="preserve"> otherwise evolving culture. </w:t>
      </w:r>
      <w:r w:rsidR="00EC0E5E">
        <w:t>However, this is not to say t</w:t>
      </w:r>
      <w:r w:rsidR="00F8512C">
        <w:t>hat interpretation has no concerns with intangible heritage. Due to the nature of interpretation differing between individuals what constitutes this intangible heritage would become increasingly difficult as more opinions arise. Using the earlier example of native American artefacts in national parks as a</w:t>
      </w:r>
      <w:r w:rsidR="00995494">
        <w:t>n</w:t>
      </w:r>
      <w:r w:rsidR="00F8512C">
        <w:t xml:space="preserve"> example each group will </w:t>
      </w:r>
      <w:r w:rsidR="00F8512C">
        <w:lastRenderedPageBreak/>
        <w:t xml:space="preserve">possess </w:t>
      </w:r>
      <w:r w:rsidR="00995494">
        <w:t>their</w:t>
      </w:r>
      <w:r w:rsidR="00F8512C">
        <w:t xml:space="preserve"> own interpretation of this heritage and while none would be incorrect it would result in the preservation of heritage becoming impossible without the loss of this heritage. As the amount of intangible heritage would exponentially grow. Due to this what is important for heritage practice is to allow for the individual interpretations of heritage without trying to </w:t>
      </w:r>
      <w:r w:rsidR="00995494">
        <w:t xml:space="preserve">while attempting to educate about the locations and practices. Giving people the opportunity to form these opinions about their heritage as they learn rather than enforcing a perspective. </w:t>
      </w:r>
    </w:p>
    <w:p w14:paraId="475E42DA" w14:textId="36E08FBA" w:rsidR="00D267D2" w:rsidRDefault="002A42B9" w:rsidP="00F3754E">
      <w:pPr>
        <w:spacing w:line="480" w:lineRule="auto"/>
      </w:pPr>
      <w:r w:rsidRPr="002A42B9">
        <w:t>Ablett</w:t>
      </w:r>
      <w:r>
        <w:t xml:space="preserve"> and </w:t>
      </w:r>
      <w:r w:rsidRPr="002A42B9">
        <w:t>Dyer</w:t>
      </w:r>
      <w:r>
        <w:rPr>
          <w:rStyle w:val="FootnoteReference"/>
        </w:rPr>
        <w:footnoteReference w:id="14"/>
      </w:r>
      <w:r>
        <w:t xml:space="preserve"> have examined what is meant by interpretating heritage with the six principles of </w:t>
      </w:r>
      <w:r w:rsidR="00AE6437">
        <w:t>F</w:t>
      </w:r>
      <w:r>
        <w:t xml:space="preserve">reeman Tilden </w:t>
      </w:r>
      <w:r w:rsidR="00D267D2">
        <w:t>and how scholarship has attempted to reformulate and extend these principles with the six principles being</w:t>
      </w:r>
      <w:r w:rsidR="00D267D2">
        <w:rPr>
          <w:rStyle w:val="FootnoteReference"/>
        </w:rPr>
        <w:footnoteReference w:id="15"/>
      </w:r>
      <w:r w:rsidR="00D267D2">
        <w:t xml:space="preserve">  </w:t>
      </w:r>
    </w:p>
    <w:p w14:paraId="672C990E" w14:textId="06378448" w:rsidR="00437C7A" w:rsidRDefault="00D267D2" w:rsidP="00F3754E">
      <w:pPr>
        <w:spacing w:line="480" w:lineRule="auto"/>
      </w:pPr>
      <w:r w:rsidRPr="00D267D2">
        <w:t>"The chief aim of Interpretation is not instruction, but provocation."</w:t>
      </w:r>
      <w:r>
        <w:t xml:space="preserve"> </w:t>
      </w:r>
    </w:p>
    <w:p w14:paraId="4CBD7A5E" w14:textId="1F460E9A" w:rsidR="00D267D2" w:rsidRDefault="00D267D2" w:rsidP="00F3754E">
      <w:pPr>
        <w:spacing w:line="480" w:lineRule="auto"/>
      </w:pPr>
      <w:r w:rsidRPr="00D267D2">
        <w:t>"Any interpretation that does not somehow relate what is being displayed or described to something within the personality or experience of the visitor will be sterile."</w:t>
      </w:r>
    </w:p>
    <w:p w14:paraId="1ADA84E4" w14:textId="142E3BEC" w:rsidR="00D267D2" w:rsidRDefault="00D267D2" w:rsidP="00F3754E">
      <w:pPr>
        <w:spacing w:line="480" w:lineRule="auto"/>
      </w:pPr>
      <w:r w:rsidRPr="00D267D2">
        <w:t>"Information does not equal interpretation, but all interpretation contains information."</w:t>
      </w:r>
    </w:p>
    <w:p w14:paraId="3E91949D" w14:textId="7BECBB34" w:rsidR="00437C7A" w:rsidRDefault="00D267D2" w:rsidP="00F3754E">
      <w:pPr>
        <w:spacing w:line="480" w:lineRule="auto"/>
      </w:pPr>
      <w:r w:rsidRPr="00D267D2">
        <w:t>"Interpretation is an art which combines many arts regardless of subject material. Any art is to some degree teachable."</w:t>
      </w:r>
    </w:p>
    <w:p w14:paraId="43D6BA65" w14:textId="724E4547" w:rsidR="00D267D2" w:rsidRDefault="00D267D2" w:rsidP="00F3754E">
      <w:pPr>
        <w:spacing w:line="480" w:lineRule="auto"/>
      </w:pPr>
      <w:r w:rsidRPr="00D267D2">
        <w:t>"Interpretation should aim to present a whole rather than a part."</w:t>
      </w:r>
    </w:p>
    <w:p w14:paraId="3FC4BB24" w14:textId="13877C13" w:rsidR="00D267D2" w:rsidRDefault="00D267D2" w:rsidP="00F3754E">
      <w:pPr>
        <w:spacing w:line="480" w:lineRule="auto"/>
      </w:pPr>
      <w:r w:rsidRPr="00D267D2">
        <w:t>"Interpretation for children must be designed specifically for children, and not simply a dilution of programs and information for adults."</w:t>
      </w:r>
      <w:r>
        <w:t xml:space="preserve"> </w:t>
      </w:r>
    </w:p>
    <w:p w14:paraId="4FAFB034" w14:textId="02907D5E" w:rsidR="00D267D2" w:rsidRDefault="00CB7189" w:rsidP="00F3754E">
      <w:pPr>
        <w:spacing w:line="480" w:lineRule="auto"/>
      </w:pPr>
      <w:r>
        <w:t xml:space="preserve">They identify that the cognitive model is unnecessarily reductionist compared to Tilden’s model and that instead the paradigm of hermeneutics would instead be a better model to reinvigorate Tilden’s model as it provides a coherent framework for furthering heritage interpretation. </w:t>
      </w:r>
      <w:r w:rsidR="00174BB5">
        <w:t xml:space="preserve">That </w:t>
      </w:r>
      <w:r w:rsidR="00174BB5">
        <w:lastRenderedPageBreak/>
        <w:t xml:space="preserve">interpretation will always be context dependent but that this meaning is not inherent in objects and is instead found in the social constructs. </w:t>
      </w:r>
      <w:r w:rsidR="00F3754E">
        <w:t>Because of</w:t>
      </w:r>
      <w:r w:rsidR="00174BB5">
        <w:t xml:space="preserve"> this interpretation </w:t>
      </w:r>
      <w:r w:rsidR="00AE6437">
        <w:t>it is</w:t>
      </w:r>
      <w:r w:rsidR="00174BB5">
        <w:t xml:space="preserve"> vital to understanding heritage conservation because it allows for the preserved objects and traditions to be given meaning that they would otherwise lose without it.</w:t>
      </w:r>
      <w:r w:rsidR="00F3754E">
        <w:t xml:space="preserve"> </w:t>
      </w:r>
    </w:p>
    <w:p w14:paraId="4C5D4B0A" w14:textId="6CE98E15" w:rsidR="00582D32" w:rsidRDefault="0080166A" w:rsidP="00F3754E">
      <w:pPr>
        <w:spacing w:line="480" w:lineRule="auto"/>
      </w:pPr>
      <w:r>
        <w:t>While conservation is an important aspect to heritage practice and management being required for the heritage sites to be preserved</w:t>
      </w:r>
      <w:r w:rsidR="00AE6437">
        <w:t>,</w:t>
      </w:r>
      <w:r>
        <w:t xml:space="preserve"> rather than being left to fall to ruin overtime. It is less important than the interpretation of these sites because without the interpretation they would become reminders of a past that we cannot begin to understand and the value that they would bring to us today would be significantly less impactful as a result. While interpretation is more important than the conservation for heritage it needs to still be considered as to who is being allowed to interpret the heritage and are they enforcing this understanding on others for it to truly be more important than the conservation</w:t>
      </w:r>
      <w:r w:rsidR="00AE6437">
        <w:t>,</w:t>
      </w:r>
      <w:r>
        <w:t xml:space="preserve"> all need to be allowed to interact and interpret this heritage </w:t>
      </w:r>
      <w:r w:rsidR="00E1644C">
        <w:t>their own</w:t>
      </w:r>
      <w:r>
        <w:t xml:space="preserve"> </w:t>
      </w:r>
      <w:r w:rsidR="00E1644C">
        <w:t xml:space="preserve">way and come to </w:t>
      </w:r>
      <w:r w:rsidR="0070406A">
        <w:t>their</w:t>
      </w:r>
      <w:r w:rsidR="00E1644C">
        <w:t xml:space="preserve"> own conclusions rather than accept one interpretation. </w:t>
      </w:r>
    </w:p>
    <w:p w14:paraId="56FC9C83" w14:textId="340D222F" w:rsidR="0070406A" w:rsidRDefault="0070406A" w:rsidP="00F3754E">
      <w:pPr>
        <w:spacing w:line="480" w:lineRule="auto"/>
      </w:pPr>
    </w:p>
    <w:p w14:paraId="76E541AF" w14:textId="5415C3E5" w:rsidR="0070406A" w:rsidRDefault="0070406A" w:rsidP="00F3754E">
      <w:pPr>
        <w:spacing w:line="480" w:lineRule="auto"/>
      </w:pPr>
    </w:p>
    <w:p w14:paraId="620902A1" w14:textId="0EB6BD8C" w:rsidR="0070406A" w:rsidRDefault="0070406A" w:rsidP="00F3754E">
      <w:pPr>
        <w:spacing w:line="480" w:lineRule="auto"/>
      </w:pPr>
    </w:p>
    <w:p w14:paraId="491CC2EE" w14:textId="77777777" w:rsidR="0070406A" w:rsidRDefault="0070406A" w:rsidP="0070406A">
      <w:pPr>
        <w:spacing w:line="480" w:lineRule="auto"/>
      </w:pPr>
    </w:p>
    <w:p w14:paraId="0DB49D74" w14:textId="77777777" w:rsidR="0070406A" w:rsidRDefault="0070406A" w:rsidP="0070406A">
      <w:pPr>
        <w:spacing w:line="480" w:lineRule="auto"/>
      </w:pPr>
    </w:p>
    <w:p w14:paraId="2A66DF62" w14:textId="77777777" w:rsidR="0070406A" w:rsidRDefault="0070406A" w:rsidP="0070406A">
      <w:pPr>
        <w:spacing w:line="480" w:lineRule="auto"/>
      </w:pPr>
    </w:p>
    <w:p w14:paraId="249E0D9C" w14:textId="59A9632F" w:rsidR="0070406A" w:rsidRDefault="0070406A" w:rsidP="0070406A">
      <w:pPr>
        <w:spacing w:line="480" w:lineRule="auto"/>
      </w:pPr>
    </w:p>
    <w:p w14:paraId="524EEAF9" w14:textId="77777777" w:rsidR="0070406A" w:rsidRDefault="0070406A" w:rsidP="0070406A">
      <w:pPr>
        <w:spacing w:line="480" w:lineRule="auto"/>
      </w:pPr>
    </w:p>
    <w:p w14:paraId="28723459" w14:textId="5490DEA7" w:rsidR="0070406A" w:rsidRDefault="0070406A" w:rsidP="0070406A">
      <w:pPr>
        <w:spacing w:line="480" w:lineRule="auto"/>
      </w:pPr>
      <w:r w:rsidRPr="0070406A">
        <w:lastRenderedPageBreak/>
        <w:t xml:space="preserve">Ablett, Phillip Gordon, and Pamela Kay Dyer. “Heritage and Hermeneutics: towards a Broader Interpretation of Interpretation.” </w:t>
      </w:r>
      <w:r w:rsidRPr="0070406A">
        <w:rPr>
          <w:i/>
          <w:iCs/>
        </w:rPr>
        <w:t>Current Issues in Tourism 12, no. 3</w:t>
      </w:r>
      <w:r w:rsidRPr="0070406A">
        <w:t xml:space="preserve"> (2009): 209–33. doi:10.1080/13683500802316063.</w:t>
      </w:r>
    </w:p>
    <w:p w14:paraId="54BA8E13" w14:textId="376F652D" w:rsidR="0070406A" w:rsidRDefault="0070406A" w:rsidP="0070406A">
      <w:pPr>
        <w:spacing w:line="480" w:lineRule="auto"/>
      </w:pPr>
      <w:r w:rsidRPr="0070406A">
        <w:t xml:space="preserve">BROWN, STEVE. “Archaeology of Brutal Encounter: Heritage and Bomb Testing on Bikini Atoll, Republic of the Marshall Islands.” </w:t>
      </w:r>
      <w:r w:rsidRPr="0070406A">
        <w:rPr>
          <w:i/>
          <w:iCs/>
        </w:rPr>
        <w:t>Archaeology in Oceania</w:t>
      </w:r>
      <w:r w:rsidRPr="0070406A">
        <w:t xml:space="preserve"> 48, no. 1 (2013): 26–39. http://www.jstor.org/stable/24026258.</w:t>
      </w:r>
    </w:p>
    <w:p w14:paraId="6A3E6C78" w14:textId="21A9AA50" w:rsidR="0070406A" w:rsidRDefault="0070406A" w:rsidP="0070406A">
      <w:pPr>
        <w:spacing w:line="480" w:lineRule="auto"/>
      </w:pPr>
      <w:proofErr w:type="spellStart"/>
      <w:r w:rsidRPr="0070406A">
        <w:t>Droste</w:t>
      </w:r>
      <w:proofErr w:type="spellEnd"/>
      <w:r w:rsidRPr="0070406A">
        <w:t xml:space="preserve"> </w:t>
      </w:r>
      <w:proofErr w:type="spellStart"/>
      <w:r w:rsidRPr="0070406A">
        <w:t>zu</w:t>
      </w:r>
      <w:proofErr w:type="spellEnd"/>
      <w:r w:rsidRPr="0070406A">
        <w:t xml:space="preserve"> Hülshoff, Bernd von. “Man-Made Climate Change: A Major Challenge for World Heritage Conservation.” In </w:t>
      </w:r>
      <w:r w:rsidRPr="0070406A">
        <w:rPr>
          <w:i/>
          <w:iCs/>
        </w:rPr>
        <w:t>Climate Change as a Threat to Peace: Impacts on Cultural Heritage and Cultural Diversity</w:t>
      </w:r>
      <w:r w:rsidRPr="0070406A">
        <w:t xml:space="preserve">, edited by Sabine von </w:t>
      </w:r>
      <w:proofErr w:type="spellStart"/>
      <w:r w:rsidRPr="0070406A">
        <w:t>Schorlemer</w:t>
      </w:r>
      <w:proofErr w:type="spellEnd"/>
      <w:r w:rsidRPr="0070406A">
        <w:t xml:space="preserve"> and Sylvia Maus, 27–32. Peter Lang AG, 2014. </w:t>
      </w:r>
      <w:hyperlink r:id="rId7" w:history="1">
        <w:r w:rsidRPr="0070406A">
          <w:rPr>
            <w:rStyle w:val="Hyperlink"/>
          </w:rPr>
          <w:t>http://www.jstor.org/stable/j.ctv2t4cvp.5</w:t>
        </w:r>
      </w:hyperlink>
      <w:r w:rsidRPr="0070406A">
        <w:t>.</w:t>
      </w:r>
    </w:p>
    <w:p w14:paraId="18227856" w14:textId="204952D6" w:rsidR="0070406A" w:rsidRDefault="0070406A" w:rsidP="0070406A">
      <w:pPr>
        <w:spacing w:line="480" w:lineRule="auto"/>
      </w:pPr>
      <w:r w:rsidRPr="0070406A">
        <w:t>Finn, Christine. 1997.</w:t>
      </w:r>
      <w:r w:rsidRPr="001C1D0F">
        <w:t> “Leaving more than footprints</w:t>
      </w:r>
      <w:r w:rsidRPr="0070406A">
        <w:t>”: Modern</w:t>
      </w:r>
      <w:r w:rsidRPr="001C1D0F">
        <w:t xml:space="preserve"> votive offerings at Chaco canyon </w:t>
      </w:r>
      <w:proofErr w:type="spellStart"/>
      <w:r w:rsidRPr="001C1D0F">
        <w:t>prehistoricsite</w:t>
      </w:r>
      <w:proofErr w:type="spellEnd"/>
      <w:r w:rsidRPr="001C1D0F">
        <w:t>.</w:t>
      </w:r>
    </w:p>
    <w:p w14:paraId="789CC799" w14:textId="52D7187A" w:rsidR="0070406A" w:rsidRDefault="0070406A" w:rsidP="0070406A">
      <w:pPr>
        <w:spacing w:line="480" w:lineRule="auto"/>
      </w:pPr>
      <w:r w:rsidRPr="0070406A">
        <w:t xml:space="preserve">FREEMAN TILDEN “Interpreting Our Heritage </w:t>
      </w:r>
      <w:r w:rsidRPr="0070406A">
        <w:rPr>
          <w:i/>
          <w:iCs/>
        </w:rPr>
        <w:t>THE UNIVERSITY OFNORTH CAROLINA PRESS</w:t>
      </w:r>
      <w:r>
        <w:rPr>
          <w:i/>
          <w:iCs/>
        </w:rPr>
        <w:t xml:space="preserve"> </w:t>
      </w:r>
      <w:r w:rsidRPr="0070406A">
        <w:rPr>
          <w:i/>
          <w:iCs/>
        </w:rPr>
        <w:t xml:space="preserve">CHAPEL HILL </w:t>
      </w:r>
      <w:r w:rsidRPr="0070406A">
        <w:t>1957</w:t>
      </w:r>
    </w:p>
    <w:p w14:paraId="20D2F1C4" w14:textId="2786D6A6" w:rsidR="0070406A" w:rsidRPr="0070406A" w:rsidRDefault="0070406A" w:rsidP="0070406A">
      <w:pPr>
        <w:spacing w:line="480" w:lineRule="auto"/>
      </w:pPr>
      <w:r w:rsidRPr="0070406A">
        <w:t xml:space="preserve">Jameson, John. “Cultural Heritage Interpretation.” </w:t>
      </w:r>
      <w:proofErr w:type="spellStart"/>
      <w:r w:rsidRPr="0070406A">
        <w:rPr>
          <w:i/>
          <w:iCs/>
        </w:rPr>
        <w:t>Encyclopedia</w:t>
      </w:r>
      <w:proofErr w:type="spellEnd"/>
      <w:r w:rsidRPr="0070406A">
        <w:rPr>
          <w:i/>
          <w:iCs/>
        </w:rPr>
        <w:t xml:space="preserve"> of Global Archaeology</w:t>
      </w:r>
      <w:r w:rsidRPr="0070406A">
        <w:t>, 2020.</w:t>
      </w:r>
    </w:p>
    <w:p w14:paraId="3973FE98" w14:textId="4AE0F2EE" w:rsidR="0070406A" w:rsidRDefault="0070406A" w:rsidP="0070406A">
      <w:pPr>
        <w:spacing w:line="480" w:lineRule="auto"/>
      </w:pPr>
      <w:proofErr w:type="spellStart"/>
      <w:r w:rsidRPr="0070406A">
        <w:t>Labadi</w:t>
      </w:r>
      <w:proofErr w:type="spellEnd"/>
      <w:r w:rsidRPr="0070406A">
        <w:t>, Sophia. “Representations of the Nation and Cultural Diversity in Discourses on World Heritage.” Journal of Social Archaeology 7, no. 2 (2007): 147–70. doi:10.1177/1469605307077466</w:t>
      </w:r>
    </w:p>
    <w:p w14:paraId="32D47B30" w14:textId="073C6DFC" w:rsidR="0070406A" w:rsidRPr="0070406A" w:rsidRDefault="0070406A" w:rsidP="0070406A">
      <w:pPr>
        <w:spacing w:line="480" w:lineRule="auto"/>
      </w:pPr>
      <w:r w:rsidRPr="0070406A">
        <w:t xml:space="preserve">Long, Colin, and Jonathan Sweet. “Globalization, Nationalism and World Heritage: Interpreting Luang Prabang.” </w:t>
      </w:r>
      <w:proofErr w:type="gramStart"/>
      <w:r w:rsidRPr="0070406A">
        <w:rPr>
          <w:i/>
          <w:iCs/>
        </w:rPr>
        <w:t>South East</w:t>
      </w:r>
      <w:proofErr w:type="gramEnd"/>
      <w:r w:rsidRPr="0070406A">
        <w:rPr>
          <w:i/>
          <w:iCs/>
        </w:rPr>
        <w:t xml:space="preserve"> Asia Research</w:t>
      </w:r>
      <w:r w:rsidRPr="0070406A">
        <w:t xml:space="preserve"> 14, no. 3 (2006): 445–69. http://www.jstor.org/stable/23750154.</w:t>
      </w:r>
    </w:p>
    <w:p w14:paraId="07F21E2F" w14:textId="36FF781C" w:rsidR="0070406A" w:rsidRDefault="0070406A" w:rsidP="0070406A">
      <w:pPr>
        <w:spacing w:line="480" w:lineRule="auto"/>
      </w:pPr>
      <w:r w:rsidRPr="0070406A">
        <w:t xml:space="preserve">Neil A. Silberman. “The Tyranny of Narrative: History, Heritage, and Hatred in the Modern Middle East.” </w:t>
      </w:r>
      <w:r w:rsidRPr="0070406A">
        <w:rPr>
          <w:i/>
          <w:iCs/>
        </w:rPr>
        <w:t>Journal of Eastern Mediterranean Archaeology &amp; Heritage Studies</w:t>
      </w:r>
      <w:r w:rsidRPr="0070406A">
        <w:t xml:space="preserve"> 1, no. 2 (2013): 175–84. </w:t>
      </w:r>
      <w:hyperlink r:id="rId8" w:history="1">
        <w:r w:rsidRPr="0070406A">
          <w:rPr>
            <w:rStyle w:val="Hyperlink"/>
          </w:rPr>
          <w:t>https://doi.org/10.5325/jeasmedarcherstu.1.2.0175</w:t>
        </w:r>
      </w:hyperlink>
      <w:r w:rsidRPr="0070406A">
        <w:t>.</w:t>
      </w:r>
    </w:p>
    <w:p w14:paraId="01AFA404" w14:textId="194FAADE" w:rsidR="0070406A" w:rsidRDefault="0070406A" w:rsidP="0070406A">
      <w:pPr>
        <w:spacing w:line="480" w:lineRule="auto"/>
      </w:pPr>
      <w:proofErr w:type="spellStart"/>
      <w:r w:rsidRPr="0070406A">
        <w:lastRenderedPageBreak/>
        <w:t>Meskell</w:t>
      </w:r>
      <w:proofErr w:type="spellEnd"/>
      <w:r w:rsidRPr="0070406A">
        <w:t xml:space="preserve">, Lynn. “UNESCO’s World Heritage Convention at 40: Challenging the Economic and Political Order of International Heritage Conservation.” </w:t>
      </w:r>
      <w:r w:rsidRPr="0070406A">
        <w:rPr>
          <w:i/>
          <w:iCs/>
        </w:rPr>
        <w:t>Current Anthropology</w:t>
      </w:r>
      <w:r w:rsidRPr="0070406A">
        <w:t xml:space="preserve"> 54, no. 4 (2013): 483–94. https://doi.org/10.1086/671136.</w:t>
      </w:r>
    </w:p>
    <w:p w14:paraId="2398CE02" w14:textId="02461735" w:rsidR="0070406A" w:rsidRDefault="0070406A" w:rsidP="0070406A">
      <w:pPr>
        <w:spacing w:line="480" w:lineRule="auto"/>
      </w:pPr>
      <w:proofErr w:type="spellStart"/>
      <w:r w:rsidRPr="0070406A">
        <w:t>Negussie</w:t>
      </w:r>
      <w:proofErr w:type="spellEnd"/>
      <w:r w:rsidRPr="0070406A">
        <w:t xml:space="preserve">, Elene. “Implications of Neo-Liberalism for Built Heritage Management: Institutional and Ownership Structures in Ireland and Sweden.” </w:t>
      </w:r>
      <w:r w:rsidRPr="0070406A">
        <w:rPr>
          <w:i/>
          <w:iCs/>
        </w:rPr>
        <w:t>Urban Studies</w:t>
      </w:r>
      <w:r w:rsidRPr="0070406A">
        <w:t xml:space="preserve"> 43, no. 10 (2006): 1803–24. </w:t>
      </w:r>
      <w:hyperlink r:id="rId9" w:history="1">
        <w:r w:rsidRPr="0070406A">
          <w:rPr>
            <w:rStyle w:val="Hyperlink"/>
          </w:rPr>
          <w:t>http://www.jstor.org/stable/43197403</w:t>
        </w:r>
      </w:hyperlink>
      <w:r w:rsidRPr="0070406A">
        <w:t>.</w:t>
      </w:r>
    </w:p>
    <w:p w14:paraId="0404C0EB" w14:textId="6FF2BB68" w:rsidR="0070406A" w:rsidRDefault="0070406A" w:rsidP="0070406A">
      <w:pPr>
        <w:spacing w:line="480" w:lineRule="auto"/>
      </w:pPr>
      <w:proofErr w:type="spellStart"/>
      <w:r w:rsidRPr="0070406A">
        <w:t>Ringbeck</w:t>
      </w:r>
      <w:proofErr w:type="spellEnd"/>
      <w:r w:rsidRPr="0070406A">
        <w:t xml:space="preserve">, Birgitta. “World Cultural Heritage Sites and Climate Change: Management Issues.” In </w:t>
      </w:r>
      <w:r w:rsidRPr="0070406A">
        <w:rPr>
          <w:i/>
          <w:iCs/>
        </w:rPr>
        <w:t>Climate Change as a Threat to Peace: Impacts on Cultural Heritage and Cultural Diversity</w:t>
      </w:r>
      <w:r w:rsidRPr="0070406A">
        <w:t xml:space="preserve">, edited by Sabine von </w:t>
      </w:r>
      <w:proofErr w:type="spellStart"/>
      <w:r w:rsidRPr="0070406A">
        <w:t>Schorlemer</w:t>
      </w:r>
      <w:proofErr w:type="spellEnd"/>
      <w:r w:rsidRPr="0070406A">
        <w:t xml:space="preserve"> and Sylvia Maus, 199–204. Peter Lang AG, 2014. </w:t>
      </w:r>
      <w:hyperlink r:id="rId10" w:history="1">
        <w:r w:rsidRPr="0070406A">
          <w:rPr>
            <w:rStyle w:val="Hyperlink"/>
          </w:rPr>
          <w:t>http://www.jstor.org/stable/j.ctv2t4cvp.15</w:t>
        </w:r>
      </w:hyperlink>
      <w:r w:rsidRPr="0070406A">
        <w:t>.</w:t>
      </w:r>
    </w:p>
    <w:p w14:paraId="231B4883" w14:textId="77777777" w:rsidR="0070406A" w:rsidRPr="0070406A" w:rsidRDefault="0070406A" w:rsidP="0070406A">
      <w:pPr>
        <w:spacing w:line="480" w:lineRule="auto"/>
      </w:pPr>
    </w:p>
    <w:p w14:paraId="4569A2C1" w14:textId="77777777" w:rsidR="0070406A" w:rsidRPr="0070406A" w:rsidRDefault="0070406A" w:rsidP="0070406A">
      <w:pPr>
        <w:spacing w:line="480" w:lineRule="auto"/>
      </w:pPr>
    </w:p>
    <w:p w14:paraId="7AA374D6" w14:textId="77777777" w:rsidR="0070406A" w:rsidRPr="0070406A" w:rsidRDefault="0070406A" w:rsidP="0070406A">
      <w:pPr>
        <w:spacing w:line="480" w:lineRule="auto"/>
      </w:pPr>
    </w:p>
    <w:p w14:paraId="22674A0B" w14:textId="77777777" w:rsidR="0070406A" w:rsidRDefault="0070406A" w:rsidP="00F3754E">
      <w:pPr>
        <w:spacing w:line="480" w:lineRule="auto"/>
      </w:pPr>
    </w:p>
    <w:p w14:paraId="2B5F48AD" w14:textId="78BEAFF0" w:rsidR="003C7EBD" w:rsidRDefault="003C7EBD" w:rsidP="00BC715E">
      <w:pPr>
        <w:spacing w:line="480" w:lineRule="auto"/>
      </w:pPr>
    </w:p>
    <w:sectPr w:rsidR="003C7E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F72F1" w14:textId="77777777" w:rsidR="00332411" w:rsidRDefault="00332411" w:rsidP="0035748F">
      <w:pPr>
        <w:spacing w:after="0" w:line="240" w:lineRule="auto"/>
      </w:pPr>
      <w:r>
        <w:separator/>
      </w:r>
    </w:p>
  </w:endnote>
  <w:endnote w:type="continuationSeparator" w:id="0">
    <w:p w14:paraId="7F306213" w14:textId="77777777" w:rsidR="00332411" w:rsidRDefault="00332411" w:rsidP="00357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43325" w14:textId="77777777" w:rsidR="00332411" w:rsidRDefault="00332411" w:rsidP="0035748F">
      <w:pPr>
        <w:spacing w:after="0" w:line="240" w:lineRule="auto"/>
      </w:pPr>
      <w:r>
        <w:separator/>
      </w:r>
    </w:p>
  </w:footnote>
  <w:footnote w:type="continuationSeparator" w:id="0">
    <w:p w14:paraId="5554317D" w14:textId="77777777" w:rsidR="00332411" w:rsidRDefault="00332411" w:rsidP="0035748F">
      <w:pPr>
        <w:spacing w:after="0" w:line="240" w:lineRule="auto"/>
      </w:pPr>
      <w:r>
        <w:continuationSeparator/>
      </w:r>
    </w:p>
  </w:footnote>
  <w:footnote w:id="1">
    <w:p w14:paraId="44031016" w14:textId="77777777" w:rsidR="00B40277" w:rsidRPr="00B40277" w:rsidRDefault="00690B9C" w:rsidP="00B40277">
      <w:pPr>
        <w:pStyle w:val="FootnoteText"/>
      </w:pPr>
      <w:r>
        <w:rPr>
          <w:rStyle w:val="FootnoteReference"/>
        </w:rPr>
        <w:footnoteRef/>
      </w:r>
      <w:r>
        <w:t xml:space="preserve"> </w:t>
      </w:r>
      <w:bookmarkStart w:id="0" w:name="_Hlk123850666"/>
      <w:r w:rsidR="00B40277" w:rsidRPr="00B40277">
        <w:t xml:space="preserve">Neil A. Silberman. “The Tyranny of Narrative: History, Heritage, and Hatred in the Modern Middle East.” </w:t>
      </w:r>
      <w:r w:rsidR="00B40277" w:rsidRPr="00B40277">
        <w:rPr>
          <w:i/>
          <w:iCs/>
        </w:rPr>
        <w:t>Journal of Eastern Mediterranean Archaeology &amp; Heritage Studies</w:t>
      </w:r>
      <w:r w:rsidR="00B40277" w:rsidRPr="00B40277">
        <w:t xml:space="preserve"> 1, no. 2 (2013): 175–84. https://doi.org/10.5325/jeasmedarcherstu.1.2.0175.</w:t>
      </w:r>
    </w:p>
    <w:bookmarkEnd w:id="0"/>
    <w:p w14:paraId="39E4BFF3" w14:textId="448CE6B2" w:rsidR="00690B9C" w:rsidRDefault="00690B9C" w:rsidP="00690B9C">
      <w:pPr>
        <w:pStyle w:val="FootnoteText"/>
      </w:pPr>
    </w:p>
  </w:footnote>
  <w:footnote w:id="2">
    <w:p w14:paraId="05528182" w14:textId="1DC65D8F" w:rsidR="001C1D0F" w:rsidRPr="001C1D0F" w:rsidRDefault="001C1D0F" w:rsidP="001C1D0F">
      <w:pPr>
        <w:pStyle w:val="FootnoteText"/>
      </w:pPr>
      <w:r>
        <w:rPr>
          <w:rStyle w:val="FootnoteReference"/>
        </w:rPr>
        <w:footnoteRef/>
      </w:r>
      <w:r>
        <w:t xml:space="preserve"> </w:t>
      </w:r>
      <w:r w:rsidRPr="001C1D0F">
        <w:t>Finn, Christine. 1997. “Leaving more than footprints</w:t>
      </w:r>
      <w:r w:rsidR="001B4EB2" w:rsidRPr="001C1D0F">
        <w:t>”</w:t>
      </w:r>
      <w:r w:rsidR="001B4EB2">
        <w:t>: Modern</w:t>
      </w:r>
      <w:r w:rsidRPr="001C1D0F">
        <w:t xml:space="preserve"> votive offerings at Chaco canyon </w:t>
      </w:r>
      <w:proofErr w:type="spellStart"/>
      <w:r w:rsidRPr="001C1D0F">
        <w:t>prehistoricsite</w:t>
      </w:r>
      <w:proofErr w:type="spellEnd"/>
      <w:r w:rsidRPr="001C1D0F">
        <w:t>.</w:t>
      </w:r>
    </w:p>
    <w:p w14:paraId="383ADF55" w14:textId="0AC1BABC" w:rsidR="001C1D0F" w:rsidRDefault="001C1D0F">
      <w:pPr>
        <w:pStyle w:val="FootnoteText"/>
      </w:pPr>
      <w:r w:rsidRPr="001C1D0F">
        <w:rPr>
          <w:i/>
          <w:iCs/>
        </w:rPr>
        <w:t> Antiquity</w:t>
      </w:r>
      <w:r w:rsidRPr="001C1D0F">
        <w:t> 71 (271): 177 – 178.</w:t>
      </w:r>
    </w:p>
  </w:footnote>
  <w:footnote w:id="3">
    <w:p w14:paraId="2FD2740D" w14:textId="77777777" w:rsidR="000A59F9" w:rsidRPr="000A59F9" w:rsidRDefault="000A59F9" w:rsidP="000A59F9">
      <w:pPr>
        <w:pStyle w:val="FootnoteText"/>
      </w:pPr>
      <w:r>
        <w:rPr>
          <w:rStyle w:val="FootnoteReference"/>
        </w:rPr>
        <w:footnoteRef/>
      </w:r>
      <w:r>
        <w:t xml:space="preserve"> </w:t>
      </w:r>
      <w:r w:rsidRPr="000A59F9">
        <w:t xml:space="preserve">Long, Colin, and Jonathan Sweet. “Globalization, Nationalism and World Heritage: Interpreting Luang Prabang.” </w:t>
      </w:r>
      <w:proofErr w:type="gramStart"/>
      <w:r w:rsidRPr="000A59F9">
        <w:rPr>
          <w:i/>
          <w:iCs/>
        </w:rPr>
        <w:t>South East</w:t>
      </w:r>
      <w:proofErr w:type="gramEnd"/>
      <w:r w:rsidRPr="000A59F9">
        <w:rPr>
          <w:i/>
          <w:iCs/>
        </w:rPr>
        <w:t xml:space="preserve"> Asia Research</w:t>
      </w:r>
      <w:r w:rsidRPr="000A59F9">
        <w:t xml:space="preserve"> 14, no. 3 (2006): 445–69. http://www.jstor.org/stable/23750154.</w:t>
      </w:r>
    </w:p>
    <w:p w14:paraId="104E8B04" w14:textId="37BAEADE" w:rsidR="000A59F9" w:rsidRDefault="000A59F9">
      <w:pPr>
        <w:pStyle w:val="FootnoteText"/>
      </w:pPr>
    </w:p>
  </w:footnote>
  <w:footnote w:id="4">
    <w:p w14:paraId="569177DC" w14:textId="60017804" w:rsidR="0035748F" w:rsidRDefault="0035748F">
      <w:pPr>
        <w:pStyle w:val="FootnoteText"/>
      </w:pPr>
      <w:r>
        <w:rPr>
          <w:rStyle w:val="FootnoteReference"/>
        </w:rPr>
        <w:footnoteRef/>
      </w:r>
      <w:r>
        <w:t xml:space="preserve"> </w:t>
      </w:r>
      <w:bookmarkStart w:id="1" w:name="_Hlk123850836"/>
      <w:r w:rsidRPr="0035748F">
        <w:t xml:space="preserve">Jameson, John. “Cultural Heritage Interpretation.” </w:t>
      </w:r>
      <w:proofErr w:type="spellStart"/>
      <w:r w:rsidRPr="00104E57">
        <w:rPr>
          <w:i/>
          <w:iCs/>
        </w:rPr>
        <w:t>Encyclopedia</w:t>
      </w:r>
      <w:proofErr w:type="spellEnd"/>
      <w:r w:rsidRPr="00104E57">
        <w:rPr>
          <w:i/>
          <w:iCs/>
        </w:rPr>
        <w:t xml:space="preserve"> of Global Archaeology</w:t>
      </w:r>
      <w:r w:rsidRPr="0035748F">
        <w:t>, 2020.</w:t>
      </w:r>
    </w:p>
    <w:bookmarkEnd w:id="1"/>
  </w:footnote>
  <w:footnote w:id="5">
    <w:p w14:paraId="41A50BB5" w14:textId="330A783B" w:rsidR="00937787" w:rsidRDefault="00937787">
      <w:pPr>
        <w:pStyle w:val="FootnoteText"/>
      </w:pPr>
      <w:r>
        <w:rPr>
          <w:rStyle w:val="FootnoteReference"/>
        </w:rPr>
        <w:footnoteRef/>
      </w:r>
      <w:r>
        <w:t xml:space="preserve"> </w:t>
      </w:r>
      <w:r w:rsidR="001E434E" w:rsidRPr="001E434E">
        <w:t>Jameson, John. “Cultural Heritage Interpretation</w:t>
      </w:r>
      <w:r w:rsidR="001E434E">
        <w:t xml:space="preserve"> p. 5</w:t>
      </w:r>
    </w:p>
  </w:footnote>
  <w:footnote w:id="6">
    <w:p w14:paraId="1D6E403E" w14:textId="37E8622D" w:rsidR="00104E57" w:rsidRDefault="00104E57">
      <w:pPr>
        <w:pStyle w:val="FootnoteText"/>
      </w:pPr>
      <w:r>
        <w:rPr>
          <w:rStyle w:val="FootnoteReference"/>
        </w:rPr>
        <w:footnoteRef/>
      </w:r>
      <w:r>
        <w:t xml:space="preserve"> </w:t>
      </w:r>
      <w:bookmarkStart w:id="2" w:name="_Hlk123850812"/>
      <w:proofErr w:type="spellStart"/>
      <w:r w:rsidR="00E54E39" w:rsidRPr="00E54E39">
        <w:t>Meskell</w:t>
      </w:r>
      <w:proofErr w:type="spellEnd"/>
      <w:r w:rsidR="00E54E39" w:rsidRPr="00E54E39">
        <w:t xml:space="preserve">, Lynn. “UNESCO’s World Heritage Convention at 40: Challenging the Economic and Political Order of International Heritage Conservation.” </w:t>
      </w:r>
      <w:r w:rsidR="00E54E39" w:rsidRPr="00E54E39">
        <w:rPr>
          <w:i/>
          <w:iCs/>
        </w:rPr>
        <w:t>Current Anthropology</w:t>
      </w:r>
      <w:r w:rsidR="00E54E39" w:rsidRPr="00E54E39">
        <w:t xml:space="preserve"> 54, no. 4 (2013): 483–94. https://doi.org/10.1086/671136.</w:t>
      </w:r>
    </w:p>
    <w:bookmarkEnd w:id="2"/>
  </w:footnote>
  <w:footnote w:id="7">
    <w:p w14:paraId="1E0EDCEC" w14:textId="10830312" w:rsidR="00E54E39" w:rsidRDefault="00E54E39">
      <w:pPr>
        <w:pStyle w:val="FootnoteText"/>
      </w:pPr>
      <w:r>
        <w:rPr>
          <w:rStyle w:val="FootnoteReference"/>
        </w:rPr>
        <w:footnoteRef/>
      </w:r>
      <w:r>
        <w:t xml:space="preserve"> </w:t>
      </w:r>
      <w:bookmarkStart w:id="3" w:name="_Hlk123828517"/>
      <w:bookmarkStart w:id="4" w:name="_Hlk123850793"/>
      <w:proofErr w:type="spellStart"/>
      <w:r w:rsidRPr="00E54E39">
        <w:t>Labadi</w:t>
      </w:r>
      <w:proofErr w:type="spellEnd"/>
      <w:r w:rsidRPr="00E54E39">
        <w:t xml:space="preserve">, Sophia. “Representations of the Nation and Cultural Diversity </w:t>
      </w:r>
      <w:bookmarkEnd w:id="3"/>
      <w:r w:rsidRPr="00E54E39">
        <w:t xml:space="preserve">in Discourses on World Heritage.” </w:t>
      </w:r>
      <w:r w:rsidRPr="00E54E39">
        <w:rPr>
          <w:i/>
          <w:iCs/>
        </w:rPr>
        <w:t xml:space="preserve">Journal of Social Archaeology 7, no. 2 </w:t>
      </w:r>
      <w:r w:rsidRPr="00E54E39">
        <w:t>(2007): 147–70. doi:10.1177/1469605307077466</w:t>
      </w:r>
      <w:bookmarkEnd w:id="4"/>
      <w:r w:rsidRPr="00E54E39">
        <w:t>.</w:t>
      </w:r>
    </w:p>
  </w:footnote>
  <w:footnote w:id="8">
    <w:p w14:paraId="6AA8D320" w14:textId="4B6E27D5" w:rsidR="00437C7A" w:rsidRDefault="00437C7A">
      <w:pPr>
        <w:pStyle w:val="FootnoteText"/>
      </w:pPr>
      <w:r>
        <w:rPr>
          <w:rStyle w:val="FootnoteReference"/>
        </w:rPr>
        <w:footnoteRef/>
      </w:r>
      <w:r>
        <w:t xml:space="preserve"> </w:t>
      </w:r>
      <w:proofErr w:type="spellStart"/>
      <w:r w:rsidRPr="00437C7A">
        <w:t>Labadi</w:t>
      </w:r>
      <w:proofErr w:type="spellEnd"/>
      <w:r w:rsidRPr="00437C7A">
        <w:t>, Sophia. “Representations of the Nation and Cultural Diversity</w:t>
      </w:r>
    </w:p>
  </w:footnote>
  <w:footnote w:id="9">
    <w:p w14:paraId="5E7B3093" w14:textId="6250A52E" w:rsidR="000B6BF5" w:rsidRDefault="000B6BF5">
      <w:pPr>
        <w:pStyle w:val="FootnoteText"/>
      </w:pPr>
      <w:r>
        <w:rPr>
          <w:rStyle w:val="FootnoteReference"/>
        </w:rPr>
        <w:footnoteRef/>
      </w:r>
      <w:r>
        <w:t xml:space="preserve"> </w:t>
      </w:r>
      <w:bookmarkStart w:id="5" w:name="_Hlk123850762"/>
      <w:proofErr w:type="spellStart"/>
      <w:r w:rsidR="0088266F" w:rsidRPr="0088266F">
        <w:t>Negussie</w:t>
      </w:r>
      <w:proofErr w:type="spellEnd"/>
      <w:r w:rsidR="0088266F" w:rsidRPr="0088266F">
        <w:t xml:space="preserve">, Elene. “Implications of Neo-Liberalism for Built Heritage Management: Institutional and Ownership Structures in Ireland and Sweden.” </w:t>
      </w:r>
      <w:r w:rsidR="0088266F" w:rsidRPr="0088266F">
        <w:rPr>
          <w:i/>
          <w:iCs/>
        </w:rPr>
        <w:t>Urban Studies</w:t>
      </w:r>
      <w:r w:rsidR="0088266F" w:rsidRPr="0088266F">
        <w:t xml:space="preserve"> 43, no. 10 (2006): 1803–24. http://www.jstor.org/stable/43197403.</w:t>
      </w:r>
    </w:p>
    <w:bookmarkEnd w:id="5"/>
  </w:footnote>
  <w:footnote w:id="10">
    <w:p w14:paraId="562C8050" w14:textId="3ABFA4FF" w:rsidR="00F779B2" w:rsidRDefault="00F779B2">
      <w:pPr>
        <w:pStyle w:val="FootnoteText"/>
      </w:pPr>
      <w:r>
        <w:rPr>
          <w:rStyle w:val="FootnoteReference"/>
        </w:rPr>
        <w:footnoteRef/>
      </w:r>
      <w:r>
        <w:t xml:space="preserve"> </w:t>
      </w:r>
      <w:bookmarkStart w:id="6" w:name="_Hlk123850746"/>
      <w:r w:rsidRPr="00F779B2">
        <w:t xml:space="preserve">BROWN, STEVE. “Archaeology of Brutal Encounter: Heritage and Bomb Testing on Bikini Atoll, Republic of the Marshall Islands.” </w:t>
      </w:r>
      <w:r w:rsidRPr="00F779B2">
        <w:rPr>
          <w:i/>
          <w:iCs/>
        </w:rPr>
        <w:t>Archaeology in Oceania</w:t>
      </w:r>
      <w:r w:rsidRPr="00F779B2">
        <w:t xml:space="preserve"> 48, no. 1 (2013): 26–39. http://www.jstor.org/stable/24026258.</w:t>
      </w:r>
      <w:bookmarkEnd w:id="6"/>
    </w:p>
  </w:footnote>
  <w:footnote w:id="11">
    <w:p w14:paraId="70B3E8AE" w14:textId="6529914B" w:rsidR="00A913C2" w:rsidRDefault="00A913C2">
      <w:pPr>
        <w:pStyle w:val="FootnoteText"/>
      </w:pPr>
      <w:r>
        <w:rPr>
          <w:rStyle w:val="FootnoteReference"/>
        </w:rPr>
        <w:footnoteRef/>
      </w:r>
      <w:r>
        <w:t xml:space="preserve"> </w:t>
      </w:r>
      <w:r w:rsidRPr="00A913C2">
        <w:t xml:space="preserve">BROWN, STEVE. “Archaeology of Brutal </w:t>
      </w:r>
      <w:proofErr w:type="gramStart"/>
      <w:r w:rsidRPr="00A913C2">
        <w:t>Encounter:.</w:t>
      </w:r>
      <w:proofErr w:type="gramEnd"/>
    </w:p>
  </w:footnote>
  <w:footnote w:id="12">
    <w:p w14:paraId="28162CC4" w14:textId="77777777" w:rsidR="006F1535" w:rsidRPr="006F1535" w:rsidRDefault="006F1535" w:rsidP="006F1535">
      <w:pPr>
        <w:pStyle w:val="FootnoteText"/>
      </w:pPr>
      <w:r>
        <w:rPr>
          <w:rStyle w:val="FootnoteReference"/>
        </w:rPr>
        <w:footnoteRef/>
      </w:r>
      <w:r>
        <w:t xml:space="preserve"> </w:t>
      </w:r>
      <w:proofErr w:type="spellStart"/>
      <w:r w:rsidRPr="006F1535">
        <w:t>Ringbeck</w:t>
      </w:r>
      <w:proofErr w:type="spellEnd"/>
      <w:r w:rsidRPr="006F1535">
        <w:t xml:space="preserve">, Birgitta. “World Cultural Heritage Sites and Climate Change: Management Issues.” In </w:t>
      </w:r>
      <w:r w:rsidRPr="006F1535">
        <w:rPr>
          <w:i/>
          <w:iCs/>
        </w:rPr>
        <w:t>Climate Change as a Threat to Peace: Impacts on Cultural Heritage and Cultural Diversity</w:t>
      </w:r>
      <w:r w:rsidRPr="006F1535">
        <w:t xml:space="preserve">, edited by Sabine von </w:t>
      </w:r>
      <w:proofErr w:type="spellStart"/>
      <w:r w:rsidRPr="006F1535">
        <w:t>Schorlemer</w:t>
      </w:r>
      <w:proofErr w:type="spellEnd"/>
      <w:r w:rsidRPr="006F1535">
        <w:t xml:space="preserve"> and Sylvia Maus, 199–204. Peter Lang AG, 2014. http://www.jstor.org/stable/j.ctv2t4cvp.15.</w:t>
      </w:r>
    </w:p>
    <w:p w14:paraId="5D5528B2" w14:textId="75C01079" w:rsidR="006F1535" w:rsidRDefault="006F1535">
      <w:pPr>
        <w:pStyle w:val="FootnoteText"/>
      </w:pPr>
    </w:p>
  </w:footnote>
  <w:footnote w:id="13">
    <w:p w14:paraId="361FCD57" w14:textId="77777777" w:rsidR="00D00610" w:rsidRPr="00D00610" w:rsidRDefault="00D00610" w:rsidP="00D00610">
      <w:pPr>
        <w:pStyle w:val="FootnoteText"/>
      </w:pPr>
      <w:r>
        <w:rPr>
          <w:rStyle w:val="FootnoteReference"/>
        </w:rPr>
        <w:footnoteRef/>
      </w:r>
      <w:r>
        <w:t xml:space="preserve"> </w:t>
      </w:r>
      <w:proofErr w:type="spellStart"/>
      <w:r w:rsidRPr="00D00610">
        <w:t>Droste</w:t>
      </w:r>
      <w:proofErr w:type="spellEnd"/>
      <w:r w:rsidRPr="00D00610">
        <w:t xml:space="preserve"> </w:t>
      </w:r>
      <w:proofErr w:type="spellStart"/>
      <w:r w:rsidRPr="00D00610">
        <w:t>zu</w:t>
      </w:r>
      <w:proofErr w:type="spellEnd"/>
      <w:r w:rsidRPr="00D00610">
        <w:t xml:space="preserve"> Hülshoff, Bernd von. “Man-Made Climate Change: A Major Challenge for World Heritage Conservation.” In </w:t>
      </w:r>
      <w:r w:rsidRPr="00D00610">
        <w:rPr>
          <w:i/>
          <w:iCs/>
        </w:rPr>
        <w:t>Climate Change as a Threat to Peace: Impacts on Cultural Heritage and Cultural Diversity</w:t>
      </w:r>
      <w:r w:rsidRPr="00D00610">
        <w:t xml:space="preserve">, edited by Sabine von </w:t>
      </w:r>
      <w:proofErr w:type="spellStart"/>
      <w:r w:rsidRPr="00D00610">
        <w:t>Schorlemer</w:t>
      </w:r>
      <w:proofErr w:type="spellEnd"/>
      <w:r w:rsidRPr="00D00610">
        <w:t xml:space="preserve"> and Sylvia Maus, 27–32. Peter Lang AG, 2014. http://www.jstor.org/stable/j.ctv2t4cvp.5.</w:t>
      </w:r>
    </w:p>
    <w:p w14:paraId="742B132A" w14:textId="7D154729" w:rsidR="00D00610" w:rsidRDefault="00D00610">
      <w:pPr>
        <w:pStyle w:val="FootnoteText"/>
      </w:pPr>
    </w:p>
  </w:footnote>
  <w:footnote w:id="14">
    <w:p w14:paraId="39A5E331" w14:textId="3ACBED72" w:rsidR="002A42B9" w:rsidRDefault="002A42B9">
      <w:pPr>
        <w:pStyle w:val="FootnoteText"/>
      </w:pPr>
      <w:r>
        <w:rPr>
          <w:rStyle w:val="FootnoteReference"/>
        </w:rPr>
        <w:footnoteRef/>
      </w:r>
      <w:r>
        <w:t xml:space="preserve"> </w:t>
      </w:r>
      <w:bookmarkStart w:id="7" w:name="_Hlk123850676"/>
      <w:r w:rsidRPr="002A42B9">
        <w:t xml:space="preserve">Ablett, Phillip Gordon, and Pamela Kay Dyer. “Heritage and Hermeneutics: towards a Broader Interpretation of Interpretation.” </w:t>
      </w:r>
      <w:r w:rsidRPr="002A42B9">
        <w:rPr>
          <w:i/>
          <w:iCs/>
        </w:rPr>
        <w:t>Current Issues in Tourism 12, no. 3</w:t>
      </w:r>
      <w:r w:rsidRPr="002A42B9">
        <w:t xml:space="preserve"> (2009): 209–33. doi:10.1080/13683500802316063.</w:t>
      </w:r>
    </w:p>
    <w:bookmarkEnd w:id="7"/>
  </w:footnote>
  <w:footnote w:id="15">
    <w:p w14:paraId="3E9DAF27" w14:textId="77777777" w:rsidR="00D267D2" w:rsidRPr="00D267D2" w:rsidRDefault="00D267D2" w:rsidP="00D267D2">
      <w:pPr>
        <w:pStyle w:val="FootnoteText"/>
        <w:rPr>
          <w:i/>
          <w:iCs/>
        </w:rPr>
      </w:pPr>
      <w:r>
        <w:rPr>
          <w:rStyle w:val="FootnoteReference"/>
        </w:rPr>
        <w:footnoteRef/>
      </w:r>
      <w:r>
        <w:t xml:space="preserve"> </w:t>
      </w:r>
      <w:bookmarkStart w:id="8" w:name="_Hlk123850686"/>
      <w:bookmarkStart w:id="9" w:name="_Hlk123850687"/>
      <w:r w:rsidRPr="00D267D2">
        <w:t>FREEMAN TILDEN</w:t>
      </w:r>
      <w:r>
        <w:t xml:space="preserve"> “</w:t>
      </w:r>
      <w:r w:rsidRPr="00D267D2">
        <w:t>Interpreting Our Heritage</w:t>
      </w:r>
      <w:r>
        <w:t xml:space="preserve"> </w:t>
      </w:r>
      <w:r w:rsidRPr="00D267D2">
        <w:rPr>
          <w:i/>
          <w:iCs/>
        </w:rPr>
        <w:t>THE UNIVERSITY OFNORTH CAROLINA PRESS</w:t>
      </w:r>
    </w:p>
    <w:p w14:paraId="1B095744" w14:textId="090BF53C" w:rsidR="00D267D2" w:rsidRPr="00D267D2" w:rsidRDefault="00D267D2" w:rsidP="00D267D2">
      <w:pPr>
        <w:pStyle w:val="FootnoteText"/>
      </w:pPr>
      <w:r w:rsidRPr="00D267D2">
        <w:rPr>
          <w:i/>
          <w:iCs/>
        </w:rPr>
        <w:t>CHAPEL HILL</w:t>
      </w:r>
      <w:r>
        <w:rPr>
          <w:i/>
          <w:iCs/>
        </w:rPr>
        <w:t xml:space="preserve"> </w:t>
      </w:r>
      <w:r>
        <w:t>1957</w:t>
      </w:r>
      <w:bookmarkEnd w:id="8"/>
      <w:bookmarkEnd w:id="9"/>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2E8"/>
    <w:rsid w:val="00052535"/>
    <w:rsid w:val="000A59F9"/>
    <w:rsid w:val="000A6EDA"/>
    <w:rsid w:val="000B6BF5"/>
    <w:rsid w:val="000E7B4B"/>
    <w:rsid w:val="00104E57"/>
    <w:rsid w:val="00174BB5"/>
    <w:rsid w:val="001B4EB2"/>
    <w:rsid w:val="001C1D0F"/>
    <w:rsid w:val="001E434E"/>
    <w:rsid w:val="001F67FE"/>
    <w:rsid w:val="00286D37"/>
    <w:rsid w:val="002A42B9"/>
    <w:rsid w:val="00332411"/>
    <w:rsid w:val="00356F1D"/>
    <w:rsid w:val="0035748F"/>
    <w:rsid w:val="003B1A01"/>
    <w:rsid w:val="003C7EBD"/>
    <w:rsid w:val="0040502F"/>
    <w:rsid w:val="00437C7A"/>
    <w:rsid w:val="004416F9"/>
    <w:rsid w:val="00490DEE"/>
    <w:rsid w:val="0053063E"/>
    <w:rsid w:val="0055122F"/>
    <w:rsid w:val="00575014"/>
    <w:rsid w:val="00582D32"/>
    <w:rsid w:val="0062219F"/>
    <w:rsid w:val="00690B9C"/>
    <w:rsid w:val="0069613B"/>
    <w:rsid w:val="006D3397"/>
    <w:rsid w:val="006E3DDA"/>
    <w:rsid w:val="006F1535"/>
    <w:rsid w:val="0070406A"/>
    <w:rsid w:val="0080166A"/>
    <w:rsid w:val="00814A7D"/>
    <w:rsid w:val="00817A8A"/>
    <w:rsid w:val="0088266F"/>
    <w:rsid w:val="008B579F"/>
    <w:rsid w:val="00937787"/>
    <w:rsid w:val="00975906"/>
    <w:rsid w:val="00995494"/>
    <w:rsid w:val="00A913C2"/>
    <w:rsid w:val="00AE6437"/>
    <w:rsid w:val="00B40277"/>
    <w:rsid w:val="00BA5E49"/>
    <w:rsid w:val="00BC715E"/>
    <w:rsid w:val="00C02D51"/>
    <w:rsid w:val="00C64415"/>
    <w:rsid w:val="00CA74EE"/>
    <w:rsid w:val="00CB55D0"/>
    <w:rsid w:val="00CB7189"/>
    <w:rsid w:val="00CC1419"/>
    <w:rsid w:val="00CD15E0"/>
    <w:rsid w:val="00D00610"/>
    <w:rsid w:val="00D015C4"/>
    <w:rsid w:val="00D267D2"/>
    <w:rsid w:val="00D445E5"/>
    <w:rsid w:val="00D765CE"/>
    <w:rsid w:val="00DB53D7"/>
    <w:rsid w:val="00E1644C"/>
    <w:rsid w:val="00E54E39"/>
    <w:rsid w:val="00EC0E5E"/>
    <w:rsid w:val="00ED1535"/>
    <w:rsid w:val="00F3754E"/>
    <w:rsid w:val="00F779B2"/>
    <w:rsid w:val="00F8512C"/>
    <w:rsid w:val="00F9670D"/>
    <w:rsid w:val="00FF5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D1F347"/>
  <w15:chartTrackingRefBased/>
  <w15:docId w15:val="{F50DE898-1F82-46A4-95DA-6001D0DBD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574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748F"/>
    <w:rPr>
      <w:sz w:val="20"/>
      <w:szCs w:val="20"/>
    </w:rPr>
  </w:style>
  <w:style w:type="character" w:styleId="FootnoteReference">
    <w:name w:val="footnote reference"/>
    <w:basedOn w:val="DefaultParagraphFont"/>
    <w:uiPriority w:val="99"/>
    <w:semiHidden/>
    <w:unhideWhenUsed/>
    <w:rsid w:val="0035748F"/>
    <w:rPr>
      <w:vertAlign w:val="superscript"/>
    </w:rPr>
  </w:style>
  <w:style w:type="character" w:styleId="CommentReference">
    <w:name w:val="annotation reference"/>
    <w:basedOn w:val="DefaultParagraphFont"/>
    <w:uiPriority w:val="99"/>
    <w:semiHidden/>
    <w:unhideWhenUsed/>
    <w:rsid w:val="000E7B4B"/>
    <w:rPr>
      <w:sz w:val="16"/>
      <w:szCs w:val="16"/>
    </w:rPr>
  </w:style>
  <w:style w:type="paragraph" w:styleId="CommentText">
    <w:name w:val="annotation text"/>
    <w:basedOn w:val="Normal"/>
    <w:link w:val="CommentTextChar"/>
    <w:uiPriority w:val="99"/>
    <w:unhideWhenUsed/>
    <w:rsid w:val="000E7B4B"/>
    <w:pPr>
      <w:spacing w:line="240" w:lineRule="auto"/>
    </w:pPr>
    <w:rPr>
      <w:sz w:val="20"/>
      <w:szCs w:val="20"/>
    </w:rPr>
  </w:style>
  <w:style w:type="character" w:customStyle="1" w:styleId="CommentTextChar">
    <w:name w:val="Comment Text Char"/>
    <w:basedOn w:val="DefaultParagraphFont"/>
    <w:link w:val="CommentText"/>
    <w:uiPriority w:val="99"/>
    <w:rsid w:val="000E7B4B"/>
    <w:rPr>
      <w:sz w:val="20"/>
      <w:szCs w:val="20"/>
    </w:rPr>
  </w:style>
  <w:style w:type="paragraph" w:styleId="CommentSubject">
    <w:name w:val="annotation subject"/>
    <w:basedOn w:val="CommentText"/>
    <w:next w:val="CommentText"/>
    <w:link w:val="CommentSubjectChar"/>
    <w:uiPriority w:val="99"/>
    <w:semiHidden/>
    <w:unhideWhenUsed/>
    <w:rsid w:val="000E7B4B"/>
    <w:rPr>
      <w:b/>
      <w:bCs/>
    </w:rPr>
  </w:style>
  <w:style w:type="character" w:customStyle="1" w:styleId="CommentSubjectChar">
    <w:name w:val="Comment Subject Char"/>
    <w:basedOn w:val="CommentTextChar"/>
    <w:link w:val="CommentSubject"/>
    <w:uiPriority w:val="99"/>
    <w:semiHidden/>
    <w:rsid w:val="000E7B4B"/>
    <w:rPr>
      <w:b/>
      <w:bCs/>
      <w:sz w:val="20"/>
      <w:szCs w:val="20"/>
    </w:rPr>
  </w:style>
  <w:style w:type="character" w:styleId="Hyperlink">
    <w:name w:val="Hyperlink"/>
    <w:basedOn w:val="DefaultParagraphFont"/>
    <w:uiPriority w:val="99"/>
    <w:unhideWhenUsed/>
    <w:rsid w:val="0070406A"/>
    <w:rPr>
      <w:color w:val="0563C1" w:themeColor="hyperlink"/>
      <w:u w:val="single"/>
    </w:rPr>
  </w:style>
  <w:style w:type="character" w:styleId="UnresolvedMention">
    <w:name w:val="Unresolved Mention"/>
    <w:basedOn w:val="DefaultParagraphFont"/>
    <w:uiPriority w:val="99"/>
    <w:semiHidden/>
    <w:unhideWhenUsed/>
    <w:rsid w:val="007040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139499">
      <w:bodyDiv w:val="1"/>
      <w:marLeft w:val="0"/>
      <w:marRight w:val="0"/>
      <w:marTop w:val="0"/>
      <w:marBottom w:val="0"/>
      <w:divBdr>
        <w:top w:val="none" w:sz="0" w:space="0" w:color="auto"/>
        <w:left w:val="none" w:sz="0" w:space="0" w:color="auto"/>
        <w:bottom w:val="none" w:sz="0" w:space="0" w:color="auto"/>
        <w:right w:val="none" w:sz="0" w:space="0" w:color="auto"/>
      </w:divBdr>
      <w:divsChild>
        <w:div w:id="389766588">
          <w:marLeft w:val="0"/>
          <w:marRight w:val="0"/>
          <w:marTop w:val="0"/>
          <w:marBottom w:val="0"/>
          <w:divBdr>
            <w:top w:val="none" w:sz="0" w:space="0" w:color="auto"/>
            <w:left w:val="none" w:sz="0" w:space="0" w:color="auto"/>
            <w:bottom w:val="none" w:sz="0" w:space="0" w:color="auto"/>
            <w:right w:val="none" w:sz="0" w:space="0" w:color="auto"/>
          </w:divBdr>
          <w:divsChild>
            <w:div w:id="25552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735245">
      <w:bodyDiv w:val="1"/>
      <w:marLeft w:val="0"/>
      <w:marRight w:val="0"/>
      <w:marTop w:val="0"/>
      <w:marBottom w:val="0"/>
      <w:divBdr>
        <w:top w:val="none" w:sz="0" w:space="0" w:color="auto"/>
        <w:left w:val="none" w:sz="0" w:space="0" w:color="auto"/>
        <w:bottom w:val="none" w:sz="0" w:space="0" w:color="auto"/>
        <w:right w:val="none" w:sz="0" w:space="0" w:color="auto"/>
      </w:divBdr>
      <w:divsChild>
        <w:div w:id="555971159">
          <w:marLeft w:val="0"/>
          <w:marRight w:val="0"/>
          <w:marTop w:val="0"/>
          <w:marBottom w:val="0"/>
          <w:divBdr>
            <w:top w:val="none" w:sz="0" w:space="0" w:color="auto"/>
            <w:left w:val="none" w:sz="0" w:space="0" w:color="auto"/>
            <w:bottom w:val="none" w:sz="0" w:space="0" w:color="auto"/>
            <w:right w:val="none" w:sz="0" w:space="0" w:color="auto"/>
          </w:divBdr>
          <w:divsChild>
            <w:div w:id="101904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421780">
      <w:bodyDiv w:val="1"/>
      <w:marLeft w:val="0"/>
      <w:marRight w:val="0"/>
      <w:marTop w:val="0"/>
      <w:marBottom w:val="0"/>
      <w:divBdr>
        <w:top w:val="none" w:sz="0" w:space="0" w:color="auto"/>
        <w:left w:val="none" w:sz="0" w:space="0" w:color="auto"/>
        <w:bottom w:val="none" w:sz="0" w:space="0" w:color="auto"/>
        <w:right w:val="none" w:sz="0" w:space="0" w:color="auto"/>
      </w:divBdr>
      <w:divsChild>
        <w:div w:id="1312100985">
          <w:marLeft w:val="0"/>
          <w:marRight w:val="0"/>
          <w:marTop w:val="0"/>
          <w:marBottom w:val="0"/>
          <w:divBdr>
            <w:top w:val="none" w:sz="0" w:space="0" w:color="auto"/>
            <w:left w:val="none" w:sz="0" w:space="0" w:color="auto"/>
            <w:bottom w:val="none" w:sz="0" w:space="0" w:color="auto"/>
            <w:right w:val="none" w:sz="0" w:space="0" w:color="auto"/>
          </w:divBdr>
          <w:divsChild>
            <w:div w:id="80832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083154">
      <w:bodyDiv w:val="1"/>
      <w:marLeft w:val="0"/>
      <w:marRight w:val="0"/>
      <w:marTop w:val="0"/>
      <w:marBottom w:val="0"/>
      <w:divBdr>
        <w:top w:val="none" w:sz="0" w:space="0" w:color="auto"/>
        <w:left w:val="none" w:sz="0" w:space="0" w:color="auto"/>
        <w:bottom w:val="none" w:sz="0" w:space="0" w:color="auto"/>
        <w:right w:val="none" w:sz="0" w:space="0" w:color="auto"/>
      </w:divBdr>
      <w:divsChild>
        <w:div w:id="488719379">
          <w:marLeft w:val="0"/>
          <w:marRight w:val="0"/>
          <w:marTop w:val="0"/>
          <w:marBottom w:val="0"/>
          <w:divBdr>
            <w:top w:val="none" w:sz="0" w:space="0" w:color="auto"/>
            <w:left w:val="none" w:sz="0" w:space="0" w:color="auto"/>
            <w:bottom w:val="none" w:sz="0" w:space="0" w:color="auto"/>
            <w:right w:val="none" w:sz="0" w:space="0" w:color="auto"/>
          </w:divBdr>
        </w:div>
        <w:div w:id="530801540">
          <w:marLeft w:val="0"/>
          <w:marRight w:val="0"/>
          <w:marTop w:val="0"/>
          <w:marBottom w:val="0"/>
          <w:divBdr>
            <w:top w:val="none" w:sz="0" w:space="0" w:color="auto"/>
            <w:left w:val="none" w:sz="0" w:space="0" w:color="auto"/>
            <w:bottom w:val="none" w:sz="0" w:space="0" w:color="auto"/>
            <w:right w:val="none" w:sz="0" w:space="0" w:color="auto"/>
          </w:divBdr>
        </w:div>
        <w:div w:id="1697152921">
          <w:marLeft w:val="0"/>
          <w:marRight w:val="0"/>
          <w:marTop w:val="0"/>
          <w:marBottom w:val="0"/>
          <w:divBdr>
            <w:top w:val="none" w:sz="0" w:space="0" w:color="auto"/>
            <w:left w:val="none" w:sz="0" w:space="0" w:color="auto"/>
            <w:bottom w:val="none" w:sz="0" w:space="0" w:color="auto"/>
            <w:right w:val="none" w:sz="0" w:space="0" w:color="auto"/>
          </w:divBdr>
        </w:div>
        <w:div w:id="980423184">
          <w:marLeft w:val="0"/>
          <w:marRight w:val="0"/>
          <w:marTop w:val="0"/>
          <w:marBottom w:val="0"/>
          <w:divBdr>
            <w:top w:val="none" w:sz="0" w:space="0" w:color="auto"/>
            <w:left w:val="none" w:sz="0" w:space="0" w:color="auto"/>
            <w:bottom w:val="none" w:sz="0" w:space="0" w:color="auto"/>
            <w:right w:val="none" w:sz="0" w:space="0" w:color="auto"/>
          </w:divBdr>
        </w:div>
        <w:div w:id="1970479131">
          <w:marLeft w:val="0"/>
          <w:marRight w:val="0"/>
          <w:marTop w:val="0"/>
          <w:marBottom w:val="0"/>
          <w:divBdr>
            <w:top w:val="none" w:sz="0" w:space="0" w:color="auto"/>
            <w:left w:val="none" w:sz="0" w:space="0" w:color="auto"/>
            <w:bottom w:val="none" w:sz="0" w:space="0" w:color="auto"/>
            <w:right w:val="none" w:sz="0" w:space="0" w:color="auto"/>
          </w:divBdr>
        </w:div>
        <w:div w:id="797798079">
          <w:marLeft w:val="0"/>
          <w:marRight w:val="0"/>
          <w:marTop w:val="0"/>
          <w:marBottom w:val="0"/>
          <w:divBdr>
            <w:top w:val="none" w:sz="0" w:space="0" w:color="auto"/>
            <w:left w:val="none" w:sz="0" w:space="0" w:color="auto"/>
            <w:bottom w:val="none" w:sz="0" w:space="0" w:color="auto"/>
            <w:right w:val="none" w:sz="0" w:space="0" w:color="auto"/>
          </w:divBdr>
        </w:div>
        <w:div w:id="787506051">
          <w:marLeft w:val="0"/>
          <w:marRight w:val="0"/>
          <w:marTop w:val="0"/>
          <w:marBottom w:val="0"/>
          <w:divBdr>
            <w:top w:val="none" w:sz="0" w:space="0" w:color="auto"/>
            <w:left w:val="none" w:sz="0" w:space="0" w:color="auto"/>
            <w:bottom w:val="none" w:sz="0" w:space="0" w:color="auto"/>
            <w:right w:val="none" w:sz="0" w:space="0" w:color="auto"/>
          </w:divBdr>
        </w:div>
        <w:div w:id="1296377593">
          <w:marLeft w:val="0"/>
          <w:marRight w:val="0"/>
          <w:marTop w:val="0"/>
          <w:marBottom w:val="0"/>
          <w:divBdr>
            <w:top w:val="none" w:sz="0" w:space="0" w:color="auto"/>
            <w:left w:val="none" w:sz="0" w:space="0" w:color="auto"/>
            <w:bottom w:val="none" w:sz="0" w:space="0" w:color="auto"/>
            <w:right w:val="none" w:sz="0" w:space="0" w:color="auto"/>
          </w:divBdr>
        </w:div>
        <w:div w:id="1151143221">
          <w:marLeft w:val="0"/>
          <w:marRight w:val="0"/>
          <w:marTop w:val="0"/>
          <w:marBottom w:val="0"/>
          <w:divBdr>
            <w:top w:val="none" w:sz="0" w:space="0" w:color="auto"/>
            <w:left w:val="none" w:sz="0" w:space="0" w:color="auto"/>
            <w:bottom w:val="none" w:sz="0" w:space="0" w:color="auto"/>
            <w:right w:val="none" w:sz="0" w:space="0" w:color="auto"/>
          </w:divBdr>
        </w:div>
      </w:divsChild>
    </w:div>
    <w:div w:id="1082336747">
      <w:bodyDiv w:val="1"/>
      <w:marLeft w:val="0"/>
      <w:marRight w:val="0"/>
      <w:marTop w:val="0"/>
      <w:marBottom w:val="0"/>
      <w:divBdr>
        <w:top w:val="none" w:sz="0" w:space="0" w:color="auto"/>
        <w:left w:val="none" w:sz="0" w:space="0" w:color="auto"/>
        <w:bottom w:val="none" w:sz="0" w:space="0" w:color="auto"/>
        <w:right w:val="none" w:sz="0" w:space="0" w:color="auto"/>
      </w:divBdr>
      <w:divsChild>
        <w:div w:id="1902524735">
          <w:marLeft w:val="0"/>
          <w:marRight w:val="0"/>
          <w:marTop w:val="0"/>
          <w:marBottom w:val="0"/>
          <w:divBdr>
            <w:top w:val="none" w:sz="0" w:space="0" w:color="auto"/>
            <w:left w:val="none" w:sz="0" w:space="0" w:color="auto"/>
            <w:bottom w:val="none" w:sz="0" w:space="0" w:color="auto"/>
            <w:right w:val="none" w:sz="0" w:space="0" w:color="auto"/>
          </w:divBdr>
          <w:divsChild>
            <w:div w:id="206906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535591">
      <w:bodyDiv w:val="1"/>
      <w:marLeft w:val="0"/>
      <w:marRight w:val="0"/>
      <w:marTop w:val="0"/>
      <w:marBottom w:val="0"/>
      <w:divBdr>
        <w:top w:val="none" w:sz="0" w:space="0" w:color="auto"/>
        <w:left w:val="none" w:sz="0" w:space="0" w:color="auto"/>
        <w:bottom w:val="none" w:sz="0" w:space="0" w:color="auto"/>
        <w:right w:val="none" w:sz="0" w:space="0" w:color="auto"/>
      </w:divBdr>
      <w:divsChild>
        <w:div w:id="363991620">
          <w:marLeft w:val="0"/>
          <w:marRight w:val="0"/>
          <w:marTop w:val="0"/>
          <w:marBottom w:val="0"/>
          <w:divBdr>
            <w:top w:val="none" w:sz="0" w:space="0" w:color="auto"/>
            <w:left w:val="none" w:sz="0" w:space="0" w:color="auto"/>
            <w:bottom w:val="none" w:sz="0" w:space="0" w:color="auto"/>
            <w:right w:val="none" w:sz="0" w:space="0" w:color="auto"/>
          </w:divBdr>
          <w:divsChild>
            <w:div w:id="12231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165186">
      <w:bodyDiv w:val="1"/>
      <w:marLeft w:val="0"/>
      <w:marRight w:val="0"/>
      <w:marTop w:val="0"/>
      <w:marBottom w:val="0"/>
      <w:divBdr>
        <w:top w:val="none" w:sz="0" w:space="0" w:color="auto"/>
        <w:left w:val="none" w:sz="0" w:space="0" w:color="auto"/>
        <w:bottom w:val="none" w:sz="0" w:space="0" w:color="auto"/>
        <w:right w:val="none" w:sz="0" w:space="0" w:color="auto"/>
      </w:divBdr>
      <w:divsChild>
        <w:div w:id="390353728">
          <w:marLeft w:val="0"/>
          <w:marRight w:val="0"/>
          <w:marTop w:val="0"/>
          <w:marBottom w:val="0"/>
          <w:divBdr>
            <w:top w:val="none" w:sz="0" w:space="0" w:color="auto"/>
            <w:left w:val="none" w:sz="0" w:space="0" w:color="auto"/>
            <w:bottom w:val="none" w:sz="0" w:space="0" w:color="auto"/>
            <w:right w:val="none" w:sz="0" w:space="0" w:color="auto"/>
          </w:divBdr>
          <w:divsChild>
            <w:div w:id="115772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190556">
      <w:bodyDiv w:val="1"/>
      <w:marLeft w:val="0"/>
      <w:marRight w:val="0"/>
      <w:marTop w:val="0"/>
      <w:marBottom w:val="0"/>
      <w:divBdr>
        <w:top w:val="none" w:sz="0" w:space="0" w:color="auto"/>
        <w:left w:val="none" w:sz="0" w:space="0" w:color="auto"/>
        <w:bottom w:val="none" w:sz="0" w:space="0" w:color="auto"/>
        <w:right w:val="none" w:sz="0" w:space="0" w:color="auto"/>
      </w:divBdr>
      <w:divsChild>
        <w:div w:id="356855190">
          <w:marLeft w:val="0"/>
          <w:marRight w:val="0"/>
          <w:marTop w:val="0"/>
          <w:marBottom w:val="0"/>
          <w:divBdr>
            <w:top w:val="none" w:sz="0" w:space="0" w:color="auto"/>
            <w:left w:val="none" w:sz="0" w:space="0" w:color="auto"/>
            <w:bottom w:val="none" w:sz="0" w:space="0" w:color="auto"/>
            <w:right w:val="none" w:sz="0" w:space="0" w:color="auto"/>
          </w:divBdr>
          <w:divsChild>
            <w:div w:id="138734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945584">
      <w:bodyDiv w:val="1"/>
      <w:marLeft w:val="0"/>
      <w:marRight w:val="0"/>
      <w:marTop w:val="0"/>
      <w:marBottom w:val="0"/>
      <w:divBdr>
        <w:top w:val="none" w:sz="0" w:space="0" w:color="auto"/>
        <w:left w:val="none" w:sz="0" w:space="0" w:color="auto"/>
        <w:bottom w:val="none" w:sz="0" w:space="0" w:color="auto"/>
        <w:right w:val="none" w:sz="0" w:space="0" w:color="auto"/>
      </w:divBdr>
      <w:divsChild>
        <w:div w:id="1734041983">
          <w:marLeft w:val="0"/>
          <w:marRight w:val="0"/>
          <w:marTop w:val="0"/>
          <w:marBottom w:val="0"/>
          <w:divBdr>
            <w:top w:val="none" w:sz="0" w:space="0" w:color="auto"/>
            <w:left w:val="none" w:sz="0" w:space="0" w:color="auto"/>
            <w:bottom w:val="none" w:sz="0" w:space="0" w:color="auto"/>
            <w:right w:val="none" w:sz="0" w:space="0" w:color="auto"/>
          </w:divBdr>
        </w:div>
        <w:div w:id="1677462836">
          <w:marLeft w:val="0"/>
          <w:marRight w:val="0"/>
          <w:marTop w:val="0"/>
          <w:marBottom w:val="0"/>
          <w:divBdr>
            <w:top w:val="none" w:sz="0" w:space="0" w:color="auto"/>
            <w:left w:val="none" w:sz="0" w:space="0" w:color="auto"/>
            <w:bottom w:val="none" w:sz="0" w:space="0" w:color="auto"/>
            <w:right w:val="none" w:sz="0" w:space="0" w:color="auto"/>
          </w:divBdr>
        </w:div>
        <w:div w:id="402414451">
          <w:marLeft w:val="0"/>
          <w:marRight w:val="0"/>
          <w:marTop w:val="0"/>
          <w:marBottom w:val="0"/>
          <w:divBdr>
            <w:top w:val="none" w:sz="0" w:space="0" w:color="auto"/>
            <w:left w:val="none" w:sz="0" w:space="0" w:color="auto"/>
            <w:bottom w:val="none" w:sz="0" w:space="0" w:color="auto"/>
            <w:right w:val="none" w:sz="0" w:space="0" w:color="auto"/>
          </w:divBdr>
        </w:div>
        <w:div w:id="1845121543">
          <w:marLeft w:val="0"/>
          <w:marRight w:val="0"/>
          <w:marTop w:val="0"/>
          <w:marBottom w:val="0"/>
          <w:divBdr>
            <w:top w:val="none" w:sz="0" w:space="0" w:color="auto"/>
            <w:left w:val="none" w:sz="0" w:space="0" w:color="auto"/>
            <w:bottom w:val="none" w:sz="0" w:space="0" w:color="auto"/>
            <w:right w:val="none" w:sz="0" w:space="0" w:color="auto"/>
          </w:divBdr>
        </w:div>
        <w:div w:id="2098749106">
          <w:marLeft w:val="0"/>
          <w:marRight w:val="0"/>
          <w:marTop w:val="0"/>
          <w:marBottom w:val="0"/>
          <w:divBdr>
            <w:top w:val="none" w:sz="0" w:space="0" w:color="auto"/>
            <w:left w:val="none" w:sz="0" w:space="0" w:color="auto"/>
            <w:bottom w:val="none" w:sz="0" w:space="0" w:color="auto"/>
            <w:right w:val="none" w:sz="0" w:space="0" w:color="auto"/>
          </w:divBdr>
        </w:div>
        <w:div w:id="1722633429">
          <w:marLeft w:val="0"/>
          <w:marRight w:val="0"/>
          <w:marTop w:val="0"/>
          <w:marBottom w:val="0"/>
          <w:divBdr>
            <w:top w:val="none" w:sz="0" w:space="0" w:color="auto"/>
            <w:left w:val="none" w:sz="0" w:space="0" w:color="auto"/>
            <w:bottom w:val="none" w:sz="0" w:space="0" w:color="auto"/>
            <w:right w:val="none" w:sz="0" w:space="0" w:color="auto"/>
          </w:divBdr>
        </w:div>
        <w:div w:id="825320047">
          <w:marLeft w:val="0"/>
          <w:marRight w:val="0"/>
          <w:marTop w:val="0"/>
          <w:marBottom w:val="0"/>
          <w:divBdr>
            <w:top w:val="none" w:sz="0" w:space="0" w:color="auto"/>
            <w:left w:val="none" w:sz="0" w:space="0" w:color="auto"/>
            <w:bottom w:val="none" w:sz="0" w:space="0" w:color="auto"/>
            <w:right w:val="none" w:sz="0" w:space="0" w:color="auto"/>
          </w:divBdr>
        </w:div>
        <w:div w:id="1640068462">
          <w:marLeft w:val="0"/>
          <w:marRight w:val="0"/>
          <w:marTop w:val="0"/>
          <w:marBottom w:val="0"/>
          <w:divBdr>
            <w:top w:val="none" w:sz="0" w:space="0" w:color="auto"/>
            <w:left w:val="none" w:sz="0" w:space="0" w:color="auto"/>
            <w:bottom w:val="none" w:sz="0" w:space="0" w:color="auto"/>
            <w:right w:val="none" w:sz="0" w:space="0" w:color="auto"/>
          </w:divBdr>
        </w:div>
        <w:div w:id="355737188">
          <w:marLeft w:val="0"/>
          <w:marRight w:val="0"/>
          <w:marTop w:val="0"/>
          <w:marBottom w:val="0"/>
          <w:divBdr>
            <w:top w:val="none" w:sz="0" w:space="0" w:color="auto"/>
            <w:left w:val="none" w:sz="0" w:space="0" w:color="auto"/>
            <w:bottom w:val="none" w:sz="0" w:space="0" w:color="auto"/>
            <w:right w:val="none" w:sz="0" w:space="0" w:color="auto"/>
          </w:divBdr>
        </w:div>
      </w:divsChild>
    </w:div>
    <w:div w:id="2008364777">
      <w:bodyDiv w:val="1"/>
      <w:marLeft w:val="0"/>
      <w:marRight w:val="0"/>
      <w:marTop w:val="0"/>
      <w:marBottom w:val="0"/>
      <w:divBdr>
        <w:top w:val="none" w:sz="0" w:space="0" w:color="auto"/>
        <w:left w:val="none" w:sz="0" w:space="0" w:color="auto"/>
        <w:bottom w:val="none" w:sz="0" w:space="0" w:color="auto"/>
        <w:right w:val="none" w:sz="0" w:space="0" w:color="auto"/>
      </w:divBdr>
      <w:divsChild>
        <w:div w:id="967323955">
          <w:marLeft w:val="0"/>
          <w:marRight w:val="0"/>
          <w:marTop w:val="0"/>
          <w:marBottom w:val="0"/>
          <w:divBdr>
            <w:top w:val="none" w:sz="0" w:space="0" w:color="auto"/>
            <w:left w:val="none" w:sz="0" w:space="0" w:color="auto"/>
            <w:bottom w:val="none" w:sz="0" w:space="0" w:color="auto"/>
            <w:right w:val="none" w:sz="0" w:space="0" w:color="auto"/>
          </w:divBdr>
          <w:divsChild>
            <w:div w:id="4222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325/jeasmedarcherstu.1.2.0175" TargetMode="External"/><Relationship Id="rId3" Type="http://schemas.openxmlformats.org/officeDocument/2006/relationships/settings" Target="settings.xml"/><Relationship Id="rId7" Type="http://schemas.openxmlformats.org/officeDocument/2006/relationships/hyperlink" Target="http://www.jstor.org/stable/j.ctv2t4cvp.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jstor.org/stable/j.ctv2t4cvp.15" TargetMode="External"/><Relationship Id="rId4" Type="http://schemas.openxmlformats.org/officeDocument/2006/relationships/webSettings" Target="webSettings.xml"/><Relationship Id="rId9" Type="http://schemas.openxmlformats.org/officeDocument/2006/relationships/hyperlink" Target="http://www.jstor.org/stable/431974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8BF14-F88B-4178-9675-0F4883B9A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4877</TotalTime>
  <Pages>12</Pages>
  <Words>3611</Words>
  <Characters>18638</Characters>
  <Application>Microsoft Office Word</Application>
  <DocSecurity>0</DocSecurity>
  <Lines>242</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Sztanko S (FCI)</dc:creator>
  <cp:keywords/>
  <dc:description/>
  <cp:lastModifiedBy>Sztanko S (FCI)</cp:lastModifiedBy>
  <cp:revision>2</cp:revision>
  <dcterms:created xsi:type="dcterms:W3CDTF">2023-01-02T13:24:00Z</dcterms:created>
  <dcterms:modified xsi:type="dcterms:W3CDTF">2023-01-05T22:41:00Z</dcterms:modified>
</cp:coreProperties>
</file>