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0199D" w14:textId="77777777" w:rsidR="00D25558" w:rsidRPr="000B37F8" w:rsidRDefault="00D25558">
      <w:pPr>
        <w:rPr>
          <w:rFonts w:ascii="Arial" w:hAnsi="Arial" w:cs="Arial"/>
        </w:rPr>
      </w:pPr>
    </w:p>
    <w:p w14:paraId="633FC237" w14:textId="77777777" w:rsidR="00D25558" w:rsidRPr="000B37F8" w:rsidRDefault="00D25558">
      <w:pPr>
        <w:rPr>
          <w:rFonts w:ascii="Arial" w:hAnsi="Arial" w:cs="Arial"/>
        </w:rPr>
      </w:pPr>
    </w:p>
    <w:p w14:paraId="513E0ED0" w14:textId="77777777" w:rsidR="00D25558" w:rsidRPr="000B37F8" w:rsidRDefault="00D25558">
      <w:pPr>
        <w:rPr>
          <w:rFonts w:ascii="Arial" w:hAnsi="Arial" w:cs="Arial"/>
        </w:rPr>
      </w:pPr>
    </w:p>
    <w:p w14:paraId="102BE17B" w14:textId="77777777" w:rsidR="00D25558" w:rsidRPr="000B37F8" w:rsidRDefault="00D25558">
      <w:pPr>
        <w:rPr>
          <w:rFonts w:ascii="Arial" w:hAnsi="Arial" w:cs="Arial"/>
        </w:rPr>
      </w:pPr>
    </w:p>
    <w:p w14:paraId="0A21A387" w14:textId="77777777" w:rsidR="00D25558" w:rsidRPr="000B37F8" w:rsidRDefault="00D25558">
      <w:pPr>
        <w:rPr>
          <w:rFonts w:ascii="Arial" w:hAnsi="Arial" w:cs="Arial"/>
        </w:rPr>
      </w:pPr>
    </w:p>
    <w:p w14:paraId="026566D4" w14:textId="77777777" w:rsidR="003A5BDF" w:rsidRPr="000B37F8" w:rsidRDefault="003A5BDF">
      <w:pPr>
        <w:rPr>
          <w:rFonts w:ascii="Arial" w:hAnsi="Arial" w:cs="Arial"/>
        </w:rPr>
      </w:pPr>
    </w:p>
    <w:p w14:paraId="6DD12CA0" w14:textId="77777777" w:rsidR="003A5BDF" w:rsidRPr="000B37F8" w:rsidRDefault="003A5BDF">
      <w:pPr>
        <w:rPr>
          <w:rFonts w:ascii="Arial" w:hAnsi="Arial" w:cs="Arial"/>
        </w:rPr>
      </w:pPr>
    </w:p>
    <w:p w14:paraId="6B4AD910" w14:textId="77777777" w:rsidR="003A5BDF" w:rsidRPr="000B37F8" w:rsidRDefault="003A5BDF">
      <w:pPr>
        <w:rPr>
          <w:rFonts w:ascii="Arial" w:hAnsi="Arial" w:cs="Arial"/>
        </w:rPr>
      </w:pPr>
    </w:p>
    <w:p w14:paraId="1FC5B9FF" w14:textId="77777777" w:rsidR="003A5BDF" w:rsidRPr="000B37F8" w:rsidRDefault="003A5BDF">
      <w:pPr>
        <w:rPr>
          <w:rFonts w:ascii="Arial" w:hAnsi="Arial" w:cs="Arial"/>
        </w:rPr>
      </w:pPr>
    </w:p>
    <w:p w14:paraId="032FD2E3" w14:textId="77777777" w:rsidR="003A5BDF" w:rsidRPr="000B37F8" w:rsidRDefault="003A5BDF">
      <w:pPr>
        <w:rPr>
          <w:rFonts w:ascii="Arial" w:hAnsi="Arial" w:cs="Arial"/>
        </w:rPr>
      </w:pPr>
    </w:p>
    <w:p w14:paraId="18D5C343" w14:textId="77777777" w:rsidR="003A5BDF" w:rsidRPr="000B37F8" w:rsidRDefault="003A5BDF">
      <w:pPr>
        <w:rPr>
          <w:rFonts w:ascii="Arial" w:hAnsi="Arial" w:cs="Arial"/>
        </w:rPr>
      </w:pPr>
    </w:p>
    <w:p w14:paraId="2399E173" w14:textId="77777777" w:rsidR="003A5BDF" w:rsidRPr="000B37F8" w:rsidRDefault="003A5BDF" w:rsidP="007E75F3">
      <w:pPr>
        <w:jc w:val="both"/>
        <w:rPr>
          <w:rFonts w:ascii="Arial" w:hAnsi="Arial" w:cs="Arial"/>
        </w:rPr>
      </w:pPr>
    </w:p>
    <w:p w14:paraId="5616D77F" w14:textId="4C52A4E1" w:rsidR="003A5BDF" w:rsidRPr="007E75F3" w:rsidRDefault="00503055" w:rsidP="007E75F3">
      <w:pPr>
        <w:spacing w:line="480" w:lineRule="auto"/>
        <w:jc w:val="both"/>
        <w:rPr>
          <w:rFonts w:ascii="Arial" w:hAnsi="Arial" w:cs="Arial"/>
          <w:b/>
          <w:bCs/>
        </w:rPr>
      </w:pPr>
      <w:r w:rsidRPr="007E75F3">
        <w:rPr>
          <w:rFonts w:ascii="Arial" w:hAnsi="Arial" w:cs="Arial"/>
          <w:b/>
          <w:bCs/>
        </w:rPr>
        <w:t>Student name:</w:t>
      </w:r>
      <w:r w:rsidR="00846C4E" w:rsidRPr="007E75F3">
        <w:rPr>
          <w:rFonts w:ascii="Arial" w:hAnsi="Arial" w:cs="Arial"/>
          <w:b/>
          <w:bCs/>
        </w:rPr>
        <w:t xml:space="preserve"> Olufemi Idowu Afolabi Odubitan</w:t>
      </w:r>
    </w:p>
    <w:p w14:paraId="74D11A00" w14:textId="6B561CB2" w:rsidR="00503055" w:rsidRPr="007E75F3" w:rsidRDefault="00503055" w:rsidP="007E75F3">
      <w:pPr>
        <w:spacing w:line="480" w:lineRule="auto"/>
        <w:jc w:val="both"/>
        <w:rPr>
          <w:rFonts w:ascii="Arial" w:hAnsi="Arial" w:cs="Arial"/>
          <w:b/>
          <w:bCs/>
        </w:rPr>
      </w:pPr>
      <w:r w:rsidRPr="007E75F3">
        <w:rPr>
          <w:rFonts w:ascii="Arial" w:hAnsi="Arial" w:cs="Arial"/>
          <w:b/>
          <w:bCs/>
        </w:rPr>
        <w:t>Student number:</w:t>
      </w:r>
      <w:r w:rsidR="00846C4E" w:rsidRPr="007E75F3">
        <w:rPr>
          <w:rFonts w:ascii="Arial" w:hAnsi="Arial" w:cs="Arial"/>
          <w:b/>
          <w:bCs/>
        </w:rPr>
        <w:t xml:space="preserve"> 2321211</w:t>
      </w:r>
    </w:p>
    <w:p w14:paraId="36066159" w14:textId="38C37EDC" w:rsidR="00503055" w:rsidRPr="007E75F3" w:rsidRDefault="00503055" w:rsidP="007E75F3">
      <w:pPr>
        <w:spacing w:line="480" w:lineRule="auto"/>
        <w:jc w:val="both"/>
        <w:rPr>
          <w:rFonts w:ascii="Arial" w:hAnsi="Arial" w:cs="Arial"/>
          <w:b/>
          <w:bCs/>
        </w:rPr>
      </w:pPr>
      <w:r w:rsidRPr="007E75F3">
        <w:rPr>
          <w:rFonts w:ascii="Arial" w:hAnsi="Arial" w:cs="Arial"/>
          <w:b/>
          <w:bCs/>
        </w:rPr>
        <w:t>Module code and Title:</w:t>
      </w:r>
      <w:r w:rsidR="00846C4E" w:rsidRPr="007E75F3">
        <w:rPr>
          <w:rFonts w:ascii="Arial" w:hAnsi="Arial" w:cs="Arial"/>
          <w:b/>
          <w:bCs/>
        </w:rPr>
        <w:t xml:space="preserve"> </w:t>
      </w:r>
      <w:r w:rsidR="00846C4E" w:rsidRPr="007E75F3">
        <w:rPr>
          <w:rFonts w:ascii="Arial" w:hAnsi="Arial" w:cs="Arial"/>
          <w:b/>
          <w:bCs/>
          <w:sz w:val="22"/>
          <w:szCs w:val="22"/>
        </w:rPr>
        <w:t>BMHP6029 / Psychological Classifications and Provisions</w:t>
      </w:r>
    </w:p>
    <w:p w14:paraId="7AC994AF" w14:textId="64479FAE" w:rsidR="00846C4E" w:rsidRPr="007E75F3" w:rsidRDefault="00846C4E" w:rsidP="007E75F3">
      <w:pPr>
        <w:spacing w:line="480" w:lineRule="auto"/>
        <w:jc w:val="both"/>
        <w:rPr>
          <w:rFonts w:ascii="Arial" w:hAnsi="Arial" w:cs="Arial"/>
          <w:b/>
          <w:bCs/>
        </w:rPr>
      </w:pPr>
      <w:r w:rsidRPr="007E75F3">
        <w:rPr>
          <w:rFonts w:ascii="Arial" w:hAnsi="Arial" w:cs="Arial"/>
          <w:b/>
          <w:bCs/>
        </w:rPr>
        <w:t xml:space="preserve">Assignment title: </w:t>
      </w:r>
      <w:r w:rsidR="00B0005E" w:rsidRPr="007E75F3">
        <w:rPr>
          <w:rFonts w:ascii="Arial" w:hAnsi="Arial" w:cs="Arial"/>
          <w:b/>
          <w:bCs/>
        </w:rPr>
        <w:t>A Critical Examination of Post-Traumatic Stress Disorder (PTSD) in ICD-11 Classification, Diagnosis, Treatment and Rehabilitation</w:t>
      </w:r>
    </w:p>
    <w:p w14:paraId="3DE925DE" w14:textId="2D81949A" w:rsidR="003A5BDF" w:rsidRPr="007E75F3" w:rsidRDefault="007E75F3" w:rsidP="007E75F3">
      <w:pPr>
        <w:jc w:val="both"/>
        <w:rPr>
          <w:rFonts w:ascii="Arial" w:hAnsi="Arial" w:cs="Arial"/>
          <w:b/>
          <w:bCs/>
        </w:rPr>
      </w:pPr>
      <w:r w:rsidRPr="007E75F3">
        <w:rPr>
          <w:rFonts w:ascii="Arial" w:hAnsi="Arial" w:cs="Arial"/>
          <w:b/>
          <w:bCs/>
        </w:rPr>
        <w:t>Word count: 2,198</w:t>
      </w:r>
    </w:p>
    <w:p w14:paraId="28B6B6F9" w14:textId="77777777" w:rsidR="003A5BDF" w:rsidRPr="000B37F8" w:rsidRDefault="003A5BDF" w:rsidP="007E75F3">
      <w:pPr>
        <w:jc w:val="both"/>
        <w:rPr>
          <w:rFonts w:ascii="Arial" w:hAnsi="Arial" w:cs="Arial"/>
        </w:rPr>
      </w:pPr>
    </w:p>
    <w:p w14:paraId="14633D28" w14:textId="77777777" w:rsidR="003A5BDF" w:rsidRPr="000B37F8" w:rsidRDefault="003A5BDF">
      <w:pPr>
        <w:rPr>
          <w:rFonts w:ascii="Arial" w:hAnsi="Arial" w:cs="Arial"/>
        </w:rPr>
      </w:pPr>
    </w:p>
    <w:p w14:paraId="7F885549" w14:textId="77777777" w:rsidR="003A5BDF" w:rsidRPr="000B37F8" w:rsidRDefault="003A5BDF">
      <w:pPr>
        <w:rPr>
          <w:rFonts w:ascii="Arial" w:hAnsi="Arial" w:cs="Arial"/>
        </w:rPr>
      </w:pPr>
    </w:p>
    <w:p w14:paraId="31A2F646" w14:textId="77777777" w:rsidR="003A5BDF" w:rsidRPr="000B37F8" w:rsidRDefault="003A5BDF">
      <w:pPr>
        <w:rPr>
          <w:rFonts w:ascii="Arial" w:hAnsi="Arial" w:cs="Arial"/>
        </w:rPr>
      </w:pPr>
    </w:p>
    <w:p w14:paraId="37A33C90" w14:textId="77777777" w:rsidR="003A5BDF" w:rsidRPr="000B37F8" w:rsidRDefault="003A5BDF">
      <w:pPr>
        <w:rPr>
          <w:rFonts w:ascii="Arial" w:hAnsi="Arial" w:cs="Arial"/>
        </w:rPr>
      </w:pPr>
    </w:p>
    <w:p w14:paraId="0A8C8E44" w14:textId="77777777" w:rsidR="003A5BDF" w:rsidRPr="000B37F8" w:rsidRDefault="003A5BDF">
      <w:pPr>
        <w:rPr>
          <w:rFonts w:ascii="Arial" w:hAnsi="Arial" w:cs="Arial"/>
        </w:rPr>
      </w:pPr>
    </w:p>
    <w:p w14:paraId="55C1BBA7" w14:textId="77777777" w:rsidR="003A5BDF" w:rsidRPr="000B37F8" w:rsidRDefault="003A5BDF">
      <w:pPr>
        <w:rPr>
          <w:rFonts w:ascii="Arial" w:hAnsi="Arial" w:cs="Arial"/>
        </w:rPr>
      </w:pPr>
    </w:p>
    <w:p w14:paraId="5CDD936B" w14:textId="18ED5CD9" w:rsidR="003A5BDF" w:rsidRPr="000B37F8" w:rsidRDefault="003A5BDF" w:rsidP="007E75F3">
      <w:pPr>
        <w:jc w:val="center"/>
        <w:rPr>
          <w:rFonts w:ascii="Arial" w:hAnsi="Arial" w:cs="Arial"/>
          <w:b/>
          <w:bCs/>
          <w:sz w:val="22"/>
          <w:szCs w:val="22"/>
        </w:rPr>
      </w:pPr>
      <w:r w:rsidRPr="000B37F8">
        <w:rPr>
          <w:rFonts w:ascii="Arial" w:hAnsi="Arial" w:cs="Arial"/>
          <w:b/>
          <w:bCs/>
          <w:sz w:val="22"/>
          <w:szCs w:val="22"/>
        </w:rPr>
        <w:lastRenderedPageBreak/>
        <w:t>Table of Contents</w:t>
      </w:r>
    </w:p>
    <w:p w14:paraId="11E8936E" w14:textId="1D52EFD4" w:rsidR="00B65D73" w:rsidRPr="009C7F0B" w:rsidRDefault="00B65D73" w:rsidP="00B65D73">
      <w:r w:rsidRPr="009C7F0B">
        <w:t>Title page</w:t>
      </w:r>
      <w:r>
        <w:t>…………………………………………………………………………………………….………………</w:t>
      </w:r>
      <w:r w:rsidRPr="009C7F0B">
        <w:t xml:space="preserve"> 1</w:t>
      </w:r>
    </w:p>
    <w:p w14:paraId="226C96BD" w14:textId="452AFDAF" w:rsidR="00B65D73" w:rsidRPr="009C7F0B" w:rsidRDefault="00B65D73" w:rsidP="00B65D73">
      <w:r w:rsidRPr="009C7F0B">
        <w:t>1. Introduction</w:t>
      </w:r>
      <w:r>
        <w:t>……………………………………………</w:t>
      </w:r>
      <w:r>
        <w:t>……</w:t>
      </w:r>
      <w:r>
        <w:t>……………………………………………………</w:t>
      </w:r>
      <w:r>
        <w:t>3</w:t>
      </w:r>
    </w:p>
    <w:p w14:paraId="3ADF97D8" w14:textId="76AEB132" w:rsidR="00B65D73" w:rsidRPr="009C7F0B" w:rsidRDefault="00B65D73" w:rsidP="00B65D73">
      <w:r w:rsidRPr="009C7F0B">
        <w:t xml:space="preserve">2. Classification and Diagnosis of PTSD </w:t>
      </w:r>
      <w:r>
        <w:t>………………………………………………………………</w:t>
      </w:r>
      <w:r>
        <w:t>…</w:t>
      </w:r>
      <w:r w:rsidRPr="009C7F0B">
        <w:t>3-4</w:t>
      </w:r>
    </w:p>
    <w:p w14:paraId="2ED10260" w14:textId="7261033F" w:rsidR="00B65D73" w:rsidRPr="009C7F0B" w:rsidRDefault="00B65D73" w:rsidP="00B65D73">
      <w:pPr>
        <w:pStyle w:val="ListParagraph"/>
        <w:numPr>
          <w:ilvl w:val="0"/>
          <w:numId w:val="2"/>
        </w:numPr>
        <w:spacing w:line="360" w:lineRule="auto"/>
        <w:jc w:val="both"/>
        <w:rPr>
          <w:rFonts w:ascii="Arial" w:hAnsi="Arial" w:cs="Arial"/>
          <w:sz w:val="22"/>
          <w:szCs w:val="22"/>
        </w:rPr>
      </w:pPr>
      <w:r w:rsidRPr="009C7F0B">
        <w:rPr>
          <w:rFonts w:ascii="Arial" w:hAnsi="Arial" w:cs="Arial"/>
          <w:sz w:val="22"/>
          <w:szCs w:val="22"/>
        </w:rPr>
        <w:t xml:space="preserve">Treatment and Rehabilitation of PTSD </w:t>
      </w:r>
      <w:r>
        <w:t>………………………………………………………………</w:t>
      </w:r>
      <w:r>
        <w:t>..</w:t>
      </w:r>
      <w:r w:rsidRPr="009C7F0B">
        <w:rPr>
          <w:rFonts w:ascii="Arial" w:hAnsi="Arial" w:cs="Arial"/>
          <w:sz w:val="22"/>
          <w:szCs w:val="22"/>
        </w:rPr>
        <w:t>5-6</w:t>
      </w:r>
    </w:p>
    <w:p w14:paraId="2354EC9A" w14:textId="20B5C8CC" w:rsidR="00B65D73" w:rsidRPr="009C7F0B" w:rsidRDefault="00B65D73" w:rsidP="00B65D73">
      <w:pPr>
        <w:pStyle w:val="ListParagraph"/>
        <w:numPr>
          <w:ilvl w:val="0"/>
          <w:numId w:val="2"/>
        </w:numPr>
        <w:spacing w:line="360" w:lineRule="auto"/>
        <w:rPr>
          <w:rFonts w:ascii="Arial" w:hAnsi="Arial" w:cs="Arial"/>
          <w:sz w:val="22"/>
          <w:szCs w:val="22"/>
        </w:rPr>
      </w:pPr>
      <w:r w:rsidRPr="009C7F0B">
        <w:rPr>
          <w:rFonts w:ascii="Arial" w:hAnsi="Arial" w:cs="Arial"/>
          <w:sz w:val="22"/>
          <w:szCs w:val="22"/>
        </w:rPr>
        <w:t>Current Debates and Emerging Issues around PTSD</w:t>
      </w:r>
      <w:r>
        <w:t>……………………………………………</w:t>
      </w:r>
      <w:r>
        <w:t>.</w:t>
      </w:r>
      <w:r w:rsidRPr="009C7F0B">
        <w:rPr>
          <w:rFonts w:ascii="Arial" w:hAnsi="Arial" w:cs="Arial"/>
          <w:sz w:val="22"/>
          <w:szCs w:val="22"/>
        </w:rPr>
        <w:t xml:space="preserve"> 6-7</w:t>
      </w:r>
    </w:p>
    <w:p w14:paraId="0C058D9D" w14:textId="658EEF4E" w:rsidR="00B65D73" w:rsidRPr="009C7F0B" w:rsidRDefault="00B65D73" w:rsidP="00B65D73">
      <w:pPr>
        <w:pStyle w:val="ListParagraph"/>
        <w:numPr>
          <w:ilvl w:val="0"/>
          <w:numId w:val="2"/>
        </w:numPr>
        <w:spacing w:line="360" w:lineRule="auto"/>
        <w:rPr>
          <w:rFonts w:ascii="Arial" w:hAnsi="Arial" w:cs="Arial"/>
          <w:sz w:val="22"/>
          <w:szCs w:val="22"/>
        </w:rPr>
      </w:pPr>
      <w:r w:rsidRPr="009C7F0B">
        <w:rPr>
          <w:rFonts w:ascii="Arial" w:hAnsi="Arial" w:cs="Arial"/>
          <w:sz w:val="22"/>
          <w:szCs w:val="22"/>
        </w:rPr>
        <w:t xml:space="preserve">Recommendations </w:t>
      </w:r>
      <w:r>
        <w:t>………………………………………………………………………………………</w:t>
      </w:r>
      <w:r>
        <w:t>.</w:t>
      </w:r>
      <w:r>
        <w:t>…</w:t>
      </w:r>
      <w:r w:rsidRPr="009C7F0B">
        <w:rPr>
          <w:rFonts w:ascii="Arial" w:hAnsi="Arial" w:cs="Arial"/>
          <w:sz w:val="22"/>
          <w:szCs w:val="22"/>
        </w:rPr>
        <w:t>7-8</w:t>
      </w:r>
    </w:p>
    <w:p w14:paraId="4C168651" w14:textId="5F62E1E0" w:rsidR="00B65D73" w:rsidRPr="009C7F0B" w:rsidRDefault="00B65D73" w:rsidP="00B65D73">
      <w:pPr>
        <w:pStyle w:val="ListParagraph"/>
        <w:numPr>
          <w:ilvl w:val="0"/>
          <w:numId w:val="2"/>
        </w:numPr>
        <w:spacing w:line="360" w:lineRule="auto"/>
        <w:jc w:val="both"/>
        <w:rPr>
          <w:rFonts w:ascii="Arial" w:hAnsi="Arial" w:cs="Arial"/>
          <w:sz w:val="22"/>
          <w:szCs w:val="22"/>
        </w:rPr>
      </w:pPr>
      <w:r w:rsidRPr="009C7F0B">
        <w:rPr>
          <w:rFonts w:ascii="Arial" w:hAnsi="Arial" w:cs="Arial"/>
          <w:sz w:val="22"/>
          <w:szCs w:val="22"/>
        </w:rPr>
        <w:t xml:space="preserve">Conclusion </w:t>
      </w:r>
      <w:r>
        <w:t>………………………………………………………………………………………………</w:t>
      </w:r>
      <w:r>
        <w:t>….…..</w:t>
      </w:r>
      <w:r w:rsidRPr="009C7F0B">
        <w:rPr>
          <w:rFonts w:ascii="Arial" w:hAnsi="Arial" w:cs="Arial"/>
          <w:sz w:val="22"/>
          <w:szCs w:val="22"/>
        </w:rPr>
        <w:t>8</w:t>
      </w:r>
    </w:p>
    <w:p w14:paraId="172BB9CE" w14:textId="2255CD3B" w:rsidR="00B65D73" w:rsidRPr="009C7F0B" w:rsidRDefault="00B65D73" w:rsidP="00B65D73">
      <w:pPr>
        <w:spacing w:line="360" w:lineRule="auto"/>
        <w:jc w:val="both"/>
        <w:rPr>
          <w:rFonts w:ascii="Arial" w:hAnsi="Arial" w:cs="Arial"/>
          <w:sz w:val="22"/>
          <w:szCs w:val="22"/>
        </w:rPr>
      </w:pPr>
      <w:r w:rsidRPr="009C7F0B">
        <w:rPr>
          <w:rFonts w:ascii="Arial" w:hAnsi="Arial" w:cs="Arial"/>
          <w:sz w:val="22"/>
          <w:szCs w:val="22"/>
        </w:rPr>
        <w:t xml:space="preserve">References </w:t>
      </w:r>
      <w:r>
        <w:t>…………………………………………………………………………………………………</w:t>
      </w:r>
      <w:r>
        <w:t>…….</w:t>
      </w:r>
      <w:r w:rsidRPr="009C7F0B">
        <w:rPr>
          <w:rFonts w:ascii="Arial" w:hAnsi="Arial" w:cs="Arial"/>
          <w:sz w:val="22"/>
          <w:szCs w:val="22"/>
        </w:rPr>
        <w:t>9-14</w:t>
      </w:r>
    </w:p>
    <w:p w14:paraId="245E7987" w14:textId="77777777" w:rsidR="003A5BDF" w:rsidRPr="000B37F8" w:rsidRDefault="003A5BDF">
      <w:pPr>
        <w:rPr>
          <w:rFonts w:ascii="Arial" w:hAnsi="Arial" w:cs="Arial"/>
        </w:rPr>
      </w:pPr>
    </w:p>
    <w:p w14:paraId="71850D9A" w14:textId="77777777" w:rsidR="003A5BDF" w:rsidRPr="000B37F8" w:rsidRDefault="003A5BDF">
      <w:pPr>
        <w:rPr>
          <w:rFonts w:ascii="Arial" w:hAnsi="Arial" w:cs="Arial"/>
        </w:rPr>
      </w:pPr>
    </w:p>
    <w:p w14:paraId="5EFCD628" w14:textId="77777777" w:rsidR="003A5BDF" w:rsidRPr="000B37F8" w:rsidRDefault="003A5BDF">
      <w:pPr>
        <w:rPr>
          <w:rFonts w:ascii="Arial" w:hAnsi="Arial" w:cs="Arial"/>
        </w:rPr>
      </w:pPr>
    </w:p>
    <w:p w14:paraId="280C4F16" w14:textId="77777777" w:rsidR="003A5BDF" w:rsidRPr="000B37F8" w:rsidRDefault="003A5BDF">
      <w:pPr>
        <w:rPr>
          <w:rFonts w:ascii="Arial" w:hAnsi="Arial" w:cs="Arial"/>
        </w:rPr>
      </w:pPr>
    </w:p>
    <w:p w14:paraId="4D79E114" w14:textId="77777777" w:rsidR="003A5BDF" w:rsidRPr="000B37F8" w:rsidRDefault="003A5BDF">
      <w:pPr>
        <w:rPr>
          <w:rFonts w:ascii="Arial" w:hAnsi="Arial" w:cs="Arial"/>
        </w:rPr>
      </w:pPr>
    </w:p>
    <w:p w14:paraId="78BA9CC5" w14:textId="77777777" w:rsidR="003A5BDF" w:rsidRPr="000B37F8" w:rsidRDefault="003A5BDF">
      <w:pPr>
        <w:rPr>
          <w:rFonts w:ascii="Arial" w:hAnsi="Arial" w:cs="Arial"/>
        </w:rPr>
      </w:pPr>
    </w:p>
    <w:p w14:paraId="3D67202D" w14:textId="77777777" w:rsidR="003A5BDF" w:rsidRPr="000B37F8" w:rsidRDefault="003A5BDF">
      <w:pPr>
        <w:rPr>
          <w:rFonts w:ascii="Arial" w:hAnsi="Arial" w:cs="Arial"/>
        </w:rPr>
      </w:pPr>
    </w:p>
    <w:p w14:paraId="10D08CD5" w14:textId="77777777" w:rsidR="003A5BDF" w:rsidRPr="000B37F8" w:rsidRDefault="003A5BDF">
      <w:pPr>
        <w:rPr>
          <w:rFonts w:ascii="Arial" w:hAnsi="Arial" w:cs="Arial"/>
        </w:rPr>
      </w:pPr>
    </w:p>
    <w:p w14:paraId="373EE8C2" w14:textId="77777777" w:rsidR="003A5BDF" w:rsidRPr="000B37F8" w:rsidRDefault="003A5BDF">
      <w:pPr>
        <w:rPr>
          <w:rFonts w:ascii="Arial" w:hAnsi="Arial" w:cs="Arial"/>
        </w:rPr>
      </w:pPr>
    </w:p>
    <w:p w14:paraId="1D3B6B43" w14:textId="77777777" w:rsidR="003A5BDF" w:rsidRPr="000B37F8" w:rsidRDefault="003A5BDF">
      <w:pPr>
        <w:rPr>
          <w:rFonts w:ascii="Arial" w:hAnsi="Arial" w:cs="Arial"/>
        </w:rPr>
      </w:pPr>
    </w:p>
    <w:p w14:paraId="7BFA0EE0" w14:textId="77777777" w:rsidR="003A5BDF" w:rsidRPr="000B37F8" w:rsidRDefault="003A5BDF">
      <w:pPr>
        <w:rPr>
          <w:rFonts w:ascii="Arial" w:hAnsi="Arial" w:cs="Arial"/>
        </w:rPr>
      </w:pPr>
    </w:p>
    <w:p w14:paraId="4927D722" w14:textId="77777777" w:rsidR="003A5BDF" w:rsidRPr="000B37F8" w:rsidRDefault="003A5BDF">
      <w:pPr>
        <w:rPr>
          <w:rFonts w:ascii="Arial" w:hAnsi="Arial" w:cs="Arial"/>
        </w:rPr>
      </w:pPr>
    </w:p>
    <w:p w14:paraId="5C37919A" w14:textId="77777777" w:rsidR="003A5BDF" w:rsidRPr="000B37F8" w:rsidRDefault="003A5BDF">
      <w:pPr>
        <w:rPr>
          <w:rFonts w:ascii="Arial" w:hAnsi="Arial" w:cs="Arial"/>
        </w:rPr>
      </w:pPr>
    </w:p>
    <w:p w14:paraId="6C471DD5" w14:textId="77777777" w:rsidR="003A5BDF" w:rsidRPr="000B37F8" w:rsidRDefault="003A5BDF">
      <w:pPr>
        <w:rPr>
          <w:rFonts w:ascii="Arial" w:hAnsi="Arial" w:cs="Arial"/>
        </w:rPr>
      </w:pPr>
    </w:p>
    <w:p w14:paraId="48FA9377" w14:textId="77777777" w:rsidR="003A5BDF" w:rsidRPr="000B37F8" w:rsidRDefault="003A5BDF">
      <w:pPr>
        <w:rPr>
          <w:rFonts w:ascii="Arial" w:hAnsi="Arial" w:cs="Arial"/>
        </w:rPr>
      </w:pPr>
    </w:p>
    <w:p w14:paraId="7A820D12" w14:textId="77777777" w:rsidR="003A5BDF" w:rsidRPr="000B37F8" w:rsidRDefault="003A5BDF">
      <w:pPr>
        <w:rPr>
          <w:rFonts w:ascii="Arial" w:hAnsi="Arial" w:cs="Arial"/>
        </w:rPr>
      </w:pPr>
    </w:p>
    <w:p w14:paraId="2B0F68FF" w14:textId="77777777" w:rsidR="003A5BDF" w:rsidRPr="000B37F8" w:rsidRDefault="003A5BDF">
      <w:pPr>
        <w:rPr>
          <w:rFonts w:ascii="Arial" w:hAnsi="Arial" w:cs="Arial"/>
        </w:rPr>
      </w:pPr>
    </w:p>
    <w:p w14:paraId="3B91973F" w14:textId="77777777" w:rsidR="003A5BDF" w:rsidRPr="000B37F8" w:rsidRDefault="003A5BDF">
      <w:pPr>
        <w:rPr>
          <w:rFonts w:ascii="Arial" w:hAnsi="Arial" w:cs="Arial"/>
        </w:rPr>
      </w:pPr>
    </w:p>
    <w:p w14:paraId="256D7966" w14:textId="36ADF9A8" w:rsidR="003A5BDF" w:rsidRPr="00F85CCF" w:rsidRDefault="003A5BDF" w:rsidP="007E75F3">
      <w:pPr>
        <w:pStyle w:val="ListParagraph"/>
        <w:numPr>
          <w:ilvl w:val="0"/>
          <w:numId w:val="1"/>
        </w:numPr>
        <w:spacing w:line="360" w:lineRule="auto"/>
        <w:jc w:val="both"/>
        <w:rPr>
          <w:rFonts w:ascii="Arial" w:hAnsi="Arial" w:cs="Arial"/>
          <w:b/>
          <w:bCs/>
          <w:sz w:val="22"/>
          <w:szCs w:val="22"/>
        </w:rPr>
      </w:pPr>
      <w:r w:rsidRPr="00F85CCF">
        <w:rPr>
          <w:rFonts w:ascii="Arial" w:hAnsi="Arial" w:cs="Arial"/>
          <w:b/>
          <w:bCs/>
          <w:sz w:val="22"/>
          <w:szCs w:val="22"/>
        </w:rPr>
        <w:t>Introduction</w:t>
      </w:r>
    </w:p>
    <w:p w14:paraId="6A03DB6D" w14:textId="3741AC39" w:rsidR="000236F7" w:rsidRDefault="000236F7" w:rsidP="007E75F3">
      <w:pPr>
        <w:spacing w:line="360" w:lineRule="auto"/>
        <w:jc w:val="both"/>
        <w:rPr>
          <w:rFonts w:ascii="Arial" w:hAnsi="Arial" w:cs="Arial"/>
          <w:sz w:val="22"/>
          <w:szCs w:val="22"/>
        </w:rPr>
      </w:pPr>
      <w:r w:rsidRPr="000236F7">
        <w:rPr>
          <w:rFonts w:ascii="Arial" w:hAnsi="Arial" w:cs="Arial"/>
          <w:sz w:val="22"/>
          <w:szCs w:val="22"/>
        </w:rPr>
        <w:t xml:space="preserve">Post-Traumatic Stress Disorder (PTSD) is listed under </w:t>
      </w:r>
      <w:r w:rsidRPr="000236F7">
        <w:rPr>
          <w:rFonts w:ascii="Arial" w:hAnsi="Arial" w:cs="Arial"/>
          <w:i/>
          <w:iCs/>
          <w:sz w:val="22"/>
          <w:szCs w:val="22"/>
        </w:rPr>
        <w:t>‘</w:t>
      </w:r>
      <w:r w:rsidRPr="000236F7">
        <w:rPr>
          <w:rFonts w:ascii="Arial" w:hAnsi="Arial" w:cs="Arial"/>
          <w:i/>
          <w:iCs/>
          <w:sz w:val="22"/>
          <w:szCs w:val="22"/>
        </w:rPr>
        <w:t>disorders</w:t>
      </w:r>
      <w:r w:rsidRPr="000236F7">
        <w:rPr>
          <w:rFonts w:ascii="Arial" w:hAnsi="Arial" w:cs="Arial"/>
          <w:i/>
          <w:iCs/>
          <w:sz w:val="22"/>
          <w:szCs w:val="22"/>
        </w:rPr>
        <w:t>’</w:t>
      </w:r>
      <w:r w:rsidRPr="000236F7">
        <w:rPr>
          <w:rFonts w:ascii="Arial" w:hAnsi="Arial" w:cs="Arial"/>
          <w:sz w:val="22"/>
          <w:szCs w:val="22"/>
        </w:rPr>
        <w:t xml:space="preserve"> specifically associated with </w:t>
      </w:r>
      <w:r w:rsidRPr="000236F7">
        <w:rPr>
          <w:rFonts w:ascii="Arial" w:hAnsi="Arial" w:cs="Arial"/>
          <w:i/>
          <w:iCs/>
          <w:sz w:val="22"/>
          <w:szCs w:val="22"/>
        </w:rPr>
        <w:t>‘</w:t>
      </w:r>
      <w:r w:rsidRPr="000236F7">
        <w:rPr>
          <w:rFonts w:ascii="Arial" w:hAnsi="Arial" w:cs="Arial"/>
          <w:i/>
          <w:iCs/>
          <w:sz w:val="22"/>
          <w:szCs w:val="22"/>
        </w:rPr>
        <w:t>stress</w:t>
      </w:r>
      <w:r w:rsidRPr="000236F7">
        <w:rPr>
          <w:rFonts w:ascii="Arial" w:hAnsi="Arial" w:cs="Arial"/>
          <w:i/>
          <w:iCs/>
          <w:sz w:val="22"/>
          <w:szCs w:val="22"/>
        </w:rPr>
        <w:t>’</w:t>
      </w:r>
      <w:r w:rsidRPr="000236F7">
        <w:rPr>
          <w:rFonts w:ascii="Arial" w:hAnsi="Arial" w:cs="Arial"/>
          <w:sz w:val="22"/>
          <w:szCs w:val="22"/>
        </w:rPr>
        <w:t xml:space="preserve"> in chapter 6 of ICD-11 and describes a mental health condition which can </w:t>
      </w:r>
      <w:r w:rsidR="00B65D73">
        <w:rPr>
          <w:rFonts w:ascii="Arial" w:hAnsi="Arial" w:cs="Arial"/>
          <w:sz w:val="22"/>
          <w:szCs w:val="22"/>
        </w:rPr>
        <w:t>develop</w:t>
      </w:r>
      <w:r w:rsidRPr="000236F7">
        <w:rPr>
          <w:rFonts w:ascii="Arial" w:hAnsi="Arial" w:cs="Arial"/>
          <w:sz w:val="22"/>
          <w:szCs w:val="22"/>
        </w:rPr>
        <w:t xml:space="preserve"> following exposure to an extremely threatening or traumatic event (WHO, 2026). </w:t>
      </w:r>
      <w:r w:rsidR="00B65D73" w:rsidRPr="00B65D73">
        <w:rPr>
          <w:rFonts w:ascii="Arial" w:hAnsi="Arial" w:cs="Arial"/>
          <w:sz w:val="22"/>
          <w:szCs w:val="22"/>
        </w:rPr>
        <w:t>Although exposure to traumatic events is relatively common worldwide, only a proportion of individuals go on to develop post-traumatic stress disorder, yet the effects on functioning, wellbeing, and service use can be long lasting (WHO, 2024).</w:t>
      </w:r>
    </w:p>
    <w:p w14:paraId="29C57C7B" w14:textId="65158B0D" w:rsidR="000236F7" w:rsidRDefault="0026200A" w:rsidP="007E75F3">
      <w:pPr>
        <w:spacing w:line="360" w:lineRule="auto"/>
        <w:jc w:val="both"/>
        <w:rPr>
          <w:rFonts w:ascii="Arial" w:hAnsi="Arial" w:cs="Arial"/>
          <w:sz w:val="22"/>
          <w:szCs w:val="22"/>
        </w:rPr>
      </w:pPr>
      <w:r w:rsidRPr="0026200A">
        <w:rPr>
          <w:rFonts w:ascii="Arial" w:hAnsi="Arial" w:cs="Arial"/>
          <w:sz w:val="22"/>
          <w:szCs w:val="22"/>
        </w:rPr>
        <w:t>PTSD was selected for this report because ICD-11 introduced revised diagnostic criteria and a separate diagnosis of Complex PTSD, changes that have important implications for assessment, treatment planning, and rehabilitation practice.</w:t>
      </w:r>
      <w:r>
        <w:rPr>
          <w:rFonts w:ascii="Arial" w:hAnsi="Arial" w:cs="Arial"/>
          <w:sz w:val="22"/>
          <w:szCs w:val="22"/>
        </w:rPr>
        <w:t xml:space="preserve"> </w:t>
      </w:r>
      <w:r w:rsidR="000236F7" w:rsidRPr="000236F7">
        <w:rPr>
          <w:rFonts w:ascii="Arial" w:hAnsi="Arial" w:cs="Arial"/>
          <w:sz w:val="22"/>
          <w:szCs w:val="22"/>
        </w:rPr>
        <w:t>These changes have also sparked continuous clinical and policy controversy (Billings &amp; Nicholls, 2025).</w:t>
      </w:r>
    </w:p>
    <w:p w14:paraId="3A9D2254" w14:textId="1D67606D" w:rsidR="00E90F8F" w:rsidRPr="00E90F8F" w:rsidRDefault="003C5123" w:rsidP="007E75F3">
      <w:pPr>
        <w:spacing w:line="360" w:lineRule="auto"/>
        <w:jc w:val="both"/>
        <w:rPr>
          <w:rFonts w:ascii="Arial" w:hAnsi="Arial" w:cs="Arial"/>
          <w:sz w:val="22"/>
          <w:szCs w:val="22"/>
        </w:rPr>
      </w:pPr>
      <w:r w:rsidRPr="003C5123">
        <w:rPr>
          <w:rFonts w:ascii="Arial" w:hAnsi="Arial" w:cs="Arial"/>
          <w:sz w:val="22"/>
          <w:szCs w:val="22"/>
        </w:rPr>
        <w:t xml:space="preserve">The report is organised into four major sections. The first section </w:t>
      </w:r>
      <w:r w:rsidR="00E90F8F">
        <w:rPr>
          <w:rFonts w:ascii="Arial" w:hAnsi="Arial" w:cs="Arial"/>
          <w:sz w:val="22"/>
          <w:szCs w:val="22"/>
        </w:rPr>
        <w:t>describes</w:t>
      </w:r>
      <w:r w:rsidRPr="003C5123">
        <w:rPr>
          <w:rFonts w:ascii="Arial" w:hAnsi="Arial" w:cs="Arial"/>
          <w:sz w:val="22"/>
          <w:szCs w:val="22"/>
        </w:rPr>
        <w:t xml:space="preserve"> the classification and diagnostic criteria for Post-Traumatic Stress Disorder (PTSD) as outlined in ICD-11.</w:t>
      </w:r>
      <w:r>
        <w:rPr>
          <w:rFonts w:ascii="Arial" w:hAnsi="Arial" w:cs="Arial"/>
          <w:sz w:val="22"/>
          <w:szCs w:val="22"/>
        </w:rPr>
        <w:t xml:space="preserve"> </w:t>
      </w:r>
      <w:r w:rsidR="00E90F8F" w:rsidRPr="00E90F8F">
        <w:rPr>
          <w:rFonts w:ascii="Arial" w:hAnsi="Arial" w:cs="Arial"/>
          <w:sz w:val="22"/>
          <w:szCs w:val="22"/>
        </w:rPr>
        <w:t xml:space="preserve">The second section reviews current treatment and rehabilitation approaches, evaluating their effectiveness and identifying key limitations. The third section discusses major debates and emerging issues surrounding </w:t>
      </w:r>
      <w:r w:rsidR="0026200A">
        <w:rPr>
          <w:rFonts w:ascii="Arial" w:hAnsi="Arial" w:cs="Arial"/>
          <w:sz w:val="22"/>
          <w:szCs w:val="22"/>
        </w:rPr>
        <w:t xml:space="preserve">PTSD </w:t>
      </w:r>
      <w:r w:rsidR="00E90F8F" w:rsidRPr="00E90F8F">
        <w:rPr>
          <w:rFonts w:ascii="Arial" w:hAnsi="Arial" w:cs="Arial"/>
          <w:sz w:val="22"/>
          <w:szCs w:val="22"/>
        </w:rPr>
        <w:t>diagnosis and care. The final section</w:t>
      </w:r>
      <w:r w:rsidR="0026200A">
        <w:rPr>
          <w:rFonts w:ascii="Arial" w:hAnsi="Arial" w:cs="Arial"/>
          <w:sz w:val="22"/>
          <w:szCs w:val="22"/>
        </w:rPr>
        <w:t xml:space="preserve"> highlights</w:t>
      </w:r>
      <w:r w:rsidR="00E90F8F" w:rsidRPr="00E90F8F">
        <w:rPr>
          <w:rFonts w:ascii="Arial" w:hAnsi="Arial" w:cs="Arial"/>
          <w:sz w:val="22"/>
          <w:szCs w:val="22"/>
        </w:rPr>
        <w:t xml:space="preserve"> practical recommendations aimed at strengthening clinical practice and improving service delivery.</w:t>
      </w:r>
    </w:p>
    <w:p w14:paraId="70D343A2" w14:textId="3BE033E5" w:rsidR="004318D0" w:rsidRPr="00B65D73" w:rsidRDefault="004318D0" w:rsidP="00B65D73">
      <w:pPr>
        <w:pStyle w:val="ListParagraph"/>
        <w:numPr>
          <w:ilvl w:val="0"/>
          <w:numId w:val="1"/>
        </w:numPr>
        <w:spacing w:line="360" w:lineRule="auto"/>
        <w:jc w:val="both"/>
        <w:rPr>
          <w:rFonts w:ascii="Arial" w:hAnsi="Arial" w:cs="Arial"/>
          <w:b/>
          <w:bCs/>
          <w:sz w:val="22"/>
          <w:szCs w:val="22"/>
        </w:rPr>
      </w:pPr>
      <w:r w:rsidRPr="00B65D73">
        <w:rPr>
          <w:rFonts w:ascii="Arial" w:hAnsi="Arial" w:cs="Arial"/>
          <w:b/>
          <w:bCs/>
          <w:sz w:val="22"/>
          <w:szCs w:val="22"/>
        </w:rPr>
        <w:t>Classification and Diagnosis</w:t>
      </w:r>
      <w:r w:rsidR="00BA2272" w:rsidRPr="00B65D73">
        <w:rPr>
          <w:rFonts w:ascii="Arial" w:hAnsi="Arial" w:cs="Arial"/>
          <w:b/>
          <w:bCs/>
          <w:sz w:val="22"/>
          <w:szCs w:val="22"/>
        </w:rPr>
        <w:t xml:space="preserve"> of PTSD</w:t>
      </w:r>
    </w:p>
    <w:p w14:paraId="25C30229" w14:textId="34462B09" w:rsidR="0041732C" w:rsidRDefault="009820B1" w:rsidP="007E75F3">
      <w:pPr>
        <w:spacing w:line="360" w:lineRule="auto"/>
        <w:jc w:val="both"/>
        <w:rPr>
          <w:rFonts w:ascii="Arial" w:hAnsi="Arial" w:cs="Arial"/>
          <w:sz w:val="22"/>
          <w:szCs w:val="22"/>
        </w:rPr>
      </w:pPr>
      <w:r w:rsidRPr="009820B1">
        <w:rPr>
          <w:rFonts w:ascii="Arial" w:hAnsi="Arial" w:cs="Arial"/>
          <w:sz w:val="22"/>
          <w:szCs w:val="22"/>
        </w:rPr>
        <w:t xml:space="preserve">Post-Traumatic Stress Disorder (PTSD) is </w:t>
      </w:r>
      <w:r>
        <w:rPr>
          <w:rFonts w:ascii="Arial" w:hAnsi="Arial" w:cs="Arial"/>
          <w:sz w:val="22"/>
          <w:szCs w:val="22"/>
        </w:rPr>
        <w:t xml:space="preserve">classified in </w:t>
      </w:r>
      <w:r w:rsidRPr="009820B1">
        <w:rPr>
          <w:rFonts w:ascii="Arial" w:hAnsi="Arial" w:cs="Arial"/>
          <w:sz w:val="22"/>
          <w:szCs w:val="22"/>
        </w:rPr>
        <w:t xml:space="preserve">ICD-11 Chapter 6: </w:t>
      </w:r>
      <w:r w:rsidRPr="009820B1">
        <w:rPr>
          <w:rFonts w:ascii="Arial" w:hAnsi="Arial" w:cs="Arial"/>
          <w:i/>
          <w:iCs/>
          <w:sz w:val="22"/>
          <w:szCs w:val="22"/>
        </w:rPr>
        <w:t xml:space="preserve">'Mental, </w:t>
      </w:r>
      <w:r w:rsidRPr="009820B1">
        <w:rPr>
          <w:rFonts w:ascii="Arial" w:hAnsi="Arial" w:cs="Arial"/>
          <w:i/>
          <w:iCs/>
          <w:sz w:val="22"/>
          <w:szCs w:val="22"/>
        </w:rPr>
        <w:t>Behavioral</w:t>
      </w:r>
      <w:r w:rsidRPr="009820B1">
        <w:rPr>
          <w:rFonts w:ascii="Arial" w:hAnsi="Arial" w:cs="Arial"/>
          <w:i/>
          <w:iCs/>
          <w:sz w:val="22"/>
          <w:szCs w:val="22"/>
        </w:rPr>
        <w:t xml:space="preserve"> or Neurodevelopmental Disorders'</w:t>
      </w:r>
      <w:r w:rsidRPr="009820B1">
        <w:rPr>
          <w:rFonts w:ascii="Arial" w:hAnsi="Arial" w:cs="Arial"/>
          <w:sz w:val="22"/>
          <w:szCs w:val="22"/>
        </w:rPr>
        <w:t xml:space="preserve"> in the subgroup 'Disorders' specifically linked to stress. Within this structure, the diagnosis of P</w:t>
      </w:r>
      <w:r>
        <w:rPr>
          <w:rFonts w:ascii="Arial" w:hAnsi="Arial" w:cs="Arial"/>
          <w:sz w:val="22"/>
          <w:szCs w:val="22"/>
        </w:rPr>
        <w:t xml:space="preserve">TSD </w:t>
      </w:r>
      <w:r w:rsidRPr="009820B1">
        <w:rPr>
          <w:rFonts w:ascii="Arial" w:hAnsi="Arial" w:cs="Arial"/>
          <w:sz w:val="22"/>
          <w:szCs w:val="22"/>
        </w:rPr>
        <w:t xml:space="preserve">is listed as a separate diagnosis and has the </w:t>
      </w:r>
      <w:r w:rsidRPr="009820B1">
        <w:rPr>
          <w:rFonts w:ascii="Arial" w:hAnsi="Arial" w:cs="Arial"/>
          <w:b/>
          <w:bCs/>
          <w:i/>
          <w:iCs/>
          <w:sz w:val="22"/>
          <w:szCs w:val="22"/>
        </w:rPr>
        <w:t>ICD-11 code</w:t>
      </w:r>
      <w:r w:rsidRPr="009820B1">
        <w:rPr>
          <w:rFonts w:ascii="Arial" w:hAnsi="Arial" w:cs="Arial"/>
          <w:sz w:val="22"/>
          <w:szCs w:val="22"/>
        </w:rPr>
        <w:t xml:space="preserve"> </w:t>
      </w:r>
      <w:r w:rsidRPr="009820B1">
        <w:rPr>
          <w:rFonts w:ascii="Arial" w:hAnsi="Arial" w:cs="Arial"/>
          <w:b/>
          <w:bCs/>
          <w:i/>
          <w:iCs/>
          <w:sz w:val="22"/>
          <w:szCs w:val="22"/>
        </w:rPr>
        <w:t>6B40</w:t>
      </w:r>
      <w:r w:rsidRPr="009820B1">
        <w:rPr>
          <w:rFonts w:ascii="Arial" w:hAnsi="Arial" w:cs="Arial"/>
          <w:sz w:val="22"/>
          <w:szCs w:val="22"/>
        </w:rPr>
        <w:t xml:space="preserve"> (WHO, 2026).</w:t>
      </w:r>
      <w:r>
        <w:rPr>
          <w:rFonts w:ascii="Arial" w:hAnsi="Arial" w:cs="Arial"/>
          <w:sz w:val="22"/>
          <w:szCs w:val="22"/>
        </w:rPr>
        <w:t xml:space="preserve"> </w:t>
      </w:r>
      <w:r w:rsidR="0041732C" w:rsidRPr="0041732C">
        <w:rPr>
          <w:rFonts w:ascii="Arial" w:hAnsi="Arial" w:cs="Arial"/>
          <w:sz w:val="22"/>
          <w:szCs w:val="22"/>
        </w:rPr>
        <w:t>Its placement highlights that PTSD is defined</w:t>
      </w:r>
      <w:r w:rsidR="0041732C">
        <w:rPr>
          <w:rFonts w:ascii="Arial" w:hAnsi="Arial" w:cs="Arial"/>
          <w:sz w:val="22"/>
          <w:szCs w:val="22"/>
        </w:rPr>
        <w:t xml:space="preserve"> by </w:t>
      </w:r>
      <w:r w:rsidR="0041732C" w:rsidRPr="0041732C">
        <w:rPr>
          <w:rFonts w:ascii="Arial" w:hAnsi="Arial" w:cs="Arial"/>
          <w:sz w:val="22"/>
          <w:szCs w:val="22"/>
        </w:rPr>
        <w:t xml:space="preserve">its direct connection to exposure to an extremely threatening or horrific event, rather than </w:t>
      </w:r>
      <w:r w:rsidR="0041732C" w:rsidRPr="0041732C">
        <w:rPr>
          <w:rFonts w:ascii="Arial" w:hAnsi="Arial" w:cs="Arial"/>
          <w:sz w:val="22"/>
          <w:szCs w:val="22"/>
        </w:rPr>
        <w:t>mood</w:t>
      </w:r>
      <w:r w:rsidR="0041732C" w:rsidRPr="0041732C">
        <w:rPr>
          <w:rFonts w:ascii="Arial" w:hAnsi="Arial" w:cs="Arial"/>
          <w:sz w:val="22"/>
          <w:szCs w:val="22"/>
        </w:rPr>
        <w:t xml:space="preserve"> disturbance, psychosis, or neurodevelopmental </w:t>
      </w:r>
      <w:r w:rsidR="0041732C">
        <w:rPr>
          <w:rFonts w:ascii="Arial" w:hAnsi="Arial" w:cs="Arial"/>
          <w:sz w:val="22"/>
          <w:szCs w:val="22"/>
        </w:rPr>
        <w:t>origin</w:t>
      </w:r>
      <w:r w:rsidR="0041732C" w:rsidRPr="0041732C">
        <w:rPr>
          <w:rFonts w:ascii="Arial" w:hAnsi="Arial" w:cs="Arial"/>
          <w:sz w:val="22"/>
          <w:szCs w:val="22"/>
        </w:rPr>
        <w:t xml:space="preserve"> (</w:t>
      </w:r>
      <w:proofErr w:type="spellStart"/>
      <w:r w:rsidR="0041732C" w:rsidRPr="0041732C">
        <w:rPr>
          <w:rFonts w:ascii="Arial" w:hAnsi="Arial" w:cs="Arial"/>
          <w:sz w:val="22"/>
          <w:szCs w:val="22"/>
        </w:rPr>
        <w:t>Maercker</w:t>
      </w:r>
      <w:proofErr w:type="spellEnd"/>
      <w:r w:rsidR="0041732C" w:rsidRPr="0041732C">
        <w:rPr>
          <w:rFonts w:ascii="Arial" w:hAnsi="Arial" w:cs="Arial"/>
          <w:sz w:val="22"/>
          <w:szCs w:val="22"/>
        </w:rPr>
        <w:t xml:space="preserve"> &amp; Eberle, 2022; </w:t>
      </w:r>
      <w:proofErr w:type="spellStart"/>
      <w:r w:rsidR="0041732C" w:rsidRPr="0041732C">
        <w:rPr>
          <w:rFonts w:ascii="Arial" w:hAnsi="Arial" w:cs="Arial"/>
          <w:sz w:val="22"/>
          <w:szCs w:val="22"/>
        </w:rPr>
        <w:t>Karatzias</w:t>
      </w:r>
      <w:proofErr w:type="spellEnd"/>
      <w:r w:rsidR="0041732C" w:rsidRPr="0041732C">
        <w:rPr>
          <w:rFonts w:ascii="Arial" w:hAnsi="Arial" w:cs="Arial"/>
          <w:sz w:val="22"/>
          <w:szCs w:val="22"/>
        </w:rPr>
        <w:t xml:space="preserve"> et al., 2019; </w:t>
      </w:r>
      <w:proofErr w:type="spellStart"/>
      <w:r w:rsidR="0041732C" w:rsidRPr="0041732C">
        <w:rPr>
          <w:rFonts w:ascii="Arial" w:hAnsi="Arial" w:cs="Arial"/>
          <w:sz w:val="22"/>
          <w:szCs w:val="22"/>
        </w:rPr>
        <w:t>Kairyte</w:t>
      </w:r>
      <w:proofErr w:type="spellEnd"/>
      <w:r w:rsidR="0041732C" w:rsidRPr="0041732C">
        <w:rPr>
          <w:rFonts w:ascii="Arial" w:hAnsi="Arial" w:cs="Arial"/>
          <w:sz w:val="22"/>
          <w:szCs w:val="22"/>
        </w:rPr>
        <w:t xml:space="preserve"> et al., 2022).</w:t>
      </w:r>
      <w:r w:rsidR="0041732C">
        <w:rPr>
          <w:rFonts w:ascii="Arial" w:hAnsi="Arial" w:cs="Arial"/>
          <w:sz w:val="22"/>
          <w:szCs w:val="22"/>
        </w:rPr>
        <w:t xml:space="preserve"> </w:t>
      </w:r>
      <w:r w:rsidR="003A4B23" w:rsidRPr="003A4B23">
        <w:rPr>
          <w:rFonts w:ascii="Arial" w:hAnsi="Arial" w:cs="Arial"/>
          <w:sz w:val="22"/>
          <w:szCs w:val="22"/>
        </w:rPr>
        <w:t>The ICD-11 grouping now has trauma-related disorders separated from anxiety and mood disorders for the purposes of better diagnostics and clinical decision making (WHO, 2026).</w:t>
      </w:r>
    </w:p>
    <w:p w14:paraId="7FF8A1D0" w14:textId="0D638FCE" w:rsidR="003A4B23" w:rsidRDefault="003A4B23" w:rsidP="007E75F3">
      <w:pPr>
        <w:spacing w:line="360" w:lineRule="auto"/>
        <w:jc w:val="both"/>
        <w:rPr>
          <w:rFonts w:ascii="Arial" w:hAnsi="Arial" w:cs="Arial"/>
          <w:sz w:val="22"/>
          <w:szCs w:val="22"/>
        </w:rPr>
      </w:pPr>
      <w:r w:rsidRPr="003A4B23">
        <w:rPr>
          <w:rFonts w:ascii="Arial" w:hAnsi="Arial" w:cs="Arial"/>
          <w:sz w:val="22"/>
          <w:szCs w:val="22"/>
        </w:rPr>
        <w:t>According to ICD-11, the diagnosis of a patient with a post-traumatic stress disorder is determined by three obligatory symptom clusters.</w:t>
      </w:r>
      <w:r>
        <w:rPr>
          <w:rFonts w:ascii="Arial" w:hAnsi="Arial" w:cs="Arial"/>
          <w:sz w:val="22"/>
          <w:szCs w:val="22"/>
        </w:rPr>
        <w:t xml:space="preserve"> </w:t>
      </w:r>
      <w:r w:rsidRPr="003A4B23">
        <w:rPr>
          <w:rFonts w:ascii="Arial" w:hAnsi="Arial" w:cs="Arial"/>
          <w:sz w:val="22"/>
          <w:szCs w:val="22"/>
        </w:rPr>
        <w:t xml:space="preserve">First is </w:t>
      </w:r>
      <w:r w:rsidRPr="003A4B23">
        <w:rPr>
          <w:rFonts w:ascii="Arial" w:hAnsi="Arial" w:cs="Arial"/>
          <w:i/>
          <w:iCs/>
          <w:sz w:val="22"/>
          <w:szCs w:val="22"/>
        </w:rPr>
        <w:t>‘</w:t>
      </w:r>
      <w:r w:rsidRPr="003A4B23">
        <w:rPr>
          <w:rFonts w:ascii="Arial" w:hAnsi="Arial" w:cs="Arial"/>
          <w:i/>
          <w:iCs/>
          <w:sz w:val="22"/>
          <w:szCs w:val="22"/>
        </w:rPr>
        <w:t>re-experiencing</w:t>
      </w:r>
      <w:r w:rsidRPr="003A4B23">
        <w:rPr>
          <w:rFonts w:ascii="Arial" w:hAnsi="Arial" w:cs="Arial"/>
          <w:i/>
          <w:iCs/>
          <w:sz w:val="22"/>
          <w:szCs w:val="22"/>
        </w:rPr>
        <w:t>’</w:t>
      </w:r>
      <w:r w:rsidRPr="003A4B23">
        <w:rPr>
          <w:rFonts w:ascii="Arial" w:hAnsi="Arial" w:cs="Arial"/>
          <w:sz w:val="22"/>
          <w:szCs w:val="22"/>
        </w:rPr>
        <w:t xml:space="preserve"> the traumatic event in the present, usually through </w:t>
      </w:r>
      <w:r>
        <w:rPr>
          <w:rFonts w:ascii="Arial" w:hAnsi="Arial" w:cs="Arial"/>
          <w:sz w:val="22"/>
          <w:szCs w:val="22"/>
        </w:rPr>
        <w:t>intrusive</w:t>
      </w:r>
      <w:r w:rsidRPr="003A4B23">
        <w:rPr>
          <w:rFonts w:ascii="Arial" w:hAnsi="Arial" w:cs="Arial"/>
          <w:sz w:val="22"/>
          <w:szCs w:val="22"/>
        </w:rPr>
        <w:t xml:space="preserve"> memories, flashbacks, or trauma-based dreams and associated strong emotional or physiological reactions.</w:t>
      </w:r>
      <w:r>
        <w:rPr>
          <w:rFonts w:ascii="Arial" w:hAnsi="Arial" w:cs="Arial"/>
          <w:sz w:val="22"/>
          <w:szCs w:val="22"/>
        </w:rPr>
        <w:t xml:space="preserve"> </w:t>
      </w:r>
      <w:r w:rsidRPr="003A4B23">
        <w:rPr>
          <w:rFonts w:ascii="Arial" w:hAnsi="Arial" w:cs="Arial"/>
          <w:sz w:val="22"/>
          <w:szCs w:val="22"/>
        </w:rPr>
        <w:t xml:space="preserve">Second is </w:t>
      </w:r>
      <w:r w:rsidRPr="003A4B23">
        <w:rPr>
          <w:rFonts w:ascii="Arial" w:hAnsi="Arial" w:cs="Arial"/>
          <w:i/>
          <w:iCs/>
          <w:sz w:val="22"/>
          <w:szCs w:val="22"/>
        </w:rPr>
        <w:t>‘</w:t>
      </w:r>
      <w:r w:rsidRPr="003A4B23">
        <w:rPr>
          <w:rFonts w:ascii="Arial" w:hAnsi="Arial" w:cs="Arial"/>
          <w:i/>
          <w:iCs/>
          <w:sz w:val="22"/>
          <w:szCs w:val="22"/>
        </w:rPr>
        <w:t>avoidance</w:t>
      </w:r>
      <w:r w:rsidRPr="003A4B23">
        <w:rPr>
          <w:rFonts w:ascii="Arial" w:hAnsi="Arial" w:cs="Arial"/>
          <w:i/>
          <w:iCs/>
          <w:sz w:val="22"/>
          <w:szCs w:val="22"/>
        </w:rPr>
        <w:t>’</w:t>
      </w:r>
      <w:r w:rsidRPr="003A4B23">
        <w:rPr>
          <w:rFonts w:ascii="Arial" w:hAnsi="Arial" w:cs="Arial"/>
          <w:sz w:val="22"/>
          <w:szCs w:val="22"/>
        </w:rPr>
        <w:t>, which involves ongoing efforts to avoid thoughts, memories, people or situations that serve as reminders of the trauma</w:t>
      </w:r>
      <w:r>
        <w:rPr>
          <w:rFonts w:ascii="Arial" w:hAnsi="Arial" w:cs="Arial"/>
          <w:sz w:val="22"/>
          <w:szCs w:val="22"/>
        </w:rPr>
        <w:t xml:space="preserve">. </w:t>
      </w:r>
      <w:r w:rsidRPr="003A4B23">
        <w:rPr>
          <w:rFonts w:ascii="Arial" w:hAnsi="Arial" w:cs="Arial"/>
          <w:sz w:val="22"/>
          <w:szCs w:val="22"/>
        </w:rPr>
        <w:t xml:space="preserve">Third is a constant feeling of </w:t>
      </w:r>
      <w:r>
        <w:rPr>
          <w:rFonts w:ascii="Arial" w:hAnsi="Arial" w:cs="Arial"/>
          <w:sz w:val="22"/>
          <w:szCs w:val="22"/>
        </w:rPr>
        <w:t>current threat</w:t>
      </w:r>
      <w:r w:rsidRPr="003A4B23">
        <w:rPr>
          <w:rFonts w:ascii="Arial" w:hAnsi="Arial" w:cs="Arial"/>
          <w:sz w:val="22"/>
          <w:szCs w:val="22"/>
        </w:rPr>
        <w:t xml:space="preserve"> demonstrated by hypervigilance or an exaggerated startle response (Knefel and Lueger-Schuster 2013; Stein et al. 2014; </w:t>
      </w:r>
      <w:proofErr w:type="spellStart"/>
      <w:r w:rsidRPr="003A4B23">
        <w:rPr>
          <w:rFonts w:ascii="Arial" w:hAnsi="Arial" w:cs="Arial"/>
          <w:sz w:val="22"/>
          <w:szCs w:val="22"/>
        </w:rPr>
        <w:t>Karatzias</w:t>
      </w:r>
      <w:proofErr w:type="spellEnd"/>
      <w:r w:rsidRPr="003A4B23">
        <w:rPr>
          <w:rFonts w:ascii="Arial" w:hAnsi="Arial" w:cs="Arial"/>
          <w:sz w:val="22"/>
          <w:szCs w:val="22"/>
        </w:rPr>
        <w:t xml:space="preserve"> et al. 2018; &amp; WHO, 2026).</w:t>
      </w:r>
      <w:r>
        <w:rPr>
          <w:rFonts w:ascii="Arial" w:hAnsi="Arial" w:cs="Arial"/>
          <w:sz w:val="22"/>
          <w:szCs w:val="22"/>
        </w:rPr>
        <w:t xml:space="preserve"> </w:t>
      </w:r>
      <w:r w:rsidRPr="003A4B23">
        <w:rPr>
          <w:rFonts w:ascii="Arial" w:hAnsi="Arial" w:cs="Arial"/>
          <w:sz w:val="22"/>
          <w:szCs w:val="22"/>
        </w:rPr>
        <w:t>For</w:t>
      </w:r>
      <w:r>
        <w:rPr>
          <w:rFonts w:ascii="Arial" w:hAnsi="Arial" w:cs="Arial"/>
          <w:sz w:val="22"/>
          <w:szCs w:val="22"/>
        </w:rPr>
        <w:t xml:space="preserve"> </w:t>
      </w:r>
      <w:r w:rsidRPr="003A4B23">
        <w:rPr>
          <w:rFonts w:ascii="Arial" w:hAnsi="Arial" w:cs="Arial"/>
          <w:sz w:val="22"/>
          <w:szCs w:val="22"/>
        </w:rPr>
        <w:t xml:space="preserve">diagnosis, these symptoms </w:t>
      </w:r>
      <w:r w:rsidRPr="003A4B23">
        <w:rPr>
          <w:rFonts w:ascii="Arial" w:hAnsi="Arial" w:cs="Arial"/>
          <w:sz w:val="22"/>
          <w:szCs w:val="22"/>
        </w:rPr>
        <w:t>must</w:t>
      </w:r>
      <w:r w:rsidRPr="003A4B23">
        <w:rPr>
          <w:rFonts w:ascii="Arial" w:hAnsi="Arial" w:cs="Arial"/>
          <w:sz w:val="22"/>
          <w:szCs w:val="22"/>
        </w:rPr>
        <w:t xml:space="preserve"> last for several weeks and </w:t>
      </w:r>
      <w:r w:rsidR="006A3A94" w:rsidRPr="003A4B23">
        <w:rPr>
          <w:rFonts w:ascii="Arial" w:hAnsi="Arial" w:cs="Arial"/>
          <w:sz w:val="22"/>
          <w:szCs w:val="22"/>
        </w:rPr>
        <w:t>must</w:t>
      </w:r>
      <w:r w:rsidRPr="003A4B23">
        <w:rPr>
          <w:rFonts w:ascii="Arial" w:hAnsi="Arial" w:cs="Arial"/>
          <w:sz w:val="22"/>
          <w:szCs w:val="22"/>
        </w:rPr>
        <w:t xml:space="preserve"> cause significant impairment in personal, social, or occupational functioning (Du et al, 2022 &amp; Miao et al. 2018).</w:t>
      </w:r>
      <w:r>
        <w:rPr>
          <w:rFonts w:ascii="Arial" w:hAnsi="Arial" w:cs="Arial"/>
          <w:sz w:val="22"/>
          <w:szCs w:val="22"/>
        </w:rPr>
        <w:t xml:space="preserve"> </w:t>
      </w:r>
      <w:r w:rsidRPr="003A4B23">
        <w:rPr>
          <w:rFonts w:ascii="Arial" w:hAnsi="Arial" w:cs="Arial"/>
          <w:sz w:val="22"/>
          <w:szCs w:val="22"/>
        </w:rPr>
        <w:t>ICD-11 does not base the diagnosis solely on symptoms. It also requires the presence of clear evidence that those symptoms are impacting the day-to-day functioning of the person.</w:t>
      </w:r>
    </w:p>
    <w:p w14:paraId="6D027808" w14:textId="3187A5CA" w:rsidR="006A3A94" w:rsidRDefault="006A3A94" w:rsidP="007E75F3">
      <w:pPr>
        <w:spacing w:line="360" w:lineRule="auto"/>
        <w:jc w:val="both"/>
        <w:rPr>
          <w:rFonts w:ascii="Arial" w:hAnsi="Arial" w:cs="Arial"/>
          <w:sz w:val="22"/>
          <w:szCs w:val="22"/>
        </w:rPr>
      </w:pPr>
      <w:r w:rsidRPr="006A3A94">
        <w:rPr>
          <w:rFonts w:ascii="Arial" w:hAnsi="Arial" w:cs="Arial"/>
          <w:sz w:val="22"/>
          <w:szCs w:val="22"/>
        </w:rPr>
        <w:t>The diagnostic process in practice usually combines the use of a structured clinical interview, detailed trauma history, and validated screening measures of post-traumatic stress disorder (Meffert et al., 2024).</w:t>
      </w:r>
      <w:r>
        <w:rPr>
          <w:rFonts w:ascii="Arial" w:hAnsi="Arial" w:cs="Arial"/>
          <w:sz w:val="22"/>
          <w:szCs w:val="22"/>
        </w:rPr>
        <w:t xml:space="preserve"> </w:t>
      </w:r>
      <w:r w:rsidRPr="006A3A94">
        <w:rPr>
          <w:rFonts w:ascii="Arial" w:hAnsi="Arial" w:cs="Arial"/>
          <w:sz w:val="22"/>
          <w:szCs w:val="22"/>
        </w:rPr>
        <w:t>Clinicians are expected to ensure that the triggering event meets the threshold criteria set out in ICD-11 of an extremely threatening or catastrophic stressor (Lechner-</w:t>
      </w:r>
      <w:proofErr w:type="spellStart"/>
      <w:r w:rsidRPr="006A3A94">
        <w:rPr>
          <w:rFonts w:ascii="Arial" w:hAnsi="Arial" w:cs="Arial"/>
          <w:sz w:val="22"/>
          <w:szCs w:val="22"/>
        </w:rPr>
        <w:t>Meichsner</w:t>
      </w:r>
      <w:proofErr w:type="spellEnd"/>
      <w:r w:rsidRPr="006A3A94">
        <w:rPr>
          <w:rFonts w:ascii="Arial" w:hAnsi="Arial" w:cs="Arial"/>
          <w:sz w:val="22"/>
          <w:szCs w:val="22"/>
        </w:rPr>
        <w:t xml:space="preserve"> &amp; Steil, 2021). This requirement is intended to avoid over-extending the diagnosis to less serious stress experiences, and to </w:t>
      </w:r>
      <w:r w:rsidRPr="00F85CCF">
        <w:rPr>
          <w:rFonts w:ascii="Arial" w:hAnsi="Arial" w:cs="Arial"/>
          <w:sz w:val="22"/>
          <w:szCs w:val="22"/>
        </w:rPr>
        <w:t>maintain consistency across services.</w:t>
      </w:r>
    </w:p>
    <w:p w14:paraId="15BB2B70" w14:textId="3444B845" w:rsidR="006A3A94" w:rsidRDefault="006A3A94" w:rsidP="007E75F3">
      <w:pPr>
        <w:spacing w:line="360" w:lineRule="auto"/>
        <w:jc w:val="both"/>
        <w:rPr>
          <w:rFonts w:ascii="Arial" w:hAnsi="Arial" w:cs="Arial"/>
          <w:sz w:val="22"/>
          <w:szCs w:val="22"/>
        </w:rPr>
      </w:pPr>
      <w:r w:rsidRPr="006A3A94">
        <w:rPr>
          <w:rFonts w:ascii="Arial" w:hAnsi="Arial" w:cs="Arial"/>
          <w:sz w:val="22"/>
          <w:szCs w:val="22"/>
        </w:rPr>
        <w:t>ICD-11 is a significant change from the classification presented in ICD-10. ICD-10 included the description of a broader and more symptom-heavy description of the disorder, with other features such as emotional numbing and general indicators of distress (WHO, 2016).</w:t>
      </w:r>
      <w:r>
        <w:rPr>
          <w:rFonts w:ascii="Arial" w:hAnsi="Arial" w:cs="Arial"/>
          <w:sz w:val="22"/>
          <w:szCs w:val="22"/>
        </w:rPr>
        <w:t xml:space="preserve"> </w:t>
      </w:r>
      <w:r w:rsidRPr="006A3A94">
        <w:rPr>
          <w:rFonts w:ascii="Arial" w:hAnsi="Arial" w:cs="Arial"/>
          <w:sz w:val="22"/>
          <w:szCs w:val="22"/>
        </w:rPr>
        <w:t>ICD-11 restricts the criteria to the core three clusters only. Another major change is that ICD-11 in</w:t>
      </w:r>
      <w:r>
        <w:rPr>
          <w:rFonts w:ascii="Arial" w:hAnsi="Arial" w:cs="Arial"/>
          <w:sz w:val="22"/>
          <w:szCs w:val="22"/>
        </w:rPr>
        <w:t>troduces</w:t>
      </w:r>
      <w:r w:rsidRPr="006A3A94">
        <w:rPr>
          <w:rFonts w:ascii="Arial" w:hAnsi="Arial" w:cs="Arial"/>
          <w:sz w:val="22"/>
          <w:szCs w:val="22"/>
        </w:rPr>
        <w:t xml:space="preserve"> Complex PTSD </w:t>
      </w:r>
      <w:r w:rsidRPr="006A3A94">
        <w:rPr>
          <w:rFonts w:ascii="Arial" w:hAnsi="Arial" w:cs="Arial"/>
          <w:b/>
          <w:bCs/>
          <w:i/>
          <w:iCs/>
          <w:sz w:val="22"/>
          <w:szCs w:val="22"/>
        </w:rPr>
        <w:t>(6B41)</w:t>
      </w:r>
      <w:r w:rsidRPr="006A3A94">
        <w:rPr>
          <w:rFonts w:ascii="Arial" w:hAnsi="Arial" w:cs="Arial"/>
          <w:sz w:val="22"/>
          <w:szCs w:val="22"/>
        </w:rPr>
        <w:t xml:space="preserve"> as a distinct diagnosis instead of a subtype (WHO, 2026).</w:t>
      </w:r>
      <w:r w:rsidR="00352781">
        <w:rPr>
          <w:rFonts w:ascii="Arial" w:hAnsi="Arial" w:cs="Arial"/>
          <w:sz w:val="22"/>
          <w:szCs w:val="22"/>
        </w:rPr>
        <w:t xml:space="preserve"> </w:t>
      </w:r>
      <w:r w:rsidR="00352781" w:rsidRPr="00352781">
        <w:rPr>
          <w:rFonts w:ascii="Arial" w:hAnsi="Arial" w:cs="Arial"/>
          <w:sz w:val="22"/>
          <w:szCs w:val="22"/>
        </w:rPr>
        <w:t xml:space="preserve">Complex </w:t>
      </w:r>
      <w:r w:rsidR="00352781">
        <w:rPr>
          <w:rFonts w:ascii="Arial" w:hAnsi="Arial" w:cs="Arial"/>
          <w:sz w:val="22"/>
          <w:szCs w:val="22"/>
        </w:rPr>
        <w:t>PTSD</w:t>
      </w:r>
      <w:r w:rsidR="00352781" w:rsidRPr="00352781">
        <w:rPr>
          <w:rFonts w:ascii="Arial" w:hAnsi="Arial" w:cs="Arial"/>
          <w:sz w:val="22"/>
          <w:szCs w:val="22"/>
        </w:rPr>
        <w:t xml:space="preserve"> involves the essential symptoms of P</w:t>
      </w:r>
      <w:r w:rsidR="00352781">
        <w:rPr>
          <w:rFonts w:ascii="Arial" w:hAnsi="Arial" w:cs="Arial"/>
          <w:sz w:val="22"/>
          <w:szCs w:val="22"/>
        </w:rPr>
        <w:t xml:space="preserve">TSD </w:t>
      </w:r>
      <w:r w:rsidR="00352781" w:rsidRPr="00352781">
        <w:rPr>
          <w:rFonts w:ascii="Arial" w:hAnsi="Arial" w:cs="Arial"/>
          <w:b/>
          <w:bCs/>
          <w:sz w:val="22"/>
          <w:szCs w:val="22"/>
        </w:rPr>
        <w:t>(</w:t>
      </w:r>
      <w:r w:rsidR="00352781" w:rsidRPr="00352781">
        <w:rPr>
          <w:rFonts w:ascii="Arial" w:hAnsi="Arial" w:cs="Arial"/>
          <w:b/>
          <w:bCs/>
          <w:i/>
          <w:iCs/>
          <w:sz w:val="22"/>
          <w:szCs w:val="22"/>
        </w:rPr>
        <w:t>6B40</w:t>
      </w:r>
      <w:r w:rsidR="00352781" w:rsidRPr="00352781">
        <w:rPr>
          <w:rFonts w:ascii="Arial" w:hAnsi="Arial" w:cs="Arial"/>
          <w:b/>
          <w:bCs/>
          <w:i/>
          <w:iCs/>
          <w:sz w:val="22"/>
          <w:szCs w:val="22"/>
        </w:rPr>
        <w:t>)</w:t>
      </w:r>
      <w:r w:rsidR="00352781" w:rsidRPr="00352781">
        <w:rPr>
          <w:rFonts w:ascii="Arial" w:hAnsi="Arial" w:cs="Arial"/>
          <w:i/>
          <w:iCs/>
          <w:sz w:val="22"/>
          <w:szCs w:val="22"/>
        </w:rPr>
        <w:t xml:space="preserve"> </w:t>
      </w:r>
      <w:r w:rsidR="00352781" w:rsidRPr="00352781">
        <w:rPr>
          <w:rFonts w:ascii="Arial" w:hAnsi="Arial" w:cs="Arial"/>
          <w:sz w:val="22"/>
          <w:szCs w:val="22"/>
        </w:rPr>
        <w:t>along with disturbances in self-</w:t>
      </w:r>
      <w:proofErr w:type="spellStart"/>
      <w:r w:rsidR="00352781" w:rsidRPr="00352781">
        <w:rPr>
          <w:rFonts w:ascii="Arial" w:hAnsi="Arial" w:cs="Arial"/>
          <w:sz w:val="22"/>
          <w:szCs w:val="22"/>
        </w:rPr>
        <w:t>organisation</w:t>
      </w:r>
      <w:proofErr w:type="spellEnd"/>
      <w:r w:rsidR="00352781" w:rsidRPr="00352781">
        <w:rPr>
          <w:rFonts w:ascii="Arial" w:hAnsi="Arial" w:cs="Arial"/>
          <w:sz w:val="22"/>
          <w:szCs w:val="22"/>
        </w:rPr>
        <w:t xml:space="preserve"> </w:t>
      </w:r>
      <w:r w:rsidR="00352781">
        <w:rPr>
          <w:rFonts w:ascii="Arial" w:hAnsi="Arial" w:cs="Arial"/>
          <w:sz w:val="22"/>
          <w:szCs w:val="22"/>
        </w:rPr>
        <w:t xml:space="preserve">such as </w:t>
      </w:r>
      <w:r w:rsidR="00352781" w:rsidRPr="00352781">
        <w:rPr>
          <w:rFonts w:ascii="Arial" w:hAnsi="Arial" w:cs="Arial"/>
          <w:sz w:val="22"/>
          <w:szCs w:val="22"/>
        </w:rPr>
        <w:t>difficulty in regulation, negative self-concept and relational disturbance (</w:t>
      </w:r>
      <w:proofErr w:type="spellStart"/>
      <w:r w:rsidR="00352781" w:rsidRPr="00352781">
        <w:rPr>
          <w:rFonts w:ascii="Arial" w:hAnsi="Arial" w:cs="Arial"/>
          <w:sz w:val="22"/>
          <w:szCs w:val="22"/>
        </w:rPr>
        <w:t>Maercker</w:t>
      </w:r>
      <w:proofErr w:type="spellEnd"/>
      <w:r w:rsidR="00352781" w:rsidRPr="00352781">
        <w:rPr>
          <w:rFonts w:ascii="Arial" w:hAnsi="Arial" w:cs="Arial"/>
          <w:sz w:val="22"/>
          <w:szCs w:val="22"/>
        </w:rPr>
        <w:t xml:space="preserve"> et al., 2022).</w:t>
      </w:r>
      <w:r w:rsidR="00352781">
        <w:rPr>
          <w:rFonts w:ascii="Arial" w:hAnsi="Arial" w:cs="Arial"/>
          <w:sz w:val="22"/>
          <w:szCs w:val="22"/>
        </w:rPr>
        <w:t xml:space="preserve"> </w:t>
      </w:r>
      <w:r w:rsidR="00352781" w:rsidRPr="00352781">
        <w:rPr>
          <w:rFonts w:ascii="Arial" w:hAnsi="Arial" w:cs="Arial"/>
          <w:sz w:val="22"/>
          <w:szCs w:val="22"/>
        </w:rPr>
        <w:t>This structur</w:t>
      </w:r>
      <w:r w:rsidR="00352781">
        <w:rPr>
          <w:rFonts w:ascii="Arial" w:hAnsi="Arial" w:cs="Arial"/>
          <w:sz w:val="22"/>
          <w:szCs w:val="22"/>
        </w:rPr>
        <w:t>al</w:t>
      </w:r>
      <w:r w:rsidR="00352781" w:rsidRPr="00352781">
        <w:rPr>
          <w:rFonts w:ascii="Arial" w:hAnsi="Arial" w:cs="Arial"/>
          <w:sz w:val="22"/>
          <w:szCs w:val="22"/>
        </w:rPr>
        <w:t xml:space="preserve"> change has direct implications for treatment planning and pathways for services.</w:t>
      </w:r>
    </w:p>
    <w:p w14:paraId="6C1DEAC1" w14:textId="0230A7B5" w:rsidR="00352781" w:rsidRDefault="00352781" w:rsidP="007E75F3">
      <w:pPr>
        <w:spacing w:line="360" w:lineRule="auto"/>
        <w:jc w:val="both"/>
        <w:rPr>
          <w:rFonts w:ascii="Arial" w:hAnsi="Arial" w:cs="Arial"/>
          <w:sz w:val="22"/>
          <w:szCs w:val="22"/>
        </w:rPr>
      </w:pPr>
      <w:r w:rsidRPr="00352781">
        <w:rPr>
          <w:rFonts w:ascii="Arial" w:hAnsi="Arial" w:cs="Arial"/>
          <w:sz w:val="22"/>
          <w:szCs w:val="22"/>
        </w:rPr>
        <w:t xml:space="preserve">The terminology used in ICD-11 </w:t>
      </w:r>
      <w:r>
        <w:rPr>
          <w:rFonts w:ascii="Arial" w:hAnsi="Arial" w:cs="Arial"/>
          <w:sz w:val="22"/>
          <w:szCs w:val="22"/>
        </w:rPr>
        <w:t>often</w:t>
      </w:r>
      <w:r w:rsidRPr="00352781">
        <w:rPr>
          <w:rFonts w:ascii="Arial" w:hAnsi="Arial" w:cs="Arial"/>
          <w:sz w:val="22"/>
          <w:szCs w:val="22"/>
        </w:rPr>
        <w:t xml:space="preserve"> labels </w:t>
      </w:r>
      <w:r>
        <w:rPr>
          <w:rFonts w:ascii="Arial" w:hAnsi="Arial" w:cs="Arial"/>
          <w:sz w:val="22"/>
          <w:szCs w:val="22"/>
        </w:rPr>
        <w:t>PTSD</w:t>
      </w:r>
      <w:r w:rsidRPr="00352781">
        <w:rPr>
          <w:rFonts w:ascii="Arial" w:hAnsi="Arial" w:cs="Arial"/>
          <w:sz w:val="22"/>
          <w:szCs w:val="22"/>
        </w:rPr>
        <w:t xml:space="preserve"> as a </w:t>
      </w:r>
      <w:r w:rsidRPr="00352781">
        <w:rPr>
          <w:rFonts w:ascii="Arial" w:hAnsi="Arial" w:cs="Arial"/>
          <w:i/>
          <w:iCs/>
          <w:sz w:val="22"/>
          <w:szCs w:val="22"/>
        </w:rPr>
        <w:t>"disorder."</w:t>
      </w:r>
      <w:r w:rsidRPr="00352781">
        <w:rPr>
          <w:rFonts w:ascii="Arial" w:hAnsi="Arial" w:cs="Arial"/>
          <w:sz w:val="22"/>
          <w:szCs w:val="22"/>
        </w:rPr>
        <w:t xml:space="preserve"> (WHO, 2026). </w:t>
      </w:r>
      <w:r w:rsidR="00C128B5" w:rsidRPr="00C128B5">
        <w:rPr>
          <w:rFonts w:ascii="Arial" w:hAnsi="Arial" w:cs="Arial"/>
          <w:sz w:val="22"/>
          <w:szCs w:val="22"/>
        </w:rPr>
        <w:t>This wording is important in classification practice because it indicates a recognised diagnostic entity characterised by a pattern of symptoms and functional impairment, as opposed to a temporary reaction or a medical disease state only.</w:t>
      </w:r>
      <w:r w:rsidR="00C128B5">
        <w:rPr>
          <w:rFonts w:ascii="Arial" w:hAnsi="Arial" w:cs="Arial"/>
          <w:sz w:val="22"/>
          <w:szCs w:val="22"/>
        </w:rPr>
        <w:t xml:space="preserve"> </w:t>
      </w:r>
      <w:r w:rsidR="00C128B5" w:rsidRPr="00C128B5">
        <w:rPr>
          <w:rFonts w:ascii="Arial" w:hAnsi="Arial" w:cs="Arial"/>
          <w:sz w:val="22"/>
          <w:szCs w:val="22"/>
        </w:rPr>
        <w:t xml:space="preserve">The term facilitates </w:t>
      </w:r>
      <w:proofErr w:type="spellStart"/>
      <w:r w:rsidR="00C128B5" w:rsidRPr="00C128B5">
        <w:rPr>
          <w:rFonts w:ascii="Arial" w:hAnsi="Arial" w:cs="Arial"/>
          <w:sz w:val="22"/>
          <w:szCs w:val="22"/>
        </w:rPr>
        <w:t>standardisation</w:t>
      </w:r>
      <w:proofErr w:type="spellEnd"/>
      <w:r w:rsidR="00C128B5" w:rsidRPr="00C128B5">
        <w:rPr>
          <w:rFonts w:ascii="Arial" w:hAnsi="Arial" w:cs="Arial"/>
          <w:sz w:val="22"/>
          <w:szCs w:val="22"/>
        </w:rPr>
        <w:t xml:space="preserve"> across mental health classification systems and plays a role in determining eligibility for clinical services, insurance coverage and policy frameworks. Clear diagnostic language also reduces ambiguity in multi-professional environments where classification is the key to access to care and rehabilitation support (Lundqvist et al., 2024).</w:t>
      </w:r>
    </w:p>
    <w:p w14:paraId="1DD37551" w14:textId="77777777" w:rsidR="00C128B5" w:rsidRDefault="00C128B5" w:rsidP="007E75F3">
      <w:pPr>
        <w:spacing w:line="360" w:lineRule="auto"/>
        <w:jc w:val="both"/>
        <w:rPr>
          <w:rFonts w:ascii="Arial" w:hAnsi="Arial" w:cs="Arial"/>
          <w:sz w:val="22"/>
          <w:szCs w:val="22"/>
        </w:rPr>
      </w:pPr>
    </w:p>
    <w:p w14:paraId="7AA83950" w14:textId="77777777" w:rsidR="00C128B5" w:rsidRDefault="00C128B5" w:rsidP="007E75F3">
      <w:pPr>
        <w:spacing w:line="360" w:lineRule="auto"/>
        <w:jc w:val="both"/>
        <w:rPr>
          <w:rFonts w:ascii="Arial" w:hAnsi="Arial" w:cs="Arial"/>
          <w:sz w:val="22"/>
          <w:szCs w:val="22"/>
        </w:rPr>
      </w:pPr>
    </w:p>
    <w:p w14:paraId="303BC884" w14:textId="77777777" w:rsidR="00C128B5" w:rsidRDefault="00C128B5" w:rsidP="007E75F3">
      <w:pPr>
        <w:spacing w:line="360" w:lineRule="auto"/>
        <w:jc w:val="both"/>
        <w:rPr>
          <w:rFonts w:ascii="Arial" w:hAnsi="Arial" w:cs="Arial"/>
          <w:sz w:val="22"/>
          <w:szCs w:val="22"/>
        </w:rPr>
      </w:pPr>
    </w:p>
    <w:p w14:paraId="11B57409" w14:textId="55898523" w:rsidR="00BA2272" w:rsidRPr="00B0005E" w:rsidRDefault="004318D0" w:rsidP="007E75F3">
      <w:pPr>
        <w:pStyle w:val="ListParagraph"/>
        <w:numPr>
          <w:ilvl w:val="0"/>
          <w:numId w:val="1"/>
        </w:numPr>
        <w:spacing w:line="360" w:lineRule="auto"/>
        <w:jc w:val="both"/>
        <w:rPr>
          <w:rFonts w:ascii="Arial" w:hAnsi="Arial" w:cs="Arial"/>
          <w:b/>
          <w:bCs/>
          <w:sz w:val="22"/>
          <w:szCs w:val="22"/>
        </w:rPr>
      </w:pPr>
      <w:r w:rsidRPr="00B0005E">
        <w:rPr>
          <w:rFonts w:ascii="Arial" w:hAnsi="Arial" w:cs="Arial"/>
          <w:b/>
          <w:bCs/>
          <w:sz w:val="22"/>
          <w:szCs w:val="22"/>
        </w:rPr>
        <w:t>Treatment and Rehabilitation</w:t>
      </w:r>
      <w:r w:rsidR="00BA2272" w:rsidRPr="00B0005E">
        <w:rPr>
          <w:rFonts w:ascii="Arial" w:hAnsi="Arial" w:cs="Arial"/>
          <w:b/>
          <w:bCs/>
          <w:sz w:val="22"/>
          <w:szCs w:val="22"/>
        </w:rPr>
        <w:t xml:space="preserve"> of PTSD</w:t>
      </w:r>
    </w:p>
    <w:p w14:paraId="6C5E1307" w14:textId="7B7EA9E3" w:rsidR="00C128B5" w:rsidRDefault="00C128B5" w:rsidP="007E75F3">
      <w:pPr>
        <w:spacing w:line="360" w:lineRule="auto"/>
        <w:jc w:val="both"/>
        <w:rPr>
          <w:rFonts w:ascii="Arial" w:hAnsi="Arial" w:cs="Arial"/>
          <w:sz w:val="22"/>
          <w:szCs w:val="22"/>
        </w:rPr>
      </w:pPr>
      <w:r w:rsidRPr="00C128B5">
        <w:rPr>
          <w:rFonts w:ascii="Arial" w:hAnsi="Arial" w:cs="Arial"/>
          <w:sz w:val="22"/>
          <w:szCs w:val="22"/>
        </w:rPr>
        <w:t xml:space="preserve">Treatment for </w:t>
      </w:r>
      <w:r>
        <w:rPr>
          <w:rFonts w:ascii="Arial" w:hAnsi="Arial" w:cs="Arial"/>
          <w:sz w:val="22"/>
          <w:szCs w:val="22"/>
        </w:rPr>
        <w:t>PTSD</w:t>
      </w:r>
      <w:r w:rsidRPr="00C128B5">
        <w:rPr>
          <w:rFonts w:ascii="Arial" w:hAnsi="Arial" w:cs="Arial"/>
          <w:sz w:val="22"/>
          <w:szCs w:val="22"/>
        </w:rPr>
        <w:t xml:space="preserve"> in current clinical practice focuses on trauma focused psychological therapy with medication as an adjunct where required (Billings &amp; Nicholls, 2025).</w:t>
      </w:r>
      <w:r>
        <w:rPr>
          <w:rFonts w:ascii="Arial" w:hAnsi="Arial" w:cs="Arial"/>
          <w:sz w:val="22"/>
          <w:szCs w:val="22"/>
        </w:rPr>
        <w:t xml:space="preserve"> </w:t>
      </w:r>
      <w:r w:rsidRPr="00C128B5">
        <w:rPr>
          <w:rFonts w:ascii="Arial" w:hAnsi="Arial" w:cs="Arial"/>
          <w:sz w:val="22"/>
          <w:szCs w:val="22"/>
        </w:rPr>
        <w:t xml:space="preserve">International and UK guidelines suggest trauma focused cognitive </w:t>
      </w:r>
      <w:proofErr w:type="spellStart"/>
      <w:r w:rsidRPr="00C128B5">
        <w:rPr>
          <w:rFonts w:ascii="Arial" w:hAnsi="Arial" w:cs="Arial"/>
          <w:sz w:val="22"/>
          <w:szCs w:val="22"/>
        </w:rPr>
        <w:t>behavioural</w:t>
      </w:r>
      <w:proofErr w:type="spellEnd"/>
      <w:r w:rsidRPr="00C128B5">
        <w:rPr>
          <w:rFonts w:ascii="Arial" w:hAnsi="Arial" w:cs="Arial"/>
          <w:sz w:val="22"/>
          <w:szCs w:val="22"/>
        </w:rPr>
        <w:t xml:space="preserve"> therapy (TF-CBT) and eye movement </w:t>
      </w:r>
      <w:proofErr w:type="spellStart"/>
      <w:r w:rsidRPr="00C128B5">
        <w:rPr>
          <w:rFonts w:ascii="Arial" w:hAnsi="Arial" w:cs="Arial"/>
          <w:sz w:val="22"/>
          <w:szCs w:val="22"/>
        </w:rPr>
        <w:t>desensitisation</w:t>
      </w:r>
      <w:proofErr w:type="spellEnd"/>
      <w:r w:rsidRPr="00C128B5">
        <w:rPr>
          <w:rFonts w:ascii="Arial" w:hAnsi="Arial" w:cs="Arial"/>
          <w:sz w:val="22"/>
          <w:szCs w:val="22"/>
        </w:rPr>
        <w:t xml:space="preserve"> and reprocessing (EMDR) as the first line treatment (</w:t>
      </w:r>
      <w:proofErr w:type="spellStart"/>
      <w:r w:rsidRPr="00C128B5">
        <w:rPr>
          <w:rFonts w:ascii="Arial" w:hAnsi="Arial" w:cs="Arial"/>
          <w:sz w:val="22"/>
          <w:szCs w:val="22"/>
        </w:rPr>
        <w:t>Hudays</w:t>
      </w:r>
      <w:proofErr w:type="spellEnd"/>
      <w:r w:rsidRPr="00C128B5">
        <w:rPr>
          <w:rFonts w:ascii="Arial" w:hAnsi="Arial" w:cs="Arial"/>
          <w:sz w:val="22"/>
          <w:szCs w:val="22"/>
        </w:rPr>
        <w:t xml:space="preserve"> et al., 2022; Mazzoni et al., 2022).</w:t>
      </w:r>
      <w:r>
        <w:rPr>
          <w:rFonts w:ascii="Arial" w:hAnsi="Arial" w:cs="Arial"/>
          <w:sz w:val="22"/>
          <w:szCs w:val="22"/>
        </w:rPr>
        <w:t xml:space="preserve"> </w:t>
      </w:r>
      <w:r w:rsidR="005534F0" w:rsidRPr="00BA2272">
        <w:rPr>
          <w:rFonts w:ascii="Arial" w:hAnsi="Arial" w:cs="Arial"/>
          <w:sz w:val="22"/>
          <w:szCs w:val="22"/>
        </w:rPr>
        <w:t>These therapies target trauma memory processing, reduce avoidance, and lower persistent threat responses (Gjerstad et al., 2024).</w:t>
      </w:r>
      <w:r w:rsidR="005534F0">
        <w:rPr>
          <w:rFonts w:ascii="Arial" w:hAnsi="Arial" w:cs="Arial"/>
          <w:sz w:val="22"/>
          <w:szCs w:val="22"/>
        </w:rPr>
        <w:t xml:space="preserve"> </w:t>
      </w:r>
      <w:r w:rsidR="005534F0" w:rsidRPr="005534F0">
        <w:rPr>
          <w:rFonts w:ascii="Arial" w:hAnsi="Arial" w:cs="Arial"/>
          <w:sz w:val="22"/>
          <w:szCs w:val="22"/>
        </w:rPr>
        <w:t>Findings from controlled trials suggest that trauma-focused interventions have greater and longer-lasting effects on reducing symptoms than supportive or non-trauma-focused approaches (Jiang et al., 2025).</w:t>
      </w:r>
      <w:r w:rsidR="00007611">
        <w:rPr>
          <w:rFonts w:ascii="Arial" w:hAnsi="Arial" w:cs="Arial"/>
          <w:sz w:val="22"/>
          <w:szCs w:val="22"/>
        </w:rPr>
        <w:t xml:space="preserve"> </w:t>
      </w:r>
      <w:r w:rsidR="00007611" w:rsidRPr="00007611">
        <w:rPr>
          <w:rFonts w:ascii="Arial" w:hAnsi="Arial" w:cs="Arial"/>
          <w:sz w:val="22"/>
          <w:szCs w:val="22"/>
        </w:rPr>
        <w:t xml:space="preserve">Outcomes are not uniform, however. Dropout is still an issue, however, particularly in exposure work, and certain patients experience </w:t>
      </w:r>
      <w:r w:rsidR="00007611" w:rsidRPr="00007611">
        <w:rPr>
          <w:rFonts w:ascii="Arial" w:hAnsi="Arial" w:cs="Arial"/>
          <w:sz w:val="22"/>
          <w:szCs w:val="22"/>
        </w:rPr>
        <w:t>early</w:t>
      </w:r>
      <w:r w:rsidR="00007611" w:rsidRPr="00007611">
        <w:rPr>
          <w:rFonts w:ascii="Arial" w:hAnsi="Arial" w:cs="Arial"/>
          <w:sz w:val="22"/>
          <w:szCs w:val="22"/>
        </w:rPr>
        <w:t xml:space="preserve"> treatment distress (Lewis et al., 2025; Kruger-Gottschalk et al., 2025; Lee &amp; LaFreniere, 2023).</w:t>
      </w:r>
    </w:p>
    <w:p w14:paraId="15112CAE" w14:textId="28EBB6DD" w:rsidR="00007611" w:rsidRDefault="00007611" w:rsidP="007E75F3">
      <w:pPr>
        <w:spacing w:line="360" w:lineRule="auto"/>
        <w:jc w:val="both"/>
        <w:rPr>
          <w:rFonts w:ascii="Arial" w:hAnsi="Arial" w:cs="Arial"/>
          <w:sz w:val="22"/>
          <w:szCs w:val="22"/>
        </w:rPr>
      </w:pPr>
      <w:r w:rsidRPr="00007611">
        <w:rPr>
          <w:rFonts w:ascii="Arial" w:hAnsi="Arial" w:cs="Arial"/>
          <w:sz w:val="22"/>
          <w:szCs w:val="22"/>
        </w:rPr>
        <w:t xml:space="preserve">The use of medication is </w:t>
      </w:r>
      <w:r>
        <w:rPr>
          <w:rFonts w:ascii="Arial" w:hAnsi="Arial" w:cs="Arial"/>
          <w:sz w:val="22"/>
          <w:szCs w:val="22"/>
        </w:rPr>
        <w:t>usually</w:t>
      </w:r>
      <w:r w:rsidRPr="00007611">
        <w:rPr>
          <w:rFonts w:ascii="Arial" w:hAnsi="Arial" w:cs="Arial"/>
          <w:sz w:val="22"/>
          <w:szCs w:val="22"/>
        </w:rPr>
        <w:t xml:space="preserve"> considered if symptoms are severe, therapy is not available, or comorbid depression or anxiety is present (Fagan and Baldwin, 2023; Garakani et al., 2020; Melaragno, 2021).</w:t>
      </w:r>
      <w:r>
        <w:rPr>
          <w:rFonts w:ascii="Arial" w:hAnsi="Arial" w:cs="Arial"/>
          <w:sz w:val="22"/>
          <w:szCs w:val="22"/>
        </w:rPr>
        <w:t xml:space="preserve"> </w:t>
      </w:r>
      <w:r w:rsidRPr="00007611">
        <w:rPr>
          <w:rFonts w:ascii="Arial" w:hAnsi="Arial" w:cs="Arial"/>
          <w:sz w:val="22"/>
          <w:szCs w:val="22"/>
        </w:rPr>
        <w:t>Selective serotonin reuptake inhibitors are prescribed mostly and have moderate benefit in trials (</w:t>
      </w:r>
      <w:proofErr w:type="spellStart"/>
      <w:r w:rsidRPr="00007611">
        <w:rPr>
          <w:rFonts w:ascii="Arial" w:hAnsi="Arial" w:cs="Arial"/>
          <w:sz w:val="22"/>
          <w:szCs w:val="22"/>
        </w:rPr>
        <w:t>Alorfi</w:t>
      </w:r>
      <w:proofErr w:type="spellEnd"/>
      <w:r w:rsidRPr="00007611">
        <w:rPr>
          <w:rFonts w:ascii="Arial" w:hAnsi="Arial" w:cs="Arial"/>
          <w:sz w:val="22"/>
          <w:szCs w:val="22"/>
        </w:rPr>
        <w:t xml:space="preserve">, 2025; Jia et al., 2025; Hoskins et al., 2021). Medication does not usually achieve complete remission, and relapses when it is discontinued </w:t>
      </w:r>
      <w:r w:rsidRPr="00007611">
        <w:rPr>
          <w:rFonts w:ascii="Arial" w:hAnsi="Arial" w:cs="Arial"/>
          <w:sz w:val="22"/>
          <w:szCs w:val="22"/>
        </w:rPr>
        <w:t>are</w:t>
      </w:r>
      <w:r w:rsidRPr="00007611">
        <w:rPr>
          <w:rFonts w:ascii="Arial" w:hAnsi="Arial" w:cs="Arial"/>
          <w:sz w:val="22"/>
          <w:szCs w:val="22"/>
        </w:rPr>
        <w:t xml:space="preserve"> often reported.</w:t>
      </w:r>
      <w:r w:rsidR="002D47BD">
        <w:rPr>
          <w:rFonts w:ascii="Arial" w:hAnsi="Arial" w:cs="Arial"/>
          <w:sz w:val="22"/>
          <w:szCs w:val="22"/>
        </w:rPr>
        <w:t xml:space="preserve"> </w:t>
      </w:r>
      <w:r w:rsidR="002D47BD" w:rsidRPr="002D47BD">
        <w:rPr>
          <w:rFonts w:ascii="Arial" w:hAnsi="Arial" w:cs="Arial"/>
          <w:sz w:val="22"/>
          <w:szCs w:val="22"/>
        </w:rPr>
        <w:t>Reviews also show side effects and inconsistent response, reducing universal effectiveness (Huang et al., 2020; Hoskins et al., 2021).</w:t>
      </w:r>
      <w:r w:rsidR="002D47BD">
        <w:rPr>
          <w:rFonts w:ascii="Arial" w:hAnsi="Arial" w:cs="Arial"/>
          <w:sz w:val="22"/>
          <w:szCs w:val="22"/>
        </w:rPr>
        <w:t xml:space="preserve"> </w:t>
      </w:r>
      <w:r w:rsidR="00A72B8B" w:rsidRPr="00A72B8B">
        <w:rPr>
          <w:rFonts w:ascii="Arial" w:hAnsi="Arial" w:cs="Arial"/>
          <w:sz w:val="22"/>
          <w:szCs w:val="22"/>
        </w:rPr>
        <w:t>As a result, pharmacological care is usually placed in the category of</w:t>
      </w:r>
      <w:r w:rsidR="00A72B8B" w:rsidRPr="00A72B8B">
        <w:rPr>
          <w:rFonts w:ascii="Arial" w:hAnsi="Arial" w:cs="Arial"/>
          <w:i/>
          <w:iCs/>
          <w:sz w:val="22"/>
          <w:szCs w:val="22"/>
        </w:rPr>
        <w:t xml:space="preserve"> </w:t>
      </w:r>
      <w:r w:rsidR="00A72B8B" w:rsidRPr="00A72B8B">
        <w:rPr>
          <w:rFonts w:ascii="Arial" w:hAnsi="Arial" w:cs="Arial"/>
          <w:i/>
          <w:iCs/>
          <w:sz w:val="22"/>
          <w:szCs w:val="22"/>
        </w:rPr>
        <w:t>‘</w:t>
      </w:r>
      <w:r w:rsidR="00A72B8B" w:rsidRPr="00A72B8B">
        <w:rPr>
          <w:rFonts w:ascii="Arial" w:hAnsi="Arial" w:cs="Arial"/>
          <w:i/>
          <w:iCs/>
          <w:sz w:val="22"/>
          <w:szCs w:val="22"/>
        </w:rPr>
        <w:t>supportive</w:t>
      </w:r>
      <w:r w:rsidR="00A72B8B" w:rsidRPr="00A72B8B">
        <w:rPr>
          <w:rFonts w:ascii="Arial" w:hAnsi="Arial" w:cs="Arial"/>
          <w:i/>
          <w:iCs/>
          <w:sz w:val="22"/>
          <w:szCs w:val="22"/>
        </w:rPr>
        <w:t>’</w:t>
      </w:r>
      <w:r w:rsidR="00A72B8B" w:rsidRPr="00A72B8B">
        <w:rPr>
          <w:rFonts w:ascii="Arial" w:hAnsi="Arial" w:cs="Arial"/>
          <w:sz w:val="22"/>
          <w:szCs w:val="22"/>
        </w:rPr>
        <w:t xml:space="preserve"> rather than primary care.</w:t>
      </w:r>
    </w:p>
    <w:p w14:paraId="065D31DE" w14:textId="0350ED9D" w:rsidR="00A72B8B" w:rsidRDefault="00A72B8B" w:rsidP="007E75F3">
      <w:pPr>
        <w:spacing w:line="360" w:lineRule="auto"/>
        <w:jc w:val="both"/>
        <w:rPr>
          <w:rFonts w:ascii="Arial" w:hAnsi="Arial" w:cs="Arial"/>
          <w:sz w:val="22"/>
          <w:szCs w:val="22"/>
        </w:rPr>
      </w:pPr>
      <w:r w:rsidRPr="00A72B8B">
        <w:rPr>
          <w:rFonts w:ascii="Arial" w:hAnsi="Arial" w:cs="Arial"/>
          <w:sz w:val="22"/>
          <w:szCs w:val="22"/>
        </w:rPr>
        <w:t xml:space="preserve">ICD-11 does not specify treatment protocols, but the separation of the two diagnoses, PTSD and Complex PTSD, has consequences for rehabilitation. Care planning is more on a phased model. Early stages focus on safety, </w:t>
      </w:r>
      <w:proofErr w:type="spellStart"/>
      <w:r w:rsidRPr="00A72B8B">
        <w:rPr>
          <w:rFonts w:ascii="Arial" w:hAnsi="Arial" w:cs="Arial"/>
          <w:sz w:val="22"/>
          <w:szCs w:val="22"/>
        </w:rPr>
        <w:t>stabilisation</w:t>
      </w:r>
      <w:proofErr w:type="spellEnd"/>
      <w:r w:rsidRPr="00A72B8B">
        <w:rPr>
          <w:rFonts w:ascii="Arial" w:hAnsi="Arial" w:cs="Arial"/>
          <w:sz w:val="22"/>
          <w:szCs w:val="22"/>
        </w:rPr>
        <w:t xml:space="preserve">, sleep and regulation of emotions before the processing of the trauma can begin. Later stages </w:t>
      </w:r>
      <w:r w:rsidRPr="00BA2272">
        <w:rPr>
          <w:rFonts w:ascii="Arial" w:hAnsi="Arial" w:cs="Arial"/>
          <w:sz w:val="22"/>
          <w:szCs w:val="22"/>
        </w:rPr>
        <w:t>address</w:t>
      </w:r>
      <w:r w:rsidRPr="00A72B8B">
        <w:rPr>
          <w:rFonts w:ascii="Arial" w:hAnsi="Arial" w:cs="Arial"/>
          <w:sz w:val="22"/>
          <w:szCs w:val="22"/>
        </w:rPr>
        <w:t xml:space="preserve"> </w:t>
      </w:r>
      <w:r w:rsidRPr="00A72B8B">
        <w:rPr>
          <w:rFonts w:ascii="Arial" w:hAnsi="Arial" w:cs="Arial"/>
          <w:sz w:val="22"/>
          <w:szCs w:val="22"/>
        </w:rPr>
        <w:t>relationships, social participation and occupational recovery (Griffiths et al., 2025; Purnell et al., 2021).</w:t>
      </w:r>
      <w:r>
        <w:rPr>
          <w:rFonts w:ascii="Arial" w:hAnsi="Arial" w:cs="Arial"/>
          <w:sz w:val="22"/>
          <w:szCs w:val="22"/>
        </w:rPr>
        <w:t xml:space="preserve"> </w:t>
      </w:r>
      <w:r w:rsidRPr="00A72B8B">
        <w:rPr>
          <w:rFonts w:ascii="Arial" w:hAnsi="Arial" w:cs="Arial"/>
          <w:sz w:val="22"/>
          <w:szCs w:val="22"/>
        </w:rPr>
        <w:t>Rehabilitation therefore goes beyond the control of symptoms to functional restoration.</w:t>
      </w:r>
      <w:r>
        <w:rPr>
          <w:rFonts w:ascii="Arial" w:hAnsi="Arial" w:cs="Arial"/>
          <w:sz w:val="22"/>
          <w:szCs w:val="22"/>
        </w:rPr>
        <w:t xml:space="preserve"> </w:t>
      </w:r>
      <w:r w:rsidRPr="00A72B8B">
        <w:rPr>
          <w:rFonts w:ascii="Arial" w:hAnsi="Arial" w:cs="Arial"/>
          <w:sz w:val="22"/>
          <w:szCs w:val="22"/>
        </w:rPr>
        <w:t xml:space="preserve">Delivery is often carried out by community mental health teams and voluntary sector providers </w:t>
      </w:r>
      <w:r>
        <w:rPr>
          <w:rFonts w:ascii="Arial" w:hAnsi="Arial" w:cs="Arial"/>
          <w:sz w:val="22"/>
          <w:szCs w:val="22"/>
        </w:rPr>
        <w:t>through</w:t>
      </w:r>
      <w:r w:rsidRPr="00A72B8B">
        <w:rPr>
          <w:rFonts w:ascii="Arial" w:hAnsi="Arial" w:cs="Arial"/>
          <w:sz w:val="22"/>
          <w:szCs w:val="22"/>
        </w:rPr>
        <w:t xml:space="preserve"> psychoeducation, peer support, vocational support and family intervention (Anderson et al., 2020).</w:t>
      </w:r>
      <w:r w:rsidR="005A4E63">
        <w:rPr>
          <w:rFonts w:ascii="Arial" w:hAnsi="Arial" w:cs="Arial"/>
          <w:sz w:val="22"/>
          <w:szCs w:val="22"/>
        </w:rPr>
        <w:t xml:space="preserve"> </w:t>
      </w:r>
      <w:r w:rsidR="005A4E63" w:rsidRPr="005A4E63">
        <w:rPr>
          <w:rFonts w:ascii="Arial" w:hAnsi="Arial" w:cs="Arial"/>
          <w:sz w:val="22"/>
          <w:szCs w:val="22"/>
        </w:rPr>
        <w:t>Phased and integrated rehabilitation models are associated with better functioning in the long</w:t>
      </w:r>
      <w:r w:rsidR="005A4E63">
        <w:rPr>
          <w:rFonts w:ascii="Arial" w:hAnsi="Arial" w:cs="Arial"/>
          <w:sz w:val="22"/>
          <w:szCs w:val="22"/>
        </w:rPr>
        <w:t>-</w:t>
      </w:r>
      <w:r w:rsidR="005A4E63" w:rsidRPr="005A4E63">
        <w:rPr>
          <w:rFonts w:ascii="Arial" w:hAnsi="Arial" w:cs="Arial"/>
          <w:sz w:val="22"/>
          <w:szCs w:val="22"/>
        </w:rPr>
        <w:t>term but</w:t>
      </w:r>
      <w:r w:rsidR="005A4E63" w:rsidRPr="005A4E63">
        <w:rPr>
          <w:rFonts w:ascii="Arial" w:hAnsi="Arial" w:cs="Arial"/>
          <w:sz w:val="22"/>
          <w:szCs w:val="22"/>
        </w:rPr>
        <w:t xml:space="preserve"> require a greater capacity of services (Sele et al., 2023; Purnell et al., 2021; Shen et al., 2025).</w:t>
      </w:r>
    </w:p>
    <w:p w14:paraId="77855EF2" w14:textId="77777777" w:rsidR="0082636D" w:rsidRDefault="005A4E63" w:rsidP="007E75F3">
      <w:pPr>
        <w:spacing w:line="360" w:lineRule="auto"/>
        <w:jc w:val="both"/>
        <w:rPr>
          <w:rFonts w:ascii="Arial" w:hAnsi="Arial" w:cs="Arial"/>
          <w:sz w:val="22"/>
          <w:szCs w:val="22"/>
        </w:rPr>
      </w:pPr>
      <w:r w:rsidRPr="005A4E63">
        <w:rPr>
          <w:rFonts w:ascii="Arial" w:hAnsi="Arial" w:cs="Arial"/>
          <w:sz w:val="22"/>
          <w:szCs w:val="22"/>
        </w:rPr>
        <w:t xml:space="preserve">Many patients experience significant improvement through evidence-based therapy and a significant percentage </w:t>
      </w:r>
      <w:r w:rsidRPr="005A4E63">
        <w:rPr>
          <w:rFonts w:ascii="Arial" w:hAnsi="Arial" w:cs="Arial"/>
          <w:sz w:val="22"/>
          <w:szCs w:val="22"/>
        </w:rPr>
        <w:t>recover</w:t>
      </w:r>
      <w:r w:rsidRPr="005A4E63">
        <w:rPr>
          <w:rFonts w:ascii="Arial" w:hAnsi="Arial" w:cs="Arial"/>
          <w:sz w:val="22"/>
          <w:szCs w:val="22"/>
        </w:rPr>
        <w:t xml:space="preserve"> within 1 year (WHO, 2024; Nishith et al., 2024). </w:t>
      </w:r>
      <w:r w:rsidR="0082636D" w:rsidRPr="0082636D">
        <w:rPr>
          <w:rFonts w:ascii="Arial" w:hAnsi="Arial" w:cs="Arial"/>
          <w:sz w:val="22"/>
          <w:szCs w:val="22"/>
        </w:rPr>
        <w:t>Limits still exist, particularly in the case of repeated or early life trauma, where residual symptoms are more prevalent and the treatment period is longer (Brooks &amp; Greenberg, 2024). Access is a</w:t>
      </w:r>
      <w:r w:rsidR="0082636D">
        <w:rPr>
          <w:rFonts w:ascii="Arial" w:hAnsi="Arial" w:cs="Arial"/>
          <w:sz w:val="22"/>
          <w:szCs w:val="22"/>
        </w:rPr>
        <w:t>nother</w:t>
      </w:r>
      <w:r w:rsidR="0082636D" w:rsidRPr="0082636D">
        <w:rPr>
          <w:rFonts w:ascii="Arial" w:hAnsi="Arial" w:cs="Arial"/>
          <w:sz w:val="22"/>
          <w:szCs w:val="22"/>
        </w:rPr>
        <w:t xml:space="preserve"> major constraint (Huo et al., 2023).</w:t>
      </w:r>
      <w:r w:rsidR="00BA2272" w:rsidRPr="00BA2272">
        <w:rPr>
          <w:rFonts w:ascii="Arial" w:hAnsi="Arial" w:cs="Arial"/>
          <w:sz w:val="22"/>
          <w:szCs w:val="22"/>
        </w:rPr>
        <w:t xml:space="preserve"> </w:t>
      </w:r>
      <w:r w:rsidR="0082636D" w:rsidRPr="0082636D">
        <w:rPr>
          <w:rFonts w:ascii="Arial" w:hAnsi="Arial" w:cs="Arial"/>
          <w:sz w:val="22"/>
          <w:szCs w:val="22"/>
        </w:rPr>
        <w:t xml:space="preserve">Large treatment gaps still exist in low and middle-income countries owing to workforce shortages and a lack of specialist provision (Rathod et al., 2017; Saade et al., 2023; </w:t>
      </w:r>
      <w:proofErr w:type="spellStart"/>
      <w:r w:rsidR="0082636D" w:rsidRPr="0082636D">
        <w:rPr>
          <w:rFonts w:ascii="Arial" w:hAnsi="Arial" w:cs="Arial"/>
          <w:sz w:val="22"/>
          <w:szCs w:val="22"/>
        </w:rPr>
        <w:t>Barbui</w:t>
      </w:r>
      <w:proofErr w:type="spellEnd"/>
      <w:r w:rsidR="0082636D" w:rsidRPr="0082636D">
        <w:rPr>
          <w:rFonts w:ascii="Arial" w:hAnsi="Arial" w:cs="Arial"/>
          <w:sz w:val="22"/>
          <w:szCs w:val="22"/>
        </w:rPr>
        <w:t xml:space="preserve"> et al., 2025; </w:t>
      </w:r>
      <w:proofErr w:type="spellStart"/>
      <w:r w:rsidR="0082636D" w:rsidRPr="0082636D">
        <w:rPr>
          <w:rFonts w:ascii="Arial" w:hAnsi="Arial" w:cs="Arial"/>
          <w:sz w:val="22"/>
          <w:szCs w:val="22"/>
        </w:rPr>
        <w:t>Atewologun</w:t>
      </w:r>
      <w:proofErr w:type="spellEnd"/>
      <w:r w:rsidR="0082636D" w:rsidRPr="0082636D">
        <w:rPr>
          <w:rFonts w:ascii="Arial" w:hAnsi="Arial" w:cs="Arial"/>
          <w:sz w:val="22"/>
          <w:szCs w:val="22"/>
        </w:rPr>
        <w:t xml:space="preserve"> et al., 2025).</w:t>
      </w:r>
      <w:r w:rsidR="00BA2272" w:rsidRPr="00BA2272">
        <w:rPr>
          <w:rFonts w:ascii="Arial" w:hAnsi="Arial" w:cs="Arial"/>
          <w:sz w:val="22"/>
          <w:szCs w:val="22"/>
        </w:rPr>
        <w:t xml:space="preserve"> </w:t>
      </w:r>
      <w:r w:rsidR="0082636D" w:rsidRPr="0082636D">
        <w:rPr>
          <w:rFonts w:ascii="Arial" w:hAnsi="Arial" w:cs="Arial"/>
          <w:sz w:val="22"/>
          <w:szCs w:val="22"/>
        </w:rPr>
        <w:t xml:space="preserve">Delays and unequal distribution </w:t>
      </w:r>
      <w:proofErr w:type="gramStart"/>
      <w:r w:rsidR="0082636D" w:rsidRPr="0082636D">
        <w:rPr>
          <w:rFonts w:ascii="Arial" w:hAnsi="Arial" w:cs="Arial"/>
          <w:sz w:val="22"/>
          <w:szCs w:val="22"/>
        </w:rPr>
        <w:t>is</w:t>
      </w:r>
      <w:proofErr w:type="gramEnd"/>
      <w:r w:rsidR="0082636D" w:rsidRPr="0082636D">
        <w:rPr>
          <w:rFonts w:ascii="Arial" w:hAnsi="Arial" w:cs="Arial"/>
          <w:sz w:val="22"/>
          <w:szCs w:val="22"/>
        </w:rPr>
        <w:t xml:space="preserve"> an issue for high income systems too (WHO, 2025).</w:t>
      </w:r>
    </w:p>
    <w:p w14:paraId="285C00A3" w14:textId="77777777" w:rsidR="00A34170" w:rsidRDefault="0082636D" w:rsidP="007E75F3">
      <w:pPr>
        <w:spacing w:line="360" w:lineRule="auto"/>
        <w:jc w:val="both"/>
        <w:rPr>
          <w:rFonts w:ascii="Arial" w:hAnsi="Arial" w:cs="Arial"/>
          <w:sz w:val="22"/>
          <w:szCs w:val="22"/>
        </w:rPr>
      </w:pPr>
      <w:r w:rsidRPr="0082636D">
        <w:rPr>
          <w:rFonts w:ascii="Arial" w:hAnsi="Arial" w:cs="Arial"/>
          <w:sz w:val="22"/>
          <w:szCs w:val="22"/>
        </w:rPr>
        <w:t xml:space="preserve">Service models vary across the world. UK NICE guidance gives priority to trauma focused therapy and discourages routine use of </w:t>
      </w:r>
      <w:r w:rsidRPr="0082636D">
        <w:rPr>
          <w:rFonts w:ascii="Arial" w:hAnsi="Arial" w:cs="Arial"/>
          <w:sz w:val="22"/>
          <w:szCs w:val="22"/>
        </w:rPr>
        <w:t>long-term</w:t>
      </w:r>
      <w:r w:rsidRPr="0082636D">
        <w:rPr>
          <w:rFonts w:ascii="Arial" w:hAnsi="Arial" w:cs="Arial"/>
          <w:sz w:val="22"/>
          <w:szCs w:val="22"/>
        </w:rPr>
        <w:t xml:space="preserve"> medication (NICE, 2018). Australian national guidelines are based on a similar approach of therapy first (Phoenix Australia, 2020</w:t>
      </w:r>
      <w:r w:rsidR="00A34170" w:rsidRPr="00A34170">
        <w:rPr>
          <w:rFonts w:ascii="Arial" w:hAnsi="Arial" w:cs="Arial"/>
          <w:sz w:val="22"/>
          <w:szCs w:val="22"/>
        </w:rPr>
        <w:t>In parts of the United States, the prescription rates are higher, due to the influence of insurance and access patterns (Schein et al., 2021).</w:t>
      </w:r>
      <w:r w:rsidR="00BA2272" w:rsidRPr="00BA2272">
        <w:rPr>
          <w:rFonts w:ascii="Arial" w:hAnsi="Arial" w:cs="Arial"/>
          <w:sz w:val="22"/>
          <w:szCs w:val="22"/>
        </w:rPr>
        <w:t xml:space="preserve"> </w:t>
      </w:r>
      <w:r w:rsidR="00A34170" w:rsidRPr="00A34170">
        <w:rPr>
          <w:rFonts w:ascii="Arial" w:hAnsi="Arial" w:cs="Arial"/>
          <w:sz w:val="22"/>
          <w:szCs w:val="22"/>
        </w:rPr>
        <w:t>Comparative reviews relate improved outcomes to systems where structured trauma therapy and support during rehabilitation are consistently available (Han et al 2021).</w:t>
      </w:r>
    </w:p>
    <w:p w14:paraId="57C079EB" w14:textId="05E92B8B" w:rsidR="00667C7C" w:rsidRPr="00B0005E" w:rsidRDefault="001553E8" w:rsidP="007E75F3">
      <w:pPr>
        <w:pStyle w:val="ListParagraph"/>
        <w:numPr>
          <w:ilvl w:val="0"/>
          <w:numId w:val="1"/>
        </w:numPr>
        <w:spacing w:line="360" w:lineRule="auto"/>
        <w:rPr>
          <w:rFonts w:ascii="Arial" w:hAnsi="Arial" w:cs="Arial"/>
          <w:b/>
          <w:bCs/>
          <w:sz w:val="22"/>
          <w:szCs w:val="22"/>
        </w:rPr>
      </w:pPr>
      <w:r w:rsidRPr="00B0005E">
        <w:rPr>
          <w:rFonts w:ascii="Arial" w:hAnsi="Arial" w:cs="Arial"/>
          <w:b/>
          <w:bCs/>
          <w:sz w:val="22"/>
          <w:szCs w:val="22"/>
        </w:rPr>
        <w:t>Current Debates and Emerging Issues</w:t>
      </w:r>
      <w:r w:rsidR="00667C7C" w:rsidRPr="00B0005E">
        <w:rPr>
          <w:rFonts w:ascii="Arial" w:hAnsi="Arial" w:cs="Arial"/>
          <w:b/>
          <w:bCs/>
          <w:sz w:val="22"/>
          <w:szCs w:val="22"/>
        </w:rPr>
        <w:t xml:space="preserve"> around PTSD</w:t>
      </w:r>
    </w:p>
    <w:p w14:paraId="3479E95E" w14:textId="6886CA97" w:rsidR="00157DE6" w:rsidRDefault="00157DE6" w:rsidP="007E75F3">
      <w:pPr>
        <w:spacing w:line="360" w:lineRule="auto"/>
        <w:jc w:val="both"/>
        <w:rPr>
          <w:rFonts w:ascii="Arial" w:hAnsi="Arial" w:cs="Arial"/>
          <w:sz w:val="22"/>
          <w:szCs w:val="22"/>
        </w:rPr>
      </w:pPr>
      <w:r w:rsidRPr="00157DE6">
        <w:rPr>
          <w:rFonts w:ascii="Arial" w:hAnsi="Arial" w:cs="Arial"/>
          <w:sz w:val="22"/>
          <w:szCs w:val="22"/>
        </w:rPr>
        <w:t xml:space="preserve">Debate about Post-Traumatic Stress Disorder (PTSD) mainly </w:t>
      </w:r>
      <w:r w:rsidRPr="00157DE6">
        <w:rPr>
          <w:rFonts w:ascii="Arial" w:hAnsi="Arial" w:cs="Arial"/>
          <w:sz w:val="22"/>
          <w:szCs w:val="22"/>
        </w:rPr>
        <w:t>focuses</w:t>
      </w:r>
      <w:r w:rsidRPr="00157DE6">
        <w:rPr>
          <w:rFonts w:ascii="Arial" w:hAnsi="Arial" w:cs="Arial"/>
          <w:sz w:val="22"/>
          <w:szCs w:val="22"/>
        </w:rPr>
        <w:t xml:space="preserve"> on how the diagnosis is defined, where boundaries to the diagnosis should be drawn and how changes in the classification of the diagnosis affect who is entitled to treatment and the organization of treatment services. A major point of discussion is the ICD-11 reduction of diagnostic criteria.</w:t>
      </w:r>
      <w:r>
        <w:rPr>
          <w:rFonts w:ascii="Arial" w:hAnsi="Arial" w:cs="Arial"/>
          <w:sz w:val="22"/>
          <w:szCs w:val="22"/>
        </w:rPr>
        <w:t xml:space="preserve"> </w:t>
      </w:r>
      <w:r w:rsidRPr="00157DE6">
        <w:rPr>
          <w:rFonts w:ascii="Arial" w:hAnsi="Arial" w:cs="Arial"/>
          <w:sz w:val="22"/>
          <w:szCs w:val="22"/>
        </w:rPr>
        <w:t>Supporters claim that the three-cluster model is more precise and less overlaps with anxiety and depressive disorders (Reed et al., 2019; Stein et al., 2020; Taylor et al., 2023).</w:t>
      </w:r>
      <w:r w:rsidR="00670506">
        <w:rPr>
          <w:rFonts w:ascii="Arial" w:hAnsi="Arial" w:cs="Arial"/>
          <w:sz w:val="22"/>
          <w:szCs w:val="22"/>
        </w:rPr>
        <w:t xml:space="preserve"> </w:t>
      </w:r>
      <w:r w:rsidR="00670506" w:rsidRPr="00670506">
        <w:rPr>
          <w:rFonts w:ascii="Arial" w:hAnsi="Arial" w:cs="Arial"/>
          <w:sz w:val="22"/>
          <w:szCs w:val="22"/>
        </w:rPr>
        <w:t xml:space="preserve">Critics submit that narrower criteria run the risk of excluding </w:t>
      </w:r>
      <w:r w:rsidR="00670506">
        <w:rPr>
          <w:rFonts w:ascii="Arial" w:hAnsi="Arial" w:cs="Arial"/>
          <w:sz w:val="22"/>
          <w:szCs w:val="22"/>
        </w:rPr>
        <w:t>individuals</w:t>
      </w:r>
      <w:r w:rsidR="00670506" w:rsidRPr="00670506">
        <w:rPr>
          <w:rFonts w:ascii="Arial" w:hAnsi="Arial" w:cs="Arial"/>
          <w:sz w:val="22"/>
          <w:szCs w:val="22"/>
        </w:rPr>
        <w:t xml:space="preserve"> with clinically significant trauma reactions who previously would have qualified under ICD-10 (Kapadia et al., 2020; Gaebel et al., 2020).</w:t>
      </w:r>
      <w:r w:rsidR="00670506">
        <w:rPr>
          <w:rFonts w:ascii="Arial" w:hAnsi="Arial" w:cs="Arial"/>
          <w:sz w:val="22"/>
          <w:szCs w:val="22"/>
        </w:rPr>
        <w:t xml:space="preserve"> </w:t>
      </w:r>
      <w:r w:rsidR="00670506" w:rsidRPr="00670506">
        <w:rPr>
          <w:rFonts w:ascii="Arial" w:hAnsi="Arial" w:cs="Arial"/>
          <w:sz w:val="22"/>
          <w:szCs w:val="22"/>
        </w:rPr>
        <w:t>This brings tensions between the clarity of diagnosis and eligibility for funded treatment pathways.</w:t>
      </w:r>
    </w:p>
    <w:p w14:paraId="20886C35" w14:textId="26BA1524" w:rsidR="004C5E93" w:rsidRDefault="00670506" w:rsidP="007E75F3">
      <w:pPr>
        <w:spacing w:line="360" w:lineRule="auto"/>
        <w:jc w:val="both"/>
        <w:rPr>
          <w:rFonts w:ascii="Arial" w:hAnsi="Arial" w:cs="Arial"/>
          <w:sz w:val="22"/>
          <w:szCs w:val="22"/>
        </w:rPr>
      </w:pPr>
      <w:r w:rsidRPr="00670506">
        <w:rPr>
          <w:rFonts w:ascii="Arial" w:hAnsi="Arial" w:cs="Arial"/>
          <w:sz w:val="22"/>
          <w:szCs w:val="22"/>
        </w:rPr>
        <w:t xml:space="preserve">Another debate is the separation of Complex PTSD from </w:t>
      </w:r>
      <w:r>
        <w:rPr>
          <w:rFonts w:ascii="Arial" w:hAnsi="Arial" w:cs="Arial"/>
          <w:sz w:val="22"/>
          <w:szCs w:val="22"/>
        </w:rPr>
        <w:t>PTSD</w:t>
      </w:r>
      <w:r w:rsidRPr="00670506">
        <w:rPr>
          <w:rFonts w:ascii="Arial" w:hAnsi="Arial" w:cs="Arial"/>
          <w:sz w:val="22"/>
          <w:szCs w:val="22"/>
        </w:rPr>
        <w:t xml:space="preserve"> in the ICD 11 rather than being considered a subtype.</w:t>
      </w:r>
      <w:r w:rsidR="004C5E93">
        <w:rPr>
          <w:rFonts w:ascii="Arial" w:hAnsi="Arial" w:cs="Arial"/>
          <w:sz w:val="22"/>
          <w:szCs w:val="22"/>
        </w:rPr>
        <w:t xml:space="preserve"> </w:t>
      </w:r>
      <w:r w:rsidR="004C5E93" w:rsidRPr="004C5E93">
        <w:rPr>
          <w:rFonts w:ascii="Arial" w:hAnsi="Arial" w:cs="Arial"/>
          <w:sz w:val="22"/>
          <w:szCs w:val="22"/>
        </w:rPr>
        <w:t xml:space="preserve">Some researchers support this distinction, as there are outcomes showing different patterns of symptoms and the need for a longer treatment duration (Rink &amp; </w:t>
      </w:r>
      <w:proofErr w:type="spellStart"/>
      <w:r w:rsidR="004C5E93" w:rsidRPr="004C5E93">
        <w:rPr>
          <w:rFonts w:ascii="Arial" w:hAnsi="Arial" w:cs="Arial"/>
          <w:sz w:val="22"/>
          <w:szCs w:val="22"/>
        </w:rPr>
        <w:t>Lipinska</w:t>
      </w:r>
      <w:proofErr w:type="spellEnd"/>
      <w:r w:rsidR="004C5E93" w:rsidRPr="004C5E93">
        <w:rPr>
          <w:rFonts w:ascii="Arial" w:hAnsi="Arial" w:cs="Arial"/>
          <w:sz w:val="22"/>
          <w:szCs w:val="22"/>
        </w:rPr>
        <w:t xml:space="preserve">, 2020; </w:t>
      </w:r>
      <w:proofErr w:type="spellStart"/>
      <w:r w:rsidR="004C5E93" w:rsidRPr="004C5E93">
        <w:rPr>
          <w:rFonts w:ascii="Arial" w:hAnsi="Arial" w:cs="Arial"/>
          <w:sz w:val="22"/>
          <w:szCs w:val="22"/>
        </w:rPr>
        <w:t>Karatzias</w:t>
      </w:r>
      <w:proofErr w:type="spellEnd"/>
      <w:r w:rsidR="004C5E93" w:rsidRPr="004C5E93">
        <w:rPr>
          <w:rFonts w:ascii="Arial" w:hAnsi="Arial" w:cs="Arial"/>
          <w:sz w:val="22"/>
          <w:szCs w:val="22"/>
        </w:rPr>
        <w:t xml:space="preserve"> et al., 2018).</w:t>
      </w:r>
      <w:r w:rsidR="004C5E93">
        <w:rPr>
          <w:rFonts w:ascii="Arial" w:hAnsi="Arial" w:cs="Arial"/>
          <w:sz w:val="22"/>
          <w:szCs w:val="22"/>
        </w:rPr>
        <w:t xml:space="preserve"> </w:t>
      </w:r>
      <w:r w:rsidR="004C5E93" w:rsidRPr="004C5E93">
        <w:rPr>
          <w:rFonts w:ascii="Arial" w:hAnsi="Arial" w:cs="Arial"/>
          <w:sz w:val="22"/>
          <w:szCs w:val="22"/>
        </w:rPr>
        <w:t xml:space="preserve">Moller et al (2020) </w:t>
      </w:r>
      <w:r w:rsidR="004C5E93" w:rsidRPr="004C5E93">
        <w:rPr>
          <w:rFonts w:ascii="Arial" w:hAnsi="Arial" w:cs="Arial"/>
          <w:sz w:val="22"/>
          <w:szCs w:val="22"/>
        </w:rPr>
        <w:t>claims that</w:t>
      </w:r>
      <w:r w:rsidR="004C5E93" w:rsidRPr="004C5E93">
        <w:rPr>
          <w:rFonts w:ascii="Arial" w:hAnsi="Arial" w:cs="Arial"/>
          <w:sz w:val="22"/>
          <w:szCs w:val="22"/>
        </w:rPr>
        <w:t xml:space="preserve"> the symptom overlap is still high and rigid separation makes frontline diagnosis difficult. In practice, this has implications for </w:t>
      </w:r>
      <w:r w:rsidR="004C5E93" w:rsidRPr="004C5E93">
        <w:rPr>
          <w:rFonts w:ascii="Arial" w:hAnsi="Arial" w:cs="Arial"/>
          <w:sz w:val="22"/>
          <w:szCs w:val="22"/>
        </w:rPr>
        <w:t>planning</w:t>
      </w:r>
      <w:r w:rsidR="004C5E93" w:rsidRPr="004C5E93">
        <w:rPr>
          <w:rFonts w:ascii="Arial" w:hAnsi="Arial" w:cs="Arial"/>
          <w:sz w:val="22"/>
          <w:szCs w:val="22"/>
        </w:rPr>
        <w:t xml:space="preserve"> services as Complex PTSD </w:t>
      </w:r>
      <w:r w:rsidR="004C5E93" w:rsidRPr="004C5E93">
        <w:rPr>
          <w:rFonts w:ascii="Arial" w:hAnsi="Arial" w:cs="Arial"/>
          <w:sz w:val="22"/>
          <w:szCs w:val="22"/>
        </w:rPr>
        <w:t>cases</w:t>
      </w:r>
      <w:r w:rsidR="004C5E93" w:rsidRPr="004C5E93">
        <w:rPr>
          <w:rFonts w:ascii="Arial" w:hAnsi="Arial" w:cs="Arial"/>
          <w:sz w:val="22"/>
          <w:szCs w:val="22"/>
        </w:rPr>
        <w:t xml:space="preserve"> require longer, phased interventions.</w:t>
      </w:r>
    </w:p>
    <w:p w14:paraId="7326C940" w14:textId="3F850940" w:rsidR="004C5E93" w:rsidRDefault="004C5E93" w:rsidP="007E75F3">
      <w:pPr>
        <w:spacing w:line="360" w:lineRule="auto"/>
        <w:jc w:val="both"/>
        <w:rPr>
          <w:rFonts w:ascii="Arial" w:hAnsi="Arial" w:cs="Arial"/>
          <w:sz w:val="22"/>
          <w:szCs w:val="22"/>
        </w:rPr>
      </w:pPr>
      <w:r w:rsidRPr="004C5E93">
        <w:rPr>
          <w:rFonts w:ascii="Arial" w:hAnsi="Arial" w:cs="Arial"/>
          <w:sz w:val="22"/>
          <w:szCs w:val="22"/>
        </w:rPr>
        <w:t xml:space="preserve">There is also ongoing discussion </w:t>
      </w:r>
      <w:r w:rsidRPr="004C5E93">
        <w:rPr>
          <w:rFonts w:ascii="Arial" w:hAnsi="Arial" w:cs="Arial"/>
          <w:sz w:val="22"/>
          <w:szCs w:val="22"/>
        </w:rPr>
        <w:t>on</w:t>
      </w:r>
      <w:r w:rsidRPr="004C5E93">
        <w:rPr>
          <w:rFonts w:ascii="Arial" w:hAnsi="Arial" w:cs="Arial"/>
          <w:sz w:val="22"/>
          <w:szCs w:val="22"/>
        </w:rPr>
        <w:t xml:space="preserve"> PTSD and neurodivergence.</w:t>
      </w:r>
    </w:p>
    <w:p w14:paraId="001D9CAF" w14:textId="31BDC38B" w:rsidR="00A65003" w:rsidRDefault="00667C7C" w:rsidP="007E75F3">
      <w:pPr>
        <w:spacing w:line="360" w:lineRule="auto"/>
        <w:jc w:val="both"/>
        <w:rPr>
          <w:rFonts w:ascii="Arial" w:hAnsi="Arial" w:cs="Arial"/>
          <w:sz w:val="22"/>
          <w:szCs w:val="22"/>
        </w:rPr>
      </w:pPr>
      <w:r w:rsidRPr="00667C7C">
        <w:rPr>
          <w:rFonts w:ascii="Arial" w:hAnsi="Arial" w:cs="Arial"/>
          <w:sz w:val="22"/>
          <w:szCs w:val="22"/>
        </w:rPr>
        <w:t xml:space="preserve">Trauma responses in neurodivergent individuals, including autistic people and those with attention related differences, may appear atypical, increasing the risk of under-recognition or misdiagnosis (Treat Mental Health California, 2025; </w:t>
      </w:r>
      <w:proofErr w:type="spellStart"/>
      <w:r w:rsidRPr="00667C7C">
        <w:rPr>
          <w:rFonts w:ascii="Arial" w:hAnsi="Arial" w:cs="Arial"/>
          <w:sz w:val="22"/>
          <w:szCs w:val="22"/>
        </w:rPr>
        <w:t>Haruvi</w:t>
      </w:r>
      <w:proofErr w:type="spellEnd"/>
      <w:r w:rsidRPr="00667C7C">
        <w:rPr>
          <w:rFonts w:ascii="Arial" w:hAnsi="Arial" w:cs="Arial"/>
          <w:sz w:val="22"/>
          <w:szCs w:val="22"/>
        </w:rPr>
        <w:t xml:space="preserve">-Lamdan et al., 2020). </w:t>
      </w:r>
      <w:r w:rsidR="00A65003" w:rsidRPr="00A65003">
        <w:rPr>
          <w:rFonts w:ascii="Arial" w:hAnsi="Arial" w:cs="Arial"/>
          <w:sz w:val="22"/>
          <w:szCs w:val="22"/>
        </w:rPr>
        <w:t>It is argued that many diagnostic frameworks continue to assume neurotypical response patterns (Wang et al, 2023). This has resulted in calls for more flexible models of assessment and adapted screening tools, although agreed standards are still in the process of development.</w:t>
      </w:r>
    </w:p>
    <w:p w14:paraId="3AED34EB" w14:textId="77777777" w:rsidR="00C070AD" w:rsidRDefault="00A65003" w:rsidP="007E75F3">
      <w:pPr>
        <w:spacing w:line="360" w:lineRule="auto"/>
        <w:jc w:val="both"/>
        <w:rPr>
          <w:rFonts w:ascii="Arial" w:hAnsi="Arial" w:cs="Arial"/>
          <w:sz w:val="22"/>
          <w:szCs w:val="22"/>
        </w:rPr>
      </w:pPr>
      <w:r w:rsidRPr="00A65003">
        <w:rPr>
          <w:rFonts w:ascii="Arial" w:hAnsi="Arial" w:cs="Arial"/>
          <w:sz w:val="22"/>
          <w:szCs w:val="22"/>
        </w:rPr>
        <w:t>Diagnostic rules also determine how healthcare is provided. In the UK, access to trauma services is often linked to recognised categories of diagnosis (NICE, 2018). When definitions change, referral thresholds and commissioning decisions change</w:t>
      </w:r>
      <w:r>
        <w:rPr>
          <w:rFonts w:ascii="Arial" w:hAnsi="Arial" w:cs="Arial"/>
          <w:sz w:val="22"/>
          <w:szCs w:val="22"/>
        </w:rPr>
        <w:t xml:space="preserve"> </w:t>
      </w:r>
      <w:r w:rsidRPr="00A65003">
        <w:rPr>
          <w:rFonts w:ascii="Arial" w:hAnsi="Arial" w:cs="Arial"/>
          <w:sz w:val="22"/>
          <w:szCs w:val="22"/>
        </w:rPr>
        <w:t xml:space="preserve">too. </w:t>
      </w:r>
      <w:r w:rsidR="00C070AD" w:rsidRPr="00C070AD">
        <w:rPr>
          <w:rFonts w:ascii="Arial" w:hAnsi="Arial" w:cs="Arial"/>
          <w:sz w:val="22"/>
          <w:szCs w:val="22"/>
        </w:rPr>
        <w:t>NICE recommend the use of trauma focused psychological therapies as first line care, but in national reviews of the NHS it is found that there is regional variation in access and waiting time to access trauma specific treatment (NICE, 2018; Care Quality Commission, 2019).</w:t>
      </w:r>
    </w:p>
    <w:p w14:paraId="6EE408B2" w14:textId="057692B6" w:rsidR="00C070AD" w:rsidRDefault="00C070AD" w:rsidP="007E75F3">
      <w:pPr>
        <w:spacing w:line="360" w:lineRule="auto"/>
        <w:jc w:val="both"/>
        <w:rPr>
          <w:rFonts w:ascii="Arial" w:hAnsi="Arial" w:cs="Arial"/>
          <w:sz w:val="22"/>
          <w:szCs w:val="22"/>
        </w:rPr>
      </w:pPr>
      <w:r w:rsidRPr="00C070AD">
        <w:rPr>
          <w:rFonts w:ascii="Arial" w:hAnsi="Arial" w:cs="Arial"/>
          <w:sz w:val="22"/>
          <w:szCs w:val="22"/>
        </w:rPr>
        <w:t xml:space="preserve">Social and cultural dynamics also affect the patterns of diagnosis and treatment </w:t>
      </w:r>
      <w:r>
        <w:rPr>
          <w:rFonts w:ascii="Arial" w:hAnsi="Arial" w:cs="Arial"/>
          <w:sz w:val="22"/>
          <w:szCs w:val="22"/>
        </w:rPr>
        <w:t xml:space="preserve">of PTSD </w:t>
      </w:r>
      <w:r w:rsidRPr="00C070AD">
        <w:rPr>
          <w:rFonts w:ascii="Arial" w:hAnsi="Arial" w:cs="Arial"/>
          <w:sz w:val="22"/>
          <w:szCs w:val="22"/>
        </w:rPr>
        <w:t xml:space="preserve">(Rathod et al., 2017; Saade et al., 2023; </w:t>
      </w:r>
      <w:proofErr w:type="spellStart"/>
      <w:r w:rsidRPr="00C070AD">
        <w:rPr>
          <w:rFonts w:ascii="Arial" w:hAnsi="Arial" w:cs="Arial"/>
          <w:sz w:val="22"/>
          <w:szCs w:val="22"/>
        </w:rPr>
        <w:t>Barbui</w:t>
      </w:r>
      <w:proofErr w:type="spellEnd"/>
      <w:r w:rsidRPr="00C070AD">
        <w:rPr>
          <w:rFonts w:ascii="Arial" w:hAnsi="Arial" w:cs="Arial"/>
          <w:sz w:val="22"/>
          <w:szCs w:val="22"/>
        </w:rPr>
        <w:t xml:space="preserve"> et al., 2025; </w:t>
      </w:r>
      <w:proofErr w:type="spellStart"/>
      <w:r w:rsidRPr="00C070AD">
        <w:rPr>
          <w:rFonts w:ascii="Arial" w:hAnsi="Arial" w:cs="Arial"/>
          <w:sz w:val="22"/>
          <w:szCs w:val="22"/>
        </w:rPr>
        <w:t>Atewologun</w:t>
      </w:r>
      <w:proofErr w:type="spellEnd"/>
      <w:r w:rsidRPr="00C070AD">
        <w:rPr>
          <w:rFonts w:ascii="Arial" w:hAnsi="Arial" w:cs="Arial"/>
          <w:sz w:val="22"/>
          <w:szCs w:val="22"/>
        </w:rPr>
        <w:t xml:space="preserve"> et al., 2025). UK equality law also has an impact on workplace recognition and accommodation of trauma related conditions (Government Equalities Office &amp; Equality and Human Rights Commission, 2013). Studies question whether existing models adequately capture the experience of repeated interpersonal trauma and involve proposed dimensional or hybrid diagnostic approaches (Howard et al., 2021; Kindred et al., 2025; Yalch et al., 2024). These proposals are not yet adopted and continue to influence research and clinical debate.</w:t>
      </w:r>
    </w:p>
    <w:p w14:paraId="64FCE575" w14:textId="749C00DE" w:rsidR="001553E8" w:rsidRPr="00B0005E" w:rsidRDefault="001553E8" w:rsidP="007E75F3">
      <w:pPr>
        <w:pStyle w:val="ListParagraph"/>
        <w:numPr>
          <w:ilvl w:val="0"/>
          <w:numId w:val="1"/>
        </w:numPr>
        <w:spacing w:line="360" w:lineRule="auto"/>
        <w:rPr>
          <w:rFonts w:ascii="Arial" w:hAnsi="Arial" w:cs="Arial"/>
          <w:b/>
          <w:bCs/>
          <w:sz w:val="22"/>
          <w:szCs w:val="22"/>
        </w:rPr>
      </w:pPr>
      <w:r w:rsidRPr="00B0005E">
        <w:rPr>
          <w:rFonts w:ascii="Arial" w:hAnsi="Arial" w:cs="Arial"/>
          <w:b/>
          <w:bCs/>
          <w:sz w:val="22"/>
          <w:szCs w:val="22"/>
        </w:rPr>
        <w:t>Recommendations</w:t>
      </w:r>
    </w:p>
    <w:p w14:paraId="2E0D82DC" w14:textId="54DEB659" w:rsidR="00F9426B" w:rsidRDefault="00F9426B" w:rsidP="007E75F3">
      <w:pPr>
        <w:spacing w:line="360" w:lineRule="auto"/>
        <w:jc w:val="both"/>
        <w:rPr>
          <w:rFonts w:ascii="Arial" w:hAnsi="Arial" w:cs="Arial"/>
          <w:sz w:val="22"/>
          <w:szCs w:val="22"/>
        </w:rPr>
      </w:pPr>
      <w:r w:rsidRPr="00F9426B">
        <w:rPr>
          <w:rFonts w:ascii="Arial" w:hAnsi="Arial" w:cs="Arial"/>
          <w:sz w:val="22"/>
          <w:szCs w:val="22"/>
        </w:rPr>
        <w:t>Numerous practical steps are suggested to enhance the classification, diagnosis, treatment and support of individuals with post-traumatic stress disorder through rehabilitation services</w:t>
      </w:r>
      <w:r w:rsidR="00E968B6" w:rsidRPr="00E968B6">
        <w:rPr>
          <w:rFonts w:ascii="Arial" w:hAnsi="Arial" w:cs="Arial"/>
          <w:sz w:val="22"/>
          <w:szCs w:val="22"/>
        </w:rPr>
        <w:t xml:space="preserve">. </w:t>
      </w:r>
      <w:r w:rsidRPr="00F9426B">
        <w:rPr>
          <w:rFonts w:ascii="Arial" w:hAnsi="Arial" w:cs="Arial"/>
          <w:sz w:val="22"/>
          <w:szCs w:val="22"/>
        </w:rPr>
        <w:t>First, services should add routine structured screening for P</w:t>
      </w:r>
      <w:r>
        <w:rPr>
          <w:rFonts w:ascii="Arial" w:hAnsi="Arial" w:cs="Arial"/>
          <w:sz w:val="22"/>
          <w:szCs w:val="22"/>
        </w:rPr>
        <w:t>TSD</w:t>
      </w:r>
      <w:r w:rsidRPr="00F9426B">
        <w:rPr>
          <w:rFonts w:ascii="Arial" w:hAnsi="Arial" w:cs="Arial"/>
          <w:sz w:val="22"/>
          <w:szCs w:val="22"/>
        </w:rPr>
        <w:t xml:space="preserve"> in conjunction with clinical interviews during assessment and referral.</w:t>
      </w:r>
      <w:r>
        <w:rPr>
          <w:rFonts w:ascii="Arial" w:hAnsi="Arial" w:cs="Arial"/>
          <w:sz w:val="22"/>
          <w:szCs w:val="22"/>
        </w:rPr>
        <w:t xml:space="preserve"> </w:t>
      </w:r>
      <w:r w:rsidRPr="00F9426B">
        <w:rPr>
          <w:rFonts w:ascii="Arial" w:hAnsi="Arial" w:cs="Arial"/>
          <w:sz w:val="22"/>
          <w:szCs w:val="22"/>
        </w:rPr>
        <w:t xml:space="preserve">The use of validated trauma assessment tools </w:t>
      </w:r>
      <w:r>
        <w:rPr>
          <w:rFonts w:ascii="Arial" w:hAnsi="Arial" w:cs="Arial"/>
          <w:sz w:val="22"/>
          <w:szCs w:val="22"/>
        </w:rPr>
        <w:t xml:space="preserve">will </w:t>
      </w:r>
      <w:r w:rsidRPr="00F9426B">
        <w:rPr>
          <w:rFonts w:ascii="Arial" w:hAnsi="Arial" w:cs="Arial"/>
          <w:sz w:val="22"/>
          <w:szCs w:val="22"/>
        </w:rPr>
        <w:t xml:space="preserve">help to improve the accuracy of the diagnosis and reduce the likelihood of </w:t>
      </w:r>
      <w:r w:rsidRPr="00E968B6">
        <w:rPr>
          <w:rFonts w:ascii="Arial" w:hAnsi="Arial" w:cs="Arial"/>
          <w:sz w:val="22"/>
          <w:szCs w:val="22"/>
        </w:rPr>
        <w:t>missed or incorrect diagnoses</w:t>
      </w:r>
      <w:r w:rsidRPr="00F9426B">
        <w:rPr>
          <w:rFonts w:ascii="Arial" w:hAnsi="Arial" w:cs="Arial"/>
          <w:sz w:val="22"/>
          <w:szCs w:val="22"/>
        </w:rPr>
        <w:t>, especially in primary care and community mental health settings (</w:t>
      </w:r>
      <w:proofErr w:type="spellStart"/>
      <w:r w:rsidRPr="00F9426B">
        <w:rPr>
          <w:rFonts w:ascii="Arial" w:hAnsi="Arial" w:cs="Arial"/>
          <w:sz w:val="22"/>
          <w:szCs w:val="22"/>
        </w:rPr>
        <w:t>Gitaari</w:t>
      </w:r>
      <w:proofErr w:type="spellEnd"/>
      <w:r w:rsidRPr="00F9426B">
        <w:rPr>
          <w:rFonts w:ascii="Arial" w:hAnsi="Arial" w:cs="Arial"/>
          <w:sz w:val="22"/>
          <w:szCs w:val="22"/>
        </w:rPr>
        <w:t xml:space="preserve"> et al., 2024; Gow, 2025).</w:t>
      </w:r>
      <w:r>
        <w:rPr>
          <w:rFonts w:ascii="Arial" w:hAnsi="Arial" w:cs="Arial"/>
          <w:sz w:val="22"/>
          <w:szCs w:val="22"/>
        </w:rPr>
        <w:t xml:space="preserve"> </w:t>
      </w:r>
      <w:proofErr w:type="spellStart"/>
      <w:r w:rsidRPr="00F9426B">
        <w:rPr>
          <w:rFonts w:ascii="Arial" w:hAnsi="Arial" w:cs="Arial"/>
          <w:sz w:val="22"/>
          <w:szCs w:val="22"/>
        </w:rPr>
        <w:t>Standardised</w:t>
      </w:r>
      <w:proofErr w:type="spellEnd"/>
      <w:r w:rsidRPr="00F9426B">
        <w:rPr>
          <w:rFonts w:ascii="Arial" w:hAnsi="Arial" w:cs="Arial"/>
          <w:sz w:val="22"/>
          <w:szCs w:val="22"/>
        </w:rPr>
        <w:t xml:space="preserve"> screening would facilitate earlier identification and better access to pathways of appropriate care.</w:t>
      </w:r>
    </w:p>
    <w:p w14:paraId="772A198B" w14:textId="26941EAB" w:rsidR="00F9426B" w:rsidRDefault="00F9426B" w:rsidP="007E75F3">
      <w:pPr>
        <w:spacing w:line="360" w:lineRule="auto"/>
        <w:jc w:val="both"/>
        <w:rPr>
          <w:rFonts w:ascii="Arial" w:hAnsi="Arial" w:cs="Arial"/>
          <w:sz w:val="22"/>
          <w:szCs w:val="22"/>
        </w:rPr>
      </w:pPr>
      <w:r w:rsidRPr="00F9426B">
        <w:rPr>
          <w:rFonts w:ascii="Arial" w:hAnsi="Arial" w:cs="Arial"/>
          <w:sz w:val="22"/>
          <w:szCs w:val="22"/>
        </w:rPr>
        <w:t xml:space="preserve">Second, healthcare </w:t>
      </w:r>
      <w:proofErr w:type="spellStart"/>
      <w:r w:rsidRPr="00F9426B">
        <w:rPr>
          <w:rFonts w:ascii="Arial" w:hAnsi="Arial" w:cs="Arial"/>
          <w:sz w:val="22"/>
          <w:szCs w:val="22"/>
        </w:rPr>
        <w:t>organisations</w:t>
      </w:r>
      <w:proofErr w:type="spellEnd"/>
      <w:r w:rsidRPr="00F9426B">
        <w:rPr>
          <w:rFonts w:ascii="Arial" w:hAnsi="Arial" w:cs="Arial"/>
          <w:sz w:val="22"/>
          <w:szCs w:val="22"/>
        </w:rPr>
        <w:t xml:space="preserve"> should offer clearer operational guidance and clinician training that can help differentiate between the two conditions of </w:t>
      </w:r>
      <w:r w:rsidR="00524610">
        <w:rPr>
          <w:rFonts w:ascii="Arial" w:hAnsi="Arial" w:cs="Arial"/>
          <w:sz w:val="22"/>
          <w:szCs w:val="22"/>
        </w:rPr>
        <w:t>PTSD and complex PTSD under ICD-11.</w:t>
      </w:r>
      <w:r w:rsidRPr="00F9426B">
        <w:rPr>
          <w:rFonts w:ascii="Arial" w:hAnsi="Arial" w:cs="Arial"/>
          <w:sz w:val="22"/>
          <w:szCs w:val="22"/>
        </w:rPr>
        <w:t xml:space="preserve"> and complex post-traumatic stress disorder under ICD 11.</w:t>
      </w:r>
      <w:r w:rsidR="00524610">
        <w:rPr>
          <w:rFonts w:ascii="Arial" w:hAnsi="Arial" w:cs="Arial"/>
          <w:sz w:val="22"/>
          <w:szCs w:val="22"/>
        </w:rPr>
        <w:t xml:space="preserve"> </w:t>
      </w:r>
      <w:r w:rsidR="00524610" w:rsidRPr="00524610">
        <w:rPr>
          <w:rFonts w:ascii="Arial" w:hAnsi="Arial" w:cs="Arial"/>
          <w:sz w:val="22"/>
          <w:szCs w:val="22"/>
        </w:rPr>
        <w:t xml:space="preserve">Diagnostic overlap is still prevalent in frontline </w:t>
      </w:r>
      <w:r w:rsidR="00524610" w:rsidRPr="00524610">
        <w:rPr>
          <w:rFonts w:ascii="Arial" w:hAnsi="Arial" w:cs="Arial"/>
          <w:sz w:val="22"/>
          <w:szCs w:val="22"/>
        </w:rPr>
        <w:t>practice and</w:t>
      </w:r>
      <w:r w:rsidR="00524610" w:rsidRPr="00524610">
        <w:rPr>
          <w:rFonts w:ascii="Arial" w:hAnsi="Arial" w:cs="Arial"/>
          <w:sz w:val="22"/>
          <w:szCs w:val="22"/>
        </w:rPr>
        <w:t xml:space="preserve"> can result in inappropriate levels of treatment (Meltzer et al 2012; Gros et al. 2012).</w:t>
      </w:r>
      <w:r w:rsidR="00524610">
        <w:rPr>
          <w:rFonts w:ascii="Arial" w:hAnsi="Arial" w:cs="Arial"/>
          <w:sz w:val="22"/>
          <w:szCs w:val="22"/>
        </w:rPr>
        <w:t xml:space="preserve"> </w:t>
      </w:r>
      <w:r w:rsidR="00524610" w:rsidRPr="00524610">
        <w:rPr>
          <w:rFonts w:ascii="Arial" w:hAnsi="Arial" w:cs="Arial"/>
          <w:sz w:val="22"/>
          <w:szCs w:val="22"/>
        </w:rPr>
        <w:t>Targeted training and practical decision aids that are linked to the criteria in ICD-11 would help to improve the consistency of diagnosis.</w:t>
      </w:r>
    </w:p>
    <w:p w14:paraId="32205045" w14:textId="7AEBF4E5" w:rsidR="00524610" w:rsidRDefault="00524610" w:rsidP="007E75F3">
      <w:pPr>
        <w:spacing w:line="360" w:lineRule="auto"/>
        <w:jc w:val="both"/>
        <w:rPr>
          <w:rFonts w:ascii="Arial" w:hAnsi="Arial" w:cs="Arial"/>
          <w:sz w:val="22"/>
          <w:szCs w:val="22"/>
        </w:rPr>
      </w:pPr>
      <w:r w:rsidRPr="00524610">
        <w:rPr>
          <w:rFonts w:ascii="Arial" w:hAnsi="Arial" w:cs="Arial"/>
          <w:sz w:val="22"/>
          <w:szCs w:val="22"/>
        </w:rPr>
        <w:t>Third, UK service planners should increase access to trauma focused psychological therapies, in particular trauma focused CBT and EMDR, whilst incorporating phased rehabilitation models that include vocational and social recovery support.</w:t>
      </w:r>
    </w:p>
    <w:p w14:paraId="02DE23C9" w14:textId="4F9F4AD3" w:rsidR="00524610" w:rsidRDefault="00E614C2" w:rsidP="007E75F3">
      <w:pPr>
        <w:spacing w:line="360" w:lineRule="auto"/>
        <w:jc w:val="both"/>
        <w:rPr>
          <w:rFonts w:ascii="Arial" w:hAnsi="Arial" w:cs="Arial"/>
          <w:sz w:val="22"/>
          <w:szCs w:val="22"/>
        </w:rPr>
      </w:pPr>
      <w:r w:rsidRPr="00E614C2">
        <w:rPr>
          <w:rFonts w:ascii="Arial" w:hAnsi="Arial" w:cs="Arial"/>
          <w:sz w:val="22"/>
          <w:szCs w:val="22"/>
        </w:rPr>
        <w:t xml:space="preserve">Assessment pathways should be adapted to better </w:t>
      </w:r>
      <w:proofErr w:type="spellStart"/>
      <w:r w:rsidRPr="00E614C2">
        <w:rPr>
          <w:rFonts w:ascii="Arial" w:hAnsi="Arial" w:cs="Arial"/>
          <w:sz w:val="22"/>
          <w:szCs w:val="22"/>
        </w:rPr>
        <w:t>recognise</w:t>
      </w:r>
      <w:proofErr w:type="spellEnd"/>
      <w:r w:rsidRPr="00E614C2">
        <w:rPr>
          <w:rFonts w:ascii="Arial" w:hAnsi="Arial" w:cs="Arial"/>
          <w:sz w:val="22"/>
          <w:szCs w:val="22"/>
        </w:rPr>
        <w:t xml:space="preserve"> neurodivergent and cultural populations, recognizing that conventional assessment methods may not be able to account for atypical presentations (Sheth et al., 2023). In addition, increased research investment is suggested to strengthen evidence on long-term outcome and support the development of scalable models for rehabilitation that would have the capacity to inform future policy and clinical practice.</w:t>
      </w:r>
    </w:p>
    <w:p w14:paraId="66951F12" w14:textId="6CF2E469" w:rsidR="000B37F8" w:rsidRPr="00E968B6" w:rsidRDefault="00A71796" w:rsidP="007E75F3">
      <w:pPr>
        <w:pStyle w:val="ListParagraph"/>
        <w:numPr>
          <w:ilvl w:val="0"/>
          <w:numId w:val="1"/>
        </w:numPr>
        <w:spacing w:line="360" w:lineRule="auto"/>
        <w:jc w:val="both"/>
        <w:rPr>
          <w:rFonts w:ascii="Arial" w:hAnsi="Arial" w:cs="Arial"/>
          <w:b/>
          <w:bCs/>
          <w:sz w:val="22"/>
          <w:szCs w:val="22"/>
        </w:rPr>
      </w:pPr>
      <w:r w:rsidRPr="00B0005E">
        <w:rPr>
          <w:rFonts w:ascii="Arial" w:hAnsi="Arial" w:cs="Arial"/>
          <w:b/>
          <w:bCs/>
          <w:sz w:val="22"/>
          <w:szCs w:val="22"/>
        </w:rPr>
        <w:t>Conclusion</w:t>
      </w:r>
    </w:p>
    <w:p w14:paraId="24658882" w14:textId="23BD60FC" w:rsidR="00E614C2" w:rsidRDefault="00E614C2" w:rsidP="007E75F3">
      <w:pPr>
        <w:spacing w:line="360" w:lineRule="auto"/>
        <w:jc w:val="both"/>
        <w:rPr>
          <w:rFonts w:ascii="Arial" w:hAnsi="Arial" w:cs="Arial"/>
          <w:sz w:val="22"/>
          <w:szCs w:val="22"/>
        </w:rPr>
      </w:pPr>
      <w:r w:rsidRPr="00E614C2">
        <w:rPr>
          <w:rFonts w:ascii="Arial" w:hAnsi="Arial" w:cs="Arial"/>
          <w:sz w:val="22"/>
          <w:szCs w:val="22"/>
        </w:rPr>
        <w:t>PTSD in ICD-11 is defined as a stress-related disorder characterised by re-experiencing, avoidance and persistent sense of threat, for which Complex PTSD is recognised as a separate condition.</w:t>
      </w:r>
      <w:r>
        <w:rPr>
          <w:rFonts w:ascii="Arial" w:hAnsi="Arial" w:cs="Arial"/>
          <w:sz w:val="22"/>
          <w:szCs w:val="22"/>
        </w:rPr>
        <w:t xml:space="preserve"> </w:t>
      </w:r>
      <w:r w:rsidRPr="00E614C2">
        <w:rPr>
          <w:rFonts w:ascii="Arial" w:hAnsi="Arial" w:cs="Arial"/>
          <w:sz w:val="22"/>
          <w:szCs w:val="22"/>
        </w:rPr>
        <w:t>This revised classification has implications for the identification of cases and how the intensity of treatment is planned in practice</w:t>
      </w:r>
      <w:r>
        <w:rPr>
          <w:rFonts w:ascii="Arial" w:hAnsi="Arial" w:cs="Arial"/>
          <w:sz w:val="22"/>
          <w:szCs w:val="22"/>
        </w:rPr>
        <w:t xml:space="preserve">. </w:t>
      </w:r>
      <w:r w:rsidRPr="00E614C2">
        <w:rPr>
          <w:rFonts w:ascii="Arial" w:hAnsi="Arial" w:cs="Arial"/>
          <w:sz w:val="22"/>
          <w:szCs w:val="22"/>
        </w:rPr>
        <w:t>Evidence reviewed demonstrates that trauma-focused psychological therapies offer the best outcomes with medication playing a supportive role</w:t>
      </w:r>
    </w:p>
    <w:p w14:paraId="0A082385" w14:textId="0D51EC8F" w:rsidR="007E75F3" w:rsidRDefault="00E968B6" w:rsidP="007E75F3">
      <w:pPr>
        <w:spacing w:line="360" w:lineRule="auto"/>
        <w:jc w:val="both"/>
        <w:rPr>
          <w:rFonts w:ascii="Arial" w:hAnsi="Arial" w:cs="Arial"/>
          <w:sz w:val="22"/>
          <w:szCs w:val="22"/>
        </w:rPr>
      </w:pPr>
      <w:r w:rsidRPr="00E968B6">
        <w:rPr>
          <w:rFonts w:ascii="Arial" w:hAnsi="Arial" w:cs="Arial"/>
          <w:sz w:val="22"/>
          <w:szCs w:val="22"/>
        </w:rPr>
        <w:t xml:space="preserve">Recovery also depends on rehabilitation addressing social and occupational functioning alongside symptoms. </w:t>
      </w:r>
      <w:r w:rsidR="007E75F3" w:rsidRPr="007E75F3">
        <w:rPr>
          <w:rFonts w:ascii="Arial" w:hAnsi="Arial" w:cs="Arial"/>
          <w:sz w:val="22"/>
          <w:szCs w:val="22"/>
        </w:rPr>
        <w:t xml:space="preserve">Continuing debates around diagnostic thresholds, reclassification, neurodivergent presentation, and cultural validity suggest that </w:t>
      </w:r>
      <w:r w:rsidR="007E75F3">
        <w:rPr>
          <w:rFonts w:ascii="Arial" w:hAnsi="Arial" w:cs="Arial"/>
          <w:sz w:val="22"/>
          <w:szCs w:val="22"/>
        </w:rPr>
        <w:t xml:space="preserve">individuals </w:t>
      </w:r>
      <w:r w:rsidR="007E75F3" w:rsidRPr="007E75F3">
        <w:rPr>
          <w:rFonts w:ascii="Arial" w:hAnsi="Arial" w:cs="Arial"/>
          <w:sz w:val="22"/>
          <w:szCs w:val="22"/>
        </w:rPr>
        <w:t xml:space="preserve">with post-traumatic stress disorder </w:t>
      </w:r>
      <w:proofErr w:type="gramStart"/>
      <w:r w:rsidR="007E75F3" w:rsidRPr="007E75F3">
        <w:rPr>
          <w:rFonts w:ascii="Arial" w:hAnsi="Arial" w:cs="Arial"/>
          <w:sz w:val="22"/>
          <w:szCs w:val="22"/>
        </w:rPr>
        <w:t>is</w:t>
      </w:r>
      <w:proofErr w:type="gramEnd"/>
      <w:r w:rsidR="007E75F3" w:rsidRPr="007E75F3">
        <w:rPr>
          <w:rFonts w:ascii="Arial" w:hAnsi="Arial" w:cs="Arial"/>
          <w:sz w:val="22"/>
          <w:szCs w:val="22"/>
        </w:rPr>
        <w:t xml:space="preserve"> still evolving and this has important implications for consistent assessment and better access to specialised treatment and rehabilitation services.</w:t>
      </w:r>
    </w:p>
    <w:p w14:paraId="4CBBDA34" w14:textId="77777777" w:rsidR="007E75F3" w:rsidRDefault="007E75F3" w:rsidP="00E968B6">
      <w:pPr>
        <w:spacing w:line="360" w:lineRule="auto"/>
        <w:jc w:val="both"/>
        <w:rPr>
          <w:rFonts w:ascii="Arial" w:hAnsi="Arial" w:cs="Arial"/>
          <w:sz w:val="22"/>
          <w:szCs w:val="22"/>
        </w:rPr>
      </w:pPr>
    </w:p>
    <w:p w14:paraId="1E3D462F" w14:textId="77777777" w:rsidR="000761CD" w:rsidRDefault="000761CD">
      <w:pPr>
        <w:rPr>
          <w:rFonts w:ascii="Arial" w:hAnsi="Arial" w:cs="Arial"/>
        </w:rPr>
      </w:pPr>
    </w:p>
    <w:p w14:paraId="175F8B76" w14:textId="77777777" w:rsidR="000761CD" w:rsidRDefault="000761CD">
      <w:pPr>
        <w:rPr>
          <w:rFonts w:ascii="Arial" w:hAnsi="Arial" w:cs="Arial"/>
        </w:rPr>
      </w:pPr>
    </w:p>
    <w:p w14:paraId="138319EA" w14:textId="77777777" w:rsidR="000761CD" w:rsidRDefault="000761CD">
      <w:pPr>
        <w:rPr>
          <w:rFonts w:ascii="Arial" w:hAnsi="Arial" w:cs="Arial"/>
        </w:rPr>
      </w:pPr>
    </w:p>
    <w:p w14:paraId="57B85BE7" w14:textId="77777777" w:rsidR="000761CD" w:rsidRDefault="000761CD">
      <w:pPr>
        <w:rPr>
          <w:rFonts w:ascii="Arial" w:hAnsi="Arial" w:cs="Arial"/>
        </w:rPr>
      </w:pPr>
    </w:p>
    <w:p w14:paraId="20D5FBEF" w14:textId="77777777" w:rsidR="00F85CCF" w:rsidRDefault="00F85CCF">
      <w:pPr>
        <w:rPr>
          <w:rFonts w:ascii="Arial" w:hAnsi="Arial" w:cs="Arial"/>
        </w:rPr>
      </w:pPr>
    </w:p>
    <w:p w14:paraId="3892AC46" w14:textId="77777777" w:rsidR="00F85CCF" w:rsidRDefault="00F85CCF">
      <w:pPr>
        <w:rPr>
          <w:rFonts w:ascii="Arial" w:hAnsi="Arial" w:cs="Arial"/>
        </w:rPr>
      </w:pPr>
    </w:p>
    <w:p w14:paraId="2089A7CA" w14:textId="7AC7AE01" w:rsidR="000761CD" w:rsidRPr="00F85CCF" w:rsidRDefault="000761CD">
      <w:pPr>
        <w:rPr>
          <w:rFonts w:ascii="Arial" w:hAnsi="Arial" w:cs="Arial"/>
          <w:b/>
          <w:bCs/>
          <w:sz w:val="22"/>
          <w:szCs w:val="22"/>
        </w:rPr>
      </w:pPr>
      <w:r w:rsidRPr="00F85CCF">
        <w:rPr>
          <w:rFonts w:ascii="Arial" w:hAnsi="Arial" w:cs="Arial"/>
          <w:b/>
          <w:bCs/>
          <w:sz w:val="22"/>
          <w:szCs w:val="22"/>
        </w:rPr>
        <w:t>References</w:t>
      </w:r>
    </w:p>
    <w:p w14:paraId="7EDFC973" w14:textId="77777777" w:rsidR="00F85CCF" w:rsidRPr="00F85CCF" w:rsidRDefault="00F85CCF" w:rsidP="00F85CCF">
      <w:pPr>
        <w:spacing w:line="240" w:lineRule="auto"/>
        <w:ind w:left="720" w:hanging="720"/>
        <w:jc w:val="both"/>
        <w:rPr>
          <w:rFonts w:ascii="Arial" w:hAnsi="Arial" w:cs="Arial"/>
          <w:sz w:val="22"/>
          <w:szCs w:val="22"/>
        </w:rPr>
      </w:pPr>
      <w:proofErr w:type="spellStart"/>
      <w:r w:rsidRPr="00F85CCF">
        <w:rPr>
          <w:rFonts w:ascii="Arial" w:hAnsi="Arial" w:cs="Arial"/>
          <w:sz w:val="22"/>
          <w:szCs w:val="22"/>
        </w:rPr>
        <w:t>Alorfi</w:t>
      </w:r>
      <w:proofErr w:type="spellEnd"/>
      <w:r w:rsidRPr="00F85CCF">
        <w:rPr>
          <w:rFonts w:ascii="Arial" w:hAnsi="Arial" w:cs="Arial"/>
          <w:sz w:val="22"/>
          <w:szCs w:val="22"/>
        </w:rPr>
        <w:t xml:space="preserve">, N.M. (2025) ‘Pharmacological management of post-traumatic stress disorder: a qualitative analysis of ClinicalTrials.gov’, </w:t>
      </w:r>
      <w:r w:rsidRPr="00F85CCF">
        <w:rPr>
          <w:rFonts w:ascii="Arial" w:hAnsi="Arial" w:cs="Arial"/>
          <w:i/>
          <w:iCs/>
          <w:sz w:val="22"/>
          <w:szCs w:val="22"/>
        </w:rPr>
        <w:t>Drug Design, Development and Therapy</w:t>
      </w:r>
      <w:r w:rsidRPr="00F85CCF">
        <w:rPr>
          <w:rFonts w:ascii="Arial" w:hAnsi="Arial" w:cs="Arial"/>
          <w:sz w:val="22"/>
          <w:szCs w:val="22"/>
        </w:rPr>
        <w:t xml:space="preserve">, 19, pp. 9697–9708. </w:t>
      </w:r>
      <w:hyperlink r:id="rId7" w:tgtFrame="_new" w:history="1">
        <w:r w:rsidRPr="00F85CCF">
          <w:rPr>
            <w:rStyle w:val="Hyperlink"/>
            <w:rFonts w:ascii="Arial" w:hAnsi="Arial" w:cs="Arial"/>
            <w:sz w:val="22"/>
            <w:szCs w:val="22"/>
          </w:rPr>
          <w:t>https://doi.org/10.2147/DDDT.S550371</w:t>
        </w:r>
      </w:hyperlink>
    </w:p>
    <w:p w14:paraId="6A403B95"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Anderson, G.S., Di Nota, P.M., Groll, D. and Carleton, R.N. (2020) ‘Peer support and crisis-focused psychological interventions designed to mitigate post-traumatic stress injuries among public safety and frontline healthcare personnel: a systematic review’, </w:t>
      </w:r>
      <w:r w:rsidRPr="00F85CCF">
        <w:rPr>
          <w:rFonts w:ascii="Arial" w:hAnsi="Arial" w:cs="Arial"/>
          <w:i/>
          <w:iCs/>
          <w:sz w:val="22"/>
          <w:szCs w:val="22"/>
        </w:rPr>
        <w:t>International Journal of Environmental Research and Public Health</w:t>
      </w:r>
      <w:r w:rsidRPr="00F85CCF">
        <w:rPr>
          <w:rFonts w:ascii="Arial" w:hAnsi="Arial" w:cs="Arial"/>
          <w:sz w:val="22"/>
          <w:szCs w:val="22"/>
        </w:rPr>
        <w:t xml:space="preserve">, 17(20), 7645. </w:t>
      </w:r>
      <w:hyperlink r:id="rId8" w:tgtFrame="_new" w:history="1">
        <w:r w:rsidRPr="00F85CCF">
          <w:rPr>
            <w:rStyle w:val="Hyperlink"/>
            <w:rFonts w:ascii="Arial" w:hAnsi="Arial" w:cs="Arial"/>
            <w:sz w:val="22"/>
            <w:szCs w:val="22"/>
          </w:rPr>
          <w:t>https://doi.org/10.3390/ijerph17207645</w:t>
        </w:r>
      </w:hyperlink>
    </w:p>
    <w:p w14:paraId="3D3AB83E" w14:textId="77777777" w:rsidR="00F85CCF" w:rsidRPr="00F85CCF" w:rsidRDefault="00F85CCF" w:rsidP="00F85CCF">
      <w:pPr>
        <w:spacing w:line="240" w:lineRule="auto"/>
        <w:ind w:left="720" w:hanging="720"/>
        <w:jc w:val="both"/>
        <w:rPr>
          <w:rFonts w:ascii="Arial" w:hAnsi="Arial" w:cs="Arial"/>
          <w:sz w:val="22"/>
          <w:szCs w:val="22"/>
        </w:rPr>
      </w:pPr>
      <w:proofErr w:type="spellStart"/>
      <w:r w:rsidRPr="00F85CCF">
        <w:rPr>
          <w:rFonts w:ascii="Arial" w:hAnsi="Arial" w:cs="Arial"/>
          <w:sz w:val="22"/>
          <w:szCs w:val="22"/>
        </w:rPr>
        <w:t>Atewologun</w:t>
      </w:r>
      <w:proofErr w:type="spellEnd"/>
      <w:r w:rsidRPr="00F85CCF">
        <w:rPr>
          <w:rFonts w:ascii="Arial" w:hAnsi="Arial" w:cs="Arial"/>
          <w:sz w:val="22"/>
          <w:szCs w:val="22"/>
        </w:rPr>
        <w:t xml:space="preserve">, F., Adigun, O.A., </w:t>
      </w:r>
      <w:proofErr w:type="spellStart"/>
      <w:r w:rsidRPr="00F85CCF">
        <w:rPr>
          <w:rFonts w:ascii="Arial" w:hAnsi="Arial" w:cs="Arial"/>
          <w:sz w:val="22"/>
          <w:szCs w:val="22"/>
        </w:rPr>
        <w:t>Okesanya</w:t>
      </w:r>
      <w:proofErr w:type="spellEnd"/>
      <w:r w:rsidRPr="00F85CCF">
        <w:rPr>
          <w:rFonts w:ascii="Arial" w:hAnsi="Arial" w:cs="Arial"/>
          <w:sz w:val="22"/>
          <w:szCs w:val="22"/>
        </w:rPr>
        <w:t xml:space="preserve">, O.J., Hassan, H.K., Olabode, O.N., Micheal, A.S., Ahmed, M.M., </w:t>
      </w:r>
      <w:proofErr w:type="spellStart"/>
      <w:r w:rsidRPr="00F85CCF">
        <w:rPr>
          <w:rFonts w:ascii="Arial" w:hAnsi="Arial" w:cs="Arial"/>
          <w:sz w:val="22"/>
          <w:szCs w:val="22"/>
        </w:rPr>
        <w:t>Ukoaka</w:t>
      </w:r>
      <w:proofErr w:type="spellEnd"/>
      <w:r w:rsidRPr="00F85CCF">
        <w:rPr>
          <w:rFonts w:ascii="Arial" w:hAnsi="Arial" w:cs="Arial"/>
          <w:sz w:val="22"/>
          <w:szCs w:val="22"/>
        </w:rPr>
        <w:t>, B.M., Idris, N.B., Oso, T.A. and Lucero-</w:t>
      </w:r>
      <w:proofErr w:type="spellStart"/>
      <w:r w:rsidRPr="00F85CCF">
        <w:rPr>
          <w:rFonts w:ascii="Arial" w:hAnsi="Arial" w:cs="Arial"/>
          <w:sz w:val="22"/>
          <w:szCs w:val="22"/>
        </w:rPr>
        <w:t>Prisno</w:t>
      </w:r>
      <w:proofErr w:type="spellEnd"/>
      <w:r w:rsidRPr="00F85CCF">
        <w:rPr>
          <w:rFonts w:ascii="Arial" w:hAnsi="Arial" w:cs="Arial"/>
          <w:sz w:val="22"/>
          <w:szCs w:val="22"/>
        </w:rPr>
        <w:t xml:space="preserve"> III, D.E. (2025) ‘A comprehensive review of mental health services across selected countries in sub-Saharan Africa: assessing progress, challenges, and future direction’, </w:t>
      </w:r>
      <w:r w:rsidRPr="00F85CCF">
        <w:rPr>
          <w:rFonts w:ascii="Arial" w:hAnsi="Arial" w:cs="Arial"/>
          <w:i/>
          <w:iCs/>
          <w:sz w:val="22"/>
          <w:szCs w:val="22"/>
        </w:rPr>
        <w:t>Discover Mental Health</w:t>
      </w:r>
      <w:r w:rsidRPr="00F85CCF">
        <w:rPr>
          <w:rFonts w:ascii="Arial" w:hAnsi="Arial" w:cs="Arial"/>
          <w:sz w:val="22"/>
          <w:szCs w:val="22"/>
        </w:rPr>
        <w:t xml:space="preserve">, 5, 49. </w:t>
      </w:r>
      <w:hyperlink r:id="rId9" w:tgtFrame="_new" w:history="1">
        <w:r w:rsidRPr="00F85CCF">
          <w:rPr>
            <w:rStyle w:val="Hyperlink"/>
            <w:rFonts w:ascii="Arial" w:hAnsi="Arial" w:cs="Arial"/>
            <w:sz w:val="22"/>
            <w:szCs w:val="22"/>
          </w:rPr>
          <w:t>https://doi.org/10.1007/s44192-025-00177-7</w:t>
        </w:r>
      </w:hyperlink>
    </w:p>
    <w:p w14:paraId="10BAF8B2" w14:textId="77777777" w:rsidR="00F85CCF" w:rsidRPr="00F85CCF" w:rsidRDefault="00F85CCF" w:rsidP="00F85CCF">
      <w:pPr>
        <w:spacing w:line="240" w:lineRule="auto"/>
        <w:ind w:left="720" w:hanging="720"/>
        <w:jc w:val="both"/>
        <w:rPr>
          <w:rFonts w:ascii="Arial" w:hAnsi="Arial" w:cs="Arial"/>
          <w:sz w:val="22"/>
          <w:szCs w:val="22"/>
        </w:rPr>
      </w:pPr>
      <w:proofErr w:type="spellStart"/>
      <w:r w:rsidRPr="00F85CCF">
        <w:rPr>
          <w:rFonts w:ascii="Arial" w:hAnsi="Arial" w:cs="Arial"/>
          <w:sz w:val="22"/>
          <w:szCs w:val="22"/>
        </w:rPr>
        <w:t>Barbui</w:t>
      </w:r>
      <w:proofErr w:type="spellEnd"/>
      <w:r w:rsidRPr="00F85CCF">
        <w:rPr>
          <w:rFonts w:ascii="Arial" w:hAnsi="Arial" w:cs="Arial"/>
          <w:sz w:val="22"/>
          <w:szCs w:val="22"/>
        </w:rPr>
        <w:t xml:space="preserve">, C., Alonso, J., Chisholm, D., Evans-Lacko, S., </w:t>
      </w:r>
      <w:proofErr w:type="spellStart"/>
      <w:r w:rsidRPr="00F85CCF">
        <w:rPr>
          <w:rFonts w:ascii="Arial" w:hAnsi="Arial" w:cs="Arial"/>
          <w:sz w:val="22"/>
          <w:szCs w:val="22"/>
        </w:rPr>
        <w:t>Keynejad</w:t>
      </w:r>
      <w:proofErr w:type="spellEnd"/>
      <w:r w:rsidRPr="00F85CCF">
        <w:rPr>
          <w:rFonts w:ascii="Arial" w:hAnsi="Arial" w:cs="Arial"/>
          <w:sz w:val="22"/>
          <w:szCs w:val="22"/>
        </w:rPr>
        <w:t xml:space="preserve">, R.C., </w:t>
      </w:r>
      <w:proofErr w:type="spellStart"/>
      <w:r w:rsidRPr="00F85CCF">
        <w:rPr>
          <w:rFonts w:ascii="Arial" w:hAnsi="Arial" w:cs="Arial"/>
          <w:sz w:val="22"/>
          <w:szCs w:val="22"/>
        </w:rPr>
        <w:t>Lazeri</w:t>
      </w:r>
      <w:proofErr w:type="spellEnd"/>
      <w:r w:rsidRPr="00F85CCF">
        <w:rPr>
          <w:rFonts w:ascii="Arial" w:hAnsi="Arial" w:cs="Arial"/>
          <w:sz w:val="22"/>
          <w:szCs w:val="22"/>
        </w:rPr>
        <w:t xml:space="preserve">, L., Miah, N., </w:t>
      </w:r>
      <w:proofErr w:type="spellStart"/>
      <w:r w:rsidRPr="00F85CCF">
        <w:rPr>
          <w:rFonts w:ascii="Arial" w:hAnsi="Arial" w:cs="Arial"/>
          <w:sz w:val="22"/>
          <w:szCs w:val="22"/>
        </w:rPr>
        <w:t>Valuckiene</w:t>
      </w:r>
      <w:proofErr w:type="spellEnd"/>
      <w:r w:rsidRPr="00F85CCF">
        <w:rPr>
          <w:rFonts w:ascii="Arial" w:hAnsi="Arial" w:cs="Arial"/>
          <w:sz w:val="22"/>
          <w:szCs w:val="22"/>
        </w:rPr>
        <w:t xml:space="preserve">, Z. and </w:t>
      </w:r>
      <w:proofErr w:type="spellStart"/>
      <w:r w:rsidRPr="00F85CCF">
        <w:rPr>
          <w:rFonts w:ascii="Arial" w:hAnsi="Arial" w:cs="Arial"/>
          <w:sz w:val="22"/>
          <w:szCs w:val="22"/>
        </w:rPr>
        <w:t>Gastaldon</w:t>
      </w:r>
      <w:proofErr w:type="spellEnd"/>
      <w:r w:rsidRPr="00F85CCF">
        <w:rPr>
          <w:rFonts w:ascii="Arial" w:hAnsi="Arial" w:cs="Arial"/>
          <w:sz w:val="22"/>
          <w:szCs w:val="22"/>
        </w:rPr>
        <w:t xml:space="preserve">, C. (2025) ‘Mental health service coverage and gaps among adults in Europe: a systematic review’, </w:t>
      </w:r>
      <w:r w:rsidRPr="00F85CCF">
        <w:rPr>
          <w:rFonts w:ascii="Arial" w:hAnsi="Arial" w:cs="Arial"/>
          <w:i/>
          <w:iCs/>
          <w:sz w:val="22"/>
          <w:szCs w:val="22"/>
        </w:rPr>
        <w:t>The Lancet Regional Health – Europe</w:t>
      </w:r>
      <w:r w:rsidRPr="00F85CCF">
        <w:rPr>
          <w:rFonts w:ascii="Arial" w:hAnsi="Arial" w:cs="Arial"/>
          <w:sz w:val="22"/>
          <w:szCs w:val="22"/>
        </w:rPr>
        <w:t xml:space="preserve">, 57, 101458. </w:t>
      </w:r>
      <w:hyperlink r:id="rId10" w:tgtFrame="_new" w:history="1">
        <w:r w:rsidRPr="00F85CCF">
          <w:rPr>
            <w:rStyle w:val="Hyperlink"/>
            <w:rFonts w:ascii="Arial" w:hAnsi="Arial" w:cs="Arial"/>
            <w:sz w:val="22"/>
            <w:szCs w:val="22"/>
          </w:rPr>
          <w:t>https://doi.org/10.1016/j.lanepe.2025.101458</w:t>
        </w:r>
      </w:hyperlink>
    </w:p>
    <w:p w14:paraId="6FE373CB"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Billings, J. and Nicholls, H. (2025) ‘PTSD and complex PTSD, current treatments and debates: a review of reviews’, </w:t>
      </w:r>
      <w:r w:rsidRPr="000761CD">
        <w:rPr>
          <w:rFonts w:ascii="Arial" w:hAnsi="Arial" w:cs="Arial"/>
          <w:i/>
          <w:iCs/>
          <w:sz w:val="22"/>
          <w:szCs w:val="22"/>
        </w:rPr>
        <w:t>British Medical Bulletin</w:t>
      </w:r>
      <w:r w:rsidRPr="000761CD">
        <w:rPr>
          <w:rFonts w:ascii="Arial" w:hAnsi="Arial" w:cs="Arial"/>
          <w:sz w:val="22"/>
          <w:szCs w:val="22"/>
        </w:rPr>
        <w:t xml:space="preserve">, 156(1), ldaf015. </w:t>
      </w:r>
      <w:hyperlink r:id="rId11" w:tgtFrame="_new" w:history="1">
        <w:r w:rsidRPr="000761CD">
          <w:rPr>
            <w:rStyle w:val="Hyperlink"/>
            <w:rFonts w:ascii="Arial" w:hAnsi="Arial" w:cs="Arial"/>
            <w:sz w:val="22"/>
            <w:szCs w:val="22"/>
          </w:rPr>
          <w:t>https://doi.org/10.1093/bmb/ldaf015</w:t>
        </w:r>
      </w:hyperlink>
    </w:p>
    <w:p w14:paraId="03DE1641"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Bolton, P., West, J., Whitney, C., Jordans, M.J.D., Bass, J., Thornicroft, G., Murray, L., Snider, L., Eaton, J., Collins, P.Y., </w:t>
      </w:r>
      <w:proofErr w:type="spellStart"/>
      <w:r w:rsidRPr="00F85CCF">
        <w:rPr>
          <w:rFonts w:ascii="Arial" w:hAnsi="Arial" w:cs="Arial"/>
          <w:sz w:val="22"/>
          <w:szCs w:val="22"/>
        </w:rPr>
        <w:t>Ventevogel</w:t>
      </w:r>
      <w:proofErr w:type="spellEnd"/>
      <w:r w:rsidRPr="00F85CCF">
        <w:rPr>
          <w:rFonts w:ascii="Arial" w:hAnsi="Arial" w:cs="Arial"/>
          <w:sz w:val="22"/>
          <w:szCs w:val="22"/>
        </w:rPr>
        <w:t xml:space="preserve">, P., Smith, S., Stein, D.J., Petersen, I., </w:t>
      </w:r>
      <w:proofErr w:type="spellStart"/>
      <w:r w:rsidRPr="00F85CCF">
        <w:rPr>
          <w:rFonts w:ascii="Arial" w:hAnsi="Arial" w:cs="Arial"/>
          <w:sz w:val="22"/>
          <w:szCs w:val="22"/>
        </w:rPr>
        <w:t>Silove</w:t>
      </w:r>
      <w:proofErr w:type="spellEnd"/>
      <w:r w:rsidRPr="00F85CCF">
        <w:rPr>
          <w:rFonts w:ascii="Arial" w:hAnsi="Arial" w:cs="Arial"/>
          <w:sz w:val="22"/>
          <w:szCs w:val="22"/>
        </w:rPr>
        <w:t xml:space="preserve">, D., Ugo, V., Mahoney, J., </w:t>
      </w:r>
      <w:proofErr w:type="spellStart"/>
      <w:r w:rsidRPr="00F85CCF">
        <w:rPr>
          <w:rFonts w:ascii="Arial" w:hAnsi="Arial" w:cs="Arial"/>
          <w:sz w:val="22"/>
          <w:szCs w:val="22"/>
        </w:rPr>
        <w:t>el</w:t>
      </w:r>
      <w:proofErr w:type="spellEnd"/>
      <w:r w:rsidRPr="00F85CCF">
        <w:rPr>
          <w:rFonts w:ascii="Arial" w:hAnsi="Arial" w:cs="Arial"/>
          <w:sz w:val="22"/>
          <w:szCs w:val="22"/>
        </w:rPr>
        <w:t xml:space="preserve"> </w:t>
      </w:r>
      <w:proofErr w:type="spellStart"/>
      <w:r w:rsidRPr="00F85CCF">
        <w:rPr>
          <w:rFonts w:ascii="Arial" w:hAnsi="Arial" w:cs="Arial"/>
          <w:sz w:val="22"/>
          <w:szCs w:val="22"/>
        </w:rPr>
        <w:t>Chammay</w:t>
      </w:r>
      <w:proofErr w:type="spellEnd"/>
      <w:r w:rsidRPr="00F85CCF">
        <w:rPr>
          <w:rFonts w:ascii="Arial" w:hAnsi="Arial" w:cs="Arial"/>
          <w:sz w:val="22"/>
          <w:szCs w:val="22"/>
        </w:rPr>
        <w:t xml:space="preserve">, R., Contreras, C., Eustache, E., </w:t>
      </w:r>
      <w:proofErr w:type="spellStart"/>
      <w:r w:rsidRPr="00F85CCF">
        <w:rPr>
          <w:rFonts w:ascii="Arial" w:hAnsi="Arial" w:cs="Arial"/>
          <w:sz w:val="22"/>
          <w:szCs w:val="22"/>
        </w:rPr>
        <w:t>Koyiet</w:t>
      </w:r>
      <w:proofErr w:type="spellEnd"/>
      <w:r w:rsidRPr="00F85CCF">
        <w:rPr>
          <w:rFonts w:ascii="Arial" w:hAnsi="Arial" w:cs="Arial"/>
          <w:sz w:val="22"/>
          <w:szCs w:val="22"/>
        </w:rPr>
        <w:t xml:space="preserve">, P., Wondimu, E.H., </w:t>
      </w:r>
      <w:proofErr w:type="spellStart"/>
      <w:r w:rsidRPr="00F85CCF">
        <w:rPr>
          <w:rFonts w:ascii="Arial" w:hAnsi="Arial" w:cs="Arial"/>
          <w:sz w:val="22"/>
          <w:szCs w:val="22"/>
        </w:rPr>
        <w:t>Upadhaya</w:t>
      </w:r>
      <w:proofErr w:type="spellEnd"/>
      <w:r w:rsidRPr="00F85CCF">
        <w:rPr>
          <w:rFonts w:ascii="Arial" w:hAnsi="Arial" w:cs="Arial"/>
          <w:sz w:val="22"/>
          <w:szCs w:val="22"/>
        </w:rPr>
        <w:t xml:space="preserve">, N. and </w:t>
      </w:r>
      <w:proofErr w:type="spellStart"/>
      <w:r w:rsidRPr="00F85CCF">
        <w:rPr>
          <w:rFonts w:ascii="Arial" w:hAnsi="Arial" w:cs="Arial"/>
          <w:sz w:val="22"/>
          <w:szCs w:val="22"/>
        </w:rPr>
        <w:t>Raviola</w:t>
      </w:r>
      <w:proofErr w:type="spellEnd"/>
      <w:r w:rsidRPr="00F85CCF">
        <w:rPr>
          <w:rFonts w:ascii="Arial" w:hAnsi="Arial" w:cs="Arial"/>
          <w:sz w:val="22"/>
          <w:szCs w:val="22"/>
        </w:rPr>
        <w:t xml:space="preserve">, G. (2023) ‘Expanding mental health services in low- and middle-income countries: a task-shifting framework for delivery of comprehensive, collaborative, and community-based care’, </w:t>
      </w:r>
      <w:r w:rsidRPr="00F85CCF">
        <w:rPr>
          <w:rFonts w:ascii="Arial" w:hAnsi="Arial" w:cs="Arial"/>
          <w:i/>
          <w:iCs/>
          <w:sz w:val="22"/>
          <w:szCs w:val="22"/>
        </w:rPr>
        <w:t>Cambridge Prisms: Global Mental Health</w:t>
      </w:r>
      <w:r w:rsidRPr="00F85CCF">
        <w:rPr>
          <w:rFonts w:ascii="Arial" w:hAnsi="Arial" w:cs="Arial"/>
          <w:sz w:val="22"/>
          <w:szCs w:val="22"/>
        </w:rPr>
        <w:t xml:space="preserve">, 10, e16, pp. 1–14. </w:t>
      </w:r>
      <w:hyperlink r:id="rId12" w:tgtFrame="_new" w:history="1">
        <w:r w:rsidRPr="00F85CCF">
          <w:rPr>
            <w:rStyle w:val="Hyperlink"/>
            <w:rFonts w:ascii="Arial" w:hAnsi="Arial" w:cs="Arial"/>
            <w:sz w:val="22"/>
            <w:szCs w:val="22"/>
          </w:rPr>
          <w:t>https://doi.org/10.1017/gmh.2023.5</w:t>
        </w:r>
      </w:hyperlink>
    </w:p>
    <w:p w14:paraId="7A08777A"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Brooks, S.K. and Greenberg, N. (2024) ‘Recurrence of post-traumatic stress disorder: systematic review of definitions, prevalence and predictors’, </w:t>
      </w:r>
      <w:r w:rsidRPr="00F85CCF">
        <w:rPr>
          <w:rFonts w:ascii="Arial" w:hAnsi="Arial" w:cs="Arial"/>
          <w:i/>
          <w:iCs/>
          <w:sz w:val="22"/>
          <w:szCs w:val="22"/>
        </w:rPr>
        <w:t>BMC Psychiatry</w:t>
      </w:r>
      <w:r w:rsidRPr="00F85CCF">
        <w:rPr>
          <w:rFonts w:ascii="Arial" w:hAnsi="Arial" w:cs="Arial"/>
          <w:sz w:val="22"/>
          <w:szCs w:val="22"/>
        </w:rPr>
        <w:t xml:space="preserve">, 24, 37. </w:t>
      </w:r>
      <w:hyperlink r:id="rId13" w:tgtFrame="_new" w:history="1">
        <w:r w:rsidRPr="00F85CCF">
          <w:rPr>
            <w:rStyle w:val="Hyperlink"/>
            <w:rFonts w:ascii="Arial" w:hAnsi="Arial" w:cs="Arial"/>
            <w:sz w:val="22"/>
            <w:szCs w:val="22"/>
          </w:rPr>
          <w:t>https://doi.org/10.1186/s12888-023-05460-x</w:t>
        </w:r>
      </w:hyperlink>
    </w:p>
    <w:p w14:paraId="31DC888B"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Care Quality Commission (2025) </w:t>
      </w:r>
      <w:r w:rsidRPr="00F85CCF">
        <w:rPr>
          <w:rFonts w:ascii="Arial" w:hAnsi="Arial" w:cs="Arial"/>
          <w:i/>
          <w:iCs/>
          <w:sz w:val="22"/>
          <w:szCs w:val="22"/>
        </w:rPr>
        <w:t>Community mental health survey 2024</w:t>
      </w:r>
      <w:r w:rsidRPr="00F85CCF">
        <w:rPr>
          <w:rFonts w:ascii="Arial" w:hAnsi="Arial" w:cs="Arial"/>
          <w:sz w:val="22"/>
          <w:szCs w:val="22"/>
        </w:rPr>
        <w:t xml:space="preserve">. Available at: </w:t>
      </w:r>
      <w:hyperlink r:id="rId14" w:tgtFrame="_new" w:history="1">
        <w:r w:rsidRPr="00F85CCF">
          <w:rPr>
            <w:rStyle w:val="Hyperlink"/>
            <w:rFonts w:ascii="Arial" w:hAnsi="Arial" w:cs="Arial"/>
            <w:sz w:val="22"/>
            <w:szCs w:val="22"/>
          </w:rPr>
          <w:t>https://www.cqc.org.uk/publications/surveys/community-mental-health-survey</w:t>
        </w:r>
      </w:hyperlink>
      <w:r w:rsidRPr="00F85CCF">
        <w:rPr>
          <w:rFonts w:ascii="Arial" w:hAnsi="Arial" w:cs="Arial"/>
          <w:sz w:val="22"/>
          <w:szCs w:val="22"/>
        </w:rPr>
        <w:t xml:space="preserve"> (Accessed: 17 February 2026).</w:t>
      </w:r>
    </w:p>
    <w:p w14:paraId="746F14D5"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Du, J., Diao, H., Zhou, X., Zhang, C., Chen, Y., Gao, Y. and Wang, Y. (2022) ‘</w:t>
      </w:r>
      <w:proofErr w:type="gramStart"/>
      <w:r w:rsidRPr="000761CD">
        <w:rPr>
          <w:rFonts w:ascii="Arial" w:hAnsi="Arial" w:cs="Arial"/>
          <w:sz w:val="22"/>
          <w:szCs w:val="22"/>
        </w:rPr>
        <w:t>Post-traumatic</w:t>
      </w:r>
      <w:proofErr w:type="gramEnd"/>
      <w:r w:rsidRPr="000761CD">
        <w:rPr>
          <w:rFonts w:ascii="Arial" w:hAnsi="Arial" w:cs="Arial"/>
          <w:sz w:val="22"/>
          <w:szCs w:val="22"/>
        </w:rPr>
        <w:t xml:space="preserve"> stress disorder: a psychiatric disorder requiring urgent attention’, </w:t>
      </w:r>
      <w:r w:rsidRPr="000761CD">
        <w:rPr>
          <w:rFonts w:ascii="Arial" w:hAnsi="Arial" w:cs="Arial"/>
          <w:i/>
          <w:iCs/>
          <w:sz w:val="22"/>
          <w:szCs w:val="22"/>
        </w:rPr>
        <w:t>Medical Review</w:t>
      </w:r>
      <w:r w:rsidRPr="000761CD">
        <w:rPr>
          <w:rFonts w:ascii="Arial" w:hAnsi="Arial" w:cs="Arial"/>
          <w:sz w:val="22"/>
          <w:szCs w:val="22"/>
        </w:rPr>
        <w:t xml:space="preserve">, 2(3), pp. 219–243. </w:t>
      </w:r>
      <w:hyperlink r:id="rId15" w:tgtFrame="_new" w:history="1">
        <w:r w:rsidRPr="000761CD">
          <w:rPr>
            <w:rStyle w:val="Hyperlink"/>
            <w:rFonts w:ascii="Arial" w:hAnsi="Arial" w:cs="Arial"/>
            <w:sz w:val="22"/>
            <w:szCs w:val="22"/>
          </w:rPr>
          <w:t>https://doi.org/10.1515/mr-2022-0012</w:t>
        </w:r>
      </w:hyperlink>
    </w:p>
    <w:p w14:paraId="647F3580"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Fagan, H.A. and Baldwin, D.S. (2023) ‘Pharmacological treatment of </w:t>
      </w:r>
      <w:proofErr w:type="spellStart"/>
      <w:r w:rsidRPr="00F85CCF">
        <w:rPr>
          <w:rFonts w:ascii="Arial" w:hAnsi="Arial" w:cs="Arial"/>
          <w:sz w:val="22"/>
          <w:szCs w:val="22"/>
        </w:rPr>
        <w:t>generalised</w:t>
      </w:r>
      <w:proofErr w:type="spellEnd"/>
      <w:r w:rsidRPr="00F85CCF">
        <w:rPr>
          <w:rFonts w:ascii="Arial" w:hAnsi="Arial" w:cs="Arial"/>
          <w:sz w:val="22"/>
          <w:szCs w:val="22"/>
        </w:rPr>
        <w:t xml:space="preserve"> anxiety disorder: current practice and future directions’, </w:t>
      </w:r>
      <w:r w:rsidRPr="00F85CCF">
        <w:rPr>
          <w:rFonts w:ascii="Arial" w:hAnsi="Arial" w:cs="Arial"/>
          <w:i/>
          <w:iCs/>
          <w:sz w:val="22"/>
          <w:szCs w:val="22"/>
        </w:rPr>
        <w:t>Expert Review of Neurotherapeutics</w:t>
      </w:r>
      <w:r w:rsidRPr="00F85CCF">
        <w:rPr>
          <w:rFonts w:ascii="Arial" w:hAnsi="Arial" w:cs="Arial"/>
          <w:sz w:val="22"/>
          <w:szCs w:val="22"/>
        </w:rPr>
        <w:t xml:space="preserve">, 23(6), pp. 535–548. </w:t>
      </w:r>
      <w:hyperlink r:id="rId16" w:tgtFrame="_new" w:history="1">
        <w:r w:rsidRPr="00F85CCF">
          <w:rPr>
            <w:rStyle w:val="Hyperlink"/>
            <w:rFonts w:ascii="Arial" w:hAnsi="Arial" w:cs="Arial"/>
            <w:sz w:val="22"/>
            <w:szCs w:val="22"/>
          </w:rPr>
          <w:t>https://doi.org/10.1080/14737175.2023.2211767</w:t>
        </w:r>
      </w:hyperlink>
    </w:p>
    <w:p w14:paraId="7F344EBB"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Gaebel, W., Stricker, J. and Kerst, A. (2020) ‘Changes from ICD-10 to ICD-11 and future directions in psychiatric classification’, </w:t>
      </w:r>
      <w:r w:rsidRPr="00F85CCF">
        <w:rPr>
          <w:rFonts w:ascii="Arial" w:hAnsi="Arial" w:cs="Arial"/>
          <w:i/>
          <w:iCs/>
          <w:sz w:val="22"/>
          <w:szCs w:val="22"/>
        </w:rPr>
        <w:t>Dialogues in Clinical Neuroscience</w:t>
      </w:r>
      <w:r w:rsidRPr="00F85CCF">
        <w:rPr>
          <w:rFonts w:ascii="Arial" w:hAnsi="Arial" w:cs="Arial"/>
          <w:sz w:val="22"/>
          <w:szCs w:val="22"/>
        </w:rPr>
        <w:t xml:space="preserve">, 22(1), pp. 7–15. </w:t>
      </w:r>
      <w:hyperlink r:id="rId17" w:tgtFrame="_new" w:history="1">
        <w:r w:rsidRPr="00F85CCF">
          <w:rPr>
            <w:rStyle w:val="Hyperlink"/>
            <w:rFonts w:ascii="Arial" w:hAnsi="Arial" w:cs="Arial"/>
            <w:sz w:val="22"/>
            <w:szCs w:val="22"/>
          </w:rPr>
          <w:t>https://doi.org/10.31887/DCNS.2020.22.1/wgaebel</w:t>
        </w:r>
      </w:hyperlink>
    </w:p>
    <w:p w14:paraId="14BD56F8"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Garakani, A., Murrough, J.W., Freire, R.C., Thom, R.P., Larkin, K., Buono, F.D. and Iosifescu, D.V. (2020) ‘Pharmacotherapy of anxiety disorders: current and emerging treatment options’, </w:t>
      </w:r>
      <w:r w:rsidRPr="00F85CCF">
        <w:rPr>
          <w:rFonts w:ascii="Arial" w:hAnsi="Arial" w:cs="Arial"/>
          <w:i/>
          <w:iCs/>
          <w:sz w:val="22"/>
          <w:szCs w:val="22"/>
        </w:rPr>
        <w:t>Frontiers in Psychiatry</w:t>
      </w:r>
      <w:r w:rsidRPr="00F85CCF">
        <w:rPr>
          <w:rFonts w:ascii="Arial" w:hAnsi="Arial" w:cs="Arial"/>
          <w:sz w:val="22"/>
          <w:szCs w:val="22"/>
        </w:rPr>
        <w:t xml:space="preserve">, 11, 595584. </w:t>
      </w:r>
      <w:hyperlink r:id="rId18" w:tgtFrame="_new" w:history="1">
        <w:r w:rsidRPr="00F85CCF">
          <w:rPr>
            <w:rStyle w:val="Hyperlink"/>
            <w:rFonts w:ascii="Arial" w:hAnsi="Arial" w:cs="Arial"/>
            <w:sz w:val="22"/>
            <w:szCs w:val="22"/>
          </w:rPr>
          <w:t>https://doi.org/10.3389/fpsyt.2020.595584</w:t>
        </w:r>
      </w:hyperlink>
    </w:p>
    <w:p w14:paraId="3EBE2576" w14:textId="77777777" w:rsidR="00F85CCF" w:rsidRPr="00F85CCF" w:rsidRDefault="00F85CCF" w:rsidP="00F85CCF">
      <w:pPr>
        <w:spacing w:line="240" w:lineRule="auto"/>
        <w:ind w:left="720" w:hanging="720"/>
        <w:jc w:val="both"/>
        <w:rPr>
          <w:rFonts w:ascii="Arial" w:hAnsi="Arial" w:cs="Arial"/>
          <w:sz w:val="22"/>
          <w:szCs w:val="22"/>
        </w:rPr>
      </w:pPr>
      <w:proofErr w:type="spellStart"/>
      <w:r w:rsidRPr="00F85CCF">
        <w:rPr>
          <w:rFonts w:ascii="Arial" w:hAnsi="Arial" w:cs="Arial"/>
          <w:sz w:val="22"/>
          <w:szCs w:val="22"/>
        </w:rPr>
        <w:t>Gitaari</w:t>
      </w:r>
      <w:proofErr w:type="spellEnd"/>
      <w:r w:rsidRPr="00F85CCF">
        <w:rPr>
          <w:rFonts w:ascii="Arial" w:hAnsi="Arial" w:cs="Arial"/>
          <w:sz w:val="22"/>
          <w:szCs w:val="22"/>
        </w:rPr>
        <w:t xml:space="preserve">, M., Mikolic, A., Panenka, W.J. and Silverberg, N.D. (2024) ‘Diagnostic accuracy of mental health screening tools after mild traumatic brain injury’, </w:t>
      </w:r>
      <w:r w:rsidRPr="00F85CCF">
        <w:rPr>
          <w:rFonts w:ascii="Arial" w:hAnsi="Arial" w:cs="Arial"/>
          <w:i/>
          <w:iCs/>
          <w:sz w:val="22"/>
          <w:szCs w:val="22"/>
        </w:rPr>
        <w:t>JAMA Network Open</w:t>
      </w:r>
      <w:r w:rsidRPr="00F85CCF">
        <w:rPr>
          <w:rFonts w:ascii="Arial" w:hAnsi="Arial" w:cs="Arial"/>
          <w:sz w:val="22"/>
          <w:szCs w:val="22"/>
        </w:rPr>
        <w:t xml:space="preserve">, 7(7), e2424076. </w:t>
      </w:r>
      <w:hyperlink r:id="rId19" w:tgtFrame="_new" w:history="1">
        <w:r w:rsidRPr="00F85CCF">
          <w:rPr>
            <w:rStyle w:val="Hyperlink"/>
            <w:rFonts w:ascii="Arial" w:hAnsi="Arial" w:cs="Arial"/>
            <w:sz w:val="22"/>
            <w:szCs w:val="22"/>
          </w:rPr>
          <w:t>https://doi.org/10.1001/jamanetworkopen.2024.24076</w:t>
        </w:r>
      </w:hyperlink>
    </w:p>
    <w:p w14:paraId="1FAFF0A4"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Gjerstad, S.F., Nordin, L., Poulsen, S., Spadaro, E.F.A. and Palic, S. (2024) ‘How is trauma-focused therapy experienced by adults with PTSD? A systematic review of qualitative studies’, </w:t>
      </w:r>
      <w:r w:rsidRPr="000761CD">
        <w:rPr>
          <w:rFonts w:ascii="Arial" w:hAnsi="Arial" w:cs="Arial"/>
          <w:i/>
          <w:iCs/>
          <w:sz w:val="22"/>
          <w:szCs w:val="22"/>
        </w:rPr>
        <w:t>BMC Psychology</w:t>
      </w:r>
      <w:r w:rsidRPr="000761CD">
        <w:rPr>
          <w:rFonts w:ascii="Arial" w:hAnsi="Arial" w:cs="Arial"/>
          <w:sz w:val="22"/>
          <w:szCs w:val="22"/>
        </w:rPr>
        <w:t xml:space="preserve">, 12, p. 135. </w:t>
      </w:r>
      <w:hyperlink r:id="rId20" w:tgtFrame="_new" w:history="1">
        <w:r w:rsidRPr="000761CD">
          <w:rPr>
            <w:rStyle w:val="Hyperlink"/>
            <w:rFonts w:ascii="Arial" w:hAnsi="Arial" w:cs="Arial"/>
            <w:sz w:val="22"/>
            <w:szCs w:val="22"/>
          </w:rPr>
          <w:t>https://doi.org/10.1186/s40359-024-01588-x</w:t>
        </w:r>
      </w:hyperlink>
    </w:p>
    <w:p w14:paraId="3BAF9613"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Government Equalities Office and Equality and Human Rights Commission (2013) </w:t>
      </w:r>
      <w:r w:rsidRPr="00F85CCF">
        <w:rPr>
          <w:rFonts w:ascii="Arial" w:hAnsi="Arial" w:cs="Arial"/>
          <w:i/>
          <w:iCs/>
          <w:sz w:val="22"/>
          <w:szCs w:val="22"/>
        </w:rPr>
        <w:t>Equality Act 2010: guidance</w:t>
      </w:r>
      <w:r w:rsidRPr="00F85CCF">
        <w:rPr>
          <w:rFonts w:ascii="Arial" w:hAnsi="Arial" w:cs="Arial"/>
          <w:sz w:val="22"/>
          <w:szCs w:val="22"/>
        </w:rPr>
        <w:t xml:space="preserve">. Available at: </w:t>
      </w:r>
      <w:hyperlink r:id="rId21" w:tgtFrame="_new" w:history="1">
        <w:r w:rsidRPr="00F85CCF">
          <w:rPr>
            <w:rStyle w:val="Hyperlink"/>
            <w:rFonts w:ascii="Arial" w:hAnsi="Arial" w:cs="Arial"/>
            <w:sz w:val="22"/>
            <w:szCs w:val="22"/>
          </w:rPr>
          <w:t>https://www.gov.uk/guidance/equality-act-2010-guidance</w:t>
        </w:r>
      </w:hyperlink>
      <w:r w:rsidRPr="00F85CCF">
        <w:rPr>
          <w:rFonts w:ascii="Arial" w:hAnsi="Arial" w:cs="Arial"/>
          <w:sz w:val="22"/>
          <w:szCs w:val="22"/>
        </w:rPr>
        <w:t xml:space="preserve"> (Accessed: 17 February 2026).</w:t>
      </w:r>
    </w:p>
    <w:p w14:paraId="5A1D3037"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Gow, A.H. (2025) ‘</w:t>
      </w:r>
      <w:proofErr w:type="gramStart"/>
      <w:r w:rsidRPr="00F85CCF">
        <w:rPr>
          <w:rFonts w:ascii="Arial" w:hAnsi="Arial" w:cs="Arial"/>
          <w:sz w:val="22"/>
          <w:szCs w:val="22"/>
        </w:rPr>
        <w:t>Post-traumatic</w:t>
      </w:r>
      <w:proofErr w:type="gramEnd"/>
      <w:r w:rsidRPr="00F85CCF">
        <w:rPr>
          <w:rFonts w:ascii="Arial" w:hAnsi="Arial" w:cs="Arial"/>
          <w:sz w:val="22"/>
          <w:szCs w:val="22"/>
        </w:rPr>
        <w:t xml:space="preserve"> stress disorder diagnostic accuracy rates in clinical settings: a systematic review and meta-analysis’, </w:t>
      </w:r>
      <w:proofErr w:type="spellStart"/>
      <w:r w:rsidRPr="00F85CCF">
        <w:rPr>
          <w:rFonts w:ascii="Arial" w:hAnsi="Arial" w:cs="Arial"/>
          <w:i/>
          <w:iCs/>
          <w:sz w:val="22"/>
          <w:szCs w:val="22"/>
        </w:rPr>
        <w:t>medRxiv</w:t>
      </w:r>
      <w:proofErr w:type="spellEnd"/>
      <w:r w:rsidRPr="00F85CCF">
        <w:rPr>
          <w:rFonts w:ascii="Arial" w:hAnsi="Arial" w:cs="Arial"/>
          <w:sz w:val="22"/>
          <w:szCs w:val="22"/>
        </w:rPr>
        <w:t xml:space="preserve"> (preprint). </w:t>
      </w:r>
      <w:hyperlink r:id="rId22" w:tgtFrame="_new" w:history="1">
        <w:r w:rsidRPr="00F85CCF">
          <w:rPr>
            <w:rStyle w:val="Hyperlink"/>
            <w:rFonts w:ascii="Arial" w:hAnsi="Arial" w:cs="Arial"/>
            <w:sz w:val="22"/>
            <w:szCs w:val="22"/>
          </w:rPr>
          <w:t>https://doi.org/10.64898/2025.12.03.25341390</w:t>
        </w:r>
      </w:hyperlink>
    </w:p>
    <w:p w14:paraId="2CCF9B9A"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Griffiths, T.A., Dimitrova, L.I., Linington, M., Terhune, D.B. and Reinders, A.A.T.S. (2025) ‘Effectiveness of phase-oriented treatment for trauma-related dissociative disorders: a systematic review’, </w:t>
      </w:r>
      <w:r w:rsidRPr="00F85CCF">
        <w:rPr>
          <w:rFonts w:ascii="Arial" w:hAnsi="Arial" w:cs="Arial"/>
          <w:i/>
          <w:iCs/>
          <w:sz w:val="22"/>
          <w:szCs w:val="22"/>
        </w:rPr>
        <w:t xml:space="preserve">European Journal of </w:t>
      </w:r>
      <w:proofErr w:type="spellStart"/>
      <w:r w:rsidRPr="00F85CCF">
        <w:rPr>
          <w:rFonts w:ascii="Arial" w:hAnsi="Arial" w:cs="Arial"/>
          <w:i/>
          <w:iCs/>
          <w:sz w:val="22"/>
          <w:szCs w:val="22"/>
        </w:rPr>
        <w:t>Psychotraumatology</w:t>
      </w:r>
      <w:proofErr w:type="spellEnd"/>
      <w:r w:rsidRPr="00F85CCF">
        <w:rPr>
          <w:rFonts w:ascii="Arial" w:hAnsi="Arial" w:cs="Arial"/>
          <w:sz w:val="22"/>
          <w:szCs w:val="22"/>
        </w:rPr>
        <w:t xml:space="preserve">, 16(1), 2545734. </w:t>
      </w:r>
      <w:hyperlink r:id="rId23" w:tgtFrame="_new" w:history="1">
        <w:r w:rsidRPr="00F85CCF">
          <w:rPr>
            <w:rStyle w:val="Hyperlink"/>
            <w:rFonts w:ascii="Arial" w:hAnsi="Arial" w:cs="Arial"/>
            <w:sz w:val="22"/>
            <w:szCs w:val="22"/>
          </w:rPr>
          <w:t>https://doi.org/10.1080/20008066.2025.2545734</w:t>
        </w:r>
      </w:hyperlink>
    </w:p>
    <w:p w14:paraId="339132D2"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Gros, D.F., Price, M., Magruder, K.M. and Frueh, B.C. (2012) ‘Symptom overlap in posttraumatic stress disorder and major depression’, </w:t>
      </w:r>
      <w:r w:rsidRPr="00F85CCF">
        <w:rPr>
          <w:rFonts w:ascii="Arial" w:hAnsi="Arial" w:cs="Arial"/>
          <w:i/>
          <w:iCs/>
          <w:sz w:val="22"/>
          <w:szCs w:val="22"/>
        </w:rPr>
        <w:t>Psychiatry Research</w:t>
      </w:r>
      <w:r w:rsidRPr="00F85CCF">
        <w:rPr>
          <w:rFonts w:ascii="Arial" w:hAnsi="Arial" w:cs="Arial"/>
          <w:sz w:val="22"/>
          <w:szCs w:val="22"/>
        </w:rPr>
        <w:t xml:space="preserve">, 196(2–3), pp. 267–270. </w:t>
      </w:r>
      <w:hyperlink r:id="rId24" w:tgtFrame="_new" w:history="1">
        <w:r w:rsidRPr="00F85CCF">
          <w:rPr>
            <w:rStyle w:val="Hyperlink"/>
            <w:rFonts w:ascii="Arial" w:hAnsi="Arial" w:cs="Arial"/>
            <w:sz w:val="22"/>
            <w:szCs w:val="22"/>
          </w:rPr>
          <w:t>https://doi.org/10.1016/j.psychres.2011.10.022</w:t>
        </w:r>
      </w:hyperlink>
    </w:p>
    <w:p w14:paraId="64576DE4"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Han, H.R., Miller, H.N., </w:t>
      </w:r>
      <w:proofErr w:type="spellStart"/>
      <w:r w:rsidRPr="00F85CCF">
        <w:rPr>
          <w:rFonts w:ascii="Arial" w:hAnsi="Arial" w:cs="Arial"/>
          <w:sz w:val="22"/>
          <w:szCs w:val="22"/>
        </w:rPr>
        <w:t>Nkimbeng</w:t>
      </w:r>
      <w:proofErr w:type="spellEnd"/>
      <w:r w:rsidRPr="00F85CCF">
        <w:rPr>
          <w:rFonts w:ascii="Arial" w:hAnsi="Arial" w:cs="Arial"/>
          <w:sz w:val="22"/>
          <w:szCs w:val="22"/>
        </w:rPr>
        <w:t xml:space="preserve">, M., Budhathoki, C., Mikhael, T., Rivers, E., Gray, J., Trimble, K., Chow, S. and Wilson, P. (2021) ‘Trauma informed interventions: a systematic review’, </w:t>
      </w:r>
      <w:proofErr w:type="spellStart"/>
      <w:r w:rsidRPr="00F85CCF">
        <w:rPr>
          <w:rFonts w:ascii="Arial" w:hAnsi="Arial" w:cs="Arial"/>
          <w:i/>
          <w:iCs/>
          <w:sz w:val="22"/>
          <w:szCs w:val="22"/>
        </w:rPr>
        <w:t>PLoS</w:t>
      </w:r>
      <w:proofErr w:type="spellEnd"/>
      <w:r w:rsidRPr="00F85CCF">
        <w:rPr>
          <w:rFonts w:ascii="Arial" w:hAnsi="Arial" w:cs="Arial"/>
          <w:i/>
          <w:iCs/>
          <w:sz w:val="22"/>
          <w:szCs w:val="22"/>
        </w:rPr>
        <w:t xml:space="preserve"> One</w:t>
      </w:r>
      <w:r w:rsidRPr="00F85CCF">
        <w:rPr>
          <w:rFonts w:ascii="Arial" w:hAnsi="Arial" w:cs="Arial"/>
          <w:sz w:val="22"/>
          <w:szCs w:val="22"/>
        </w:rPr>
        <w:t xml:space="preserve">, 16(6), e0252747. </w:t>
      </w:r>
      <w:hyperlink r:id="rId25" w:tgtFrame="_new" w:history="1">
        <w:r w:rsidRPr="00F85CCF">
          <w:rPr>
            <w:rStyle w:val="Hyperlink"/>
            <w:rFonts w:ascii="Arial" w:hAnsi="Arial" w:cs="Arial"/>
            <w:sz w:val="22"/>
            <w:szCs w:val="22"/>
          </w:rPr>
          <w:t>https://doi.org/10.1371/journal.pone.0252747</w:t>
        </w:r>
      </w:hyperlink>
    </w:p>
    <w:p w14:paraId="091FA83C" w14:textId="77777777" w:rsidR="00F85CCF" w:rsidRPr="00F85CCF" w:rsidRDefault="00F85CCF" w:rsidP="00F85CCF">
      <w:pPr>
        <w:spacing w:line="240" w:lineRule="auto"/>
        <w:ind w:left="720" w:hanging="720"/>
        <w:jc w:val="both"/>
        <w:rPr>
          <w:rFonts w:ascii="Arial" w:hAnsi="Arial" w:cs="Arial"/>
          <w:sz w:val="22"/>
          <w:szCs w:val="22"/>
        </w:rPr>
      </w:pPr>
      <w:proofErr w:type="spellStart"/>
      <w:r w:rsidRPr="00F85CCF">
        <w:rPr>
          <w:rFonts w:ascii="Arial" w:hAnsi="Arial" w:cs="Arial"/>
          <w:sz w:val="22"/>
          <w:szCs w:val="22"/>
        </w:rPr>
        <w:t>Haruvi</w:t>
      </w:r>
      <w:proofErr w:type="spellEnd"/>
      <w:r w:rsidRPr="00F85CCF">
        <w:rPr>
          <w:rFonts w:ascii="Arial" w:hAnsi="Arial" w:cs="Arial"/>
          <w:sz w:val="22"/>
          <w:szCs w:val="22"/>
        </w:rPr>
        <w:t xml:space="preserve">-Lamdan, N., </w:t>
      </w:r>
      <w:proofErr w:type="spellStart"/>
      <w:r w:rsidRPr="00F85CCF">
        <w:rPr>
          <w:rFonts w:ascii="Arial" w:hAnsi="Arial" w:cs="Arial"/>
          <w:sz w:val="22"/>
          <w:szCs w:val="22"/>
        </w:rPr>
        <w:t>Horesh</w:t>
      </w:r>
      <w:proofErr w:type="spellEnd"/>
      <w:r w:rsidRPr="00F85CCF">
        <w:rPr>
          <w:rFonts w:ascii="Arial" w:hAnsi="Arial" w:cs="Arial"/>
          <w:sz w:val="22"/>
          <w:szCs w:val="22"/>
        </w:rPr>
        <w:t>, D., Zohar, S., Kraus, M. and Golan, O. (2020) ‘</w:t>
      </w:r>
      <w:proofErr w:type="gramStart"/>
      <w:r w:rsidRPr="00F85CCF">
        <w:rPr>
          <w:rFonts w:ascii="Arial" w:hAnsi="Arial" w:cs="Arial"/>
          <w:sz w:val="22"/>
          <w:szCs w:val="22"/>
        </w:rPr>
        <w:t>Autism spectrum disorder</w:t>
      </w:r>
      <w:proofErr w:type="gramEnd"/>
      <w:r w:rsidRPr="00F85CCF">
        <w:rPr>
          <w:rFonts w:ascii="Arial" w:hAnsi="Arial" w:cs="Arial"/>
          <w:sz w:val="22"/>
          <w:szCs w:val="22"/>
        </w:rPr>
        <w:t xml:space="preserve"> and post-traumatic stress disorder: an unexplored co-occurrence of conditions’, </w:t>
      </w:r>
      <w:r w:rsidRPr="00F85CCF">
        <w:rPr>
          <w:rFonts w:ascii="Arial" w:hAnsi="Arial" w:cs="Arial"/>
          <w:i/>
          <w:iCs/>
          <w:sz w:val="22"/>
          <w:szCs w:val="22"/>
        </w:rPr>
        <w:t>Autism</w:t>
      </w:r>
      <w:r w:rsidRPr="00F85CCF">
        <w:rPr>
          <w:rFonts w:ascii="Arial" w:hAnsi="Arial" w:cs="Arial"/>
          <w:sz w:val="22"/>
          <w:szCs w:val="22"/>
        </w:rPr>
        <w:t xml:space="preserve">, 24(4), pp. 884–898. </w:t>
      </w:r>
      <w:hyperlink r:id="rId26" w:tgtFrame="_new" w:history="1">
        <w:r w:rsidRPr="00F85CCF">
          <w:rPr>
            <w:rStyle w:val="Hyperlink"/>
            <w:rFonts w:ascii="Arial" w:hAnsi="Arial" w:cs="Arial"/>
            <w:sz w:val="22"/>
            <w:szCs w:val="22"/>
          </w:rPr>
          <w:t>https://doi.org/10.1177/1362361320912143</w:t>
        </w:r>
      </w:hyperlink>
    </w:p>
    <w:p w14:paraId="1E85C88F"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Hoskins, M.D., Bridges, J., Sinnerton, R., Nakamura, A., Underwood, J.F.G., Slater, A., Lee, M.R.D., Clarke, L., Lewis, C., Roberts, N.P. and Bisson, J.I. (2021) ‘Pharmacological therapy for post-traumatic stress disorder: a systematic review and meta-analysis of monotherapy, augmentation and head-to-head approaches’, </w:t>
      </w:r>
      <w:r w:rsidRPr="00F85CCF">
        <w:rPr>
          <w:rFonts w:ascii="Arial" w:hAnsi="Arial" w:cs="Arial"/>
          <w:i/>
          <w:iCs/>
          <w:sz w:val="22"/>
          <w:szCs w:val="22"/>
        </w:rPr>
        <w:t xml:space="preserve">European Journal of </w:t>
      </w:r>
      <w:proofErr w:type="spellStart"/>
      <w:r w:rsidRPr="00F85CCF">
        <w:rPr>
          <w:rFonts w:ascii="Arial" w:hAnsi="Arial" w:cs="Arial"/>
          <w:i/>
          <w:iCs/>
          <w:sz w:val="22"/>
          <w:szCs w:val="22"/>
        </w:rPr>
        <w:t>Psychotraumatology</w:t>
      </w:r>
      <w:proofErr w:type="spellEnd"/>
      <w:r w:rsidRPr="00F85CCF">
        <w:rPr>
          <w:rFonts w:ascii="Arial" w:hAnsi="Arial" w:cs="Arial"/>
          <w:sz w:val="22"/>
          <w:szCs w:val="22"/>
        </w:rPr>
        <w:t xml:space="preserve">, 12(1), 1802920. </w:t>
      </w:r>
      <w:hyperlink r:id="rId27" w:tgtFrame="_new" w:history="1">
        <w:r w:rsidRPr="00F85CCF">
          <w:rPr>
            <w:rStyle w:val="Hyperlink"/>
            <w:rFonts w:ascii="Arial" w:hAnsi="Arial" w:cs="Arial"/>
            <w:sz w:val="22"/>
            <w:szCs w:val="22"/>
          </w:rPr>
          <w:t>https://doi.org/10.1080/20008198.2020.1802920</w:t>
        </w:r>
      </w:hyperlink>
    </w:p>
    <w:p w14:paraId="0D6BE9B9"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Howard, A., </w:t>
      </w:r>
      <w:proofErr w:type="spellStart"/>
      <w:r w:rsidRPr="00F85CCF">
        <w:rPr>
          <w:rFonts w:ascii="Arial" w:hAnsi="Arial" w:cs="Arial"/>
          <w:sz w:val="22"/>
          <w:szCs w:val="22"/>
        </w:rPr>
        <w:t>Agathos</w:t>
      </w:r>
      <w:proofErr w:type="spellEnd"/>
      <w:r w:rsidRPr="00F85CCF">
        <w:rPr>
          <w:rFonts w:ascii="Arial" w:hAnsi="Arial" w:cs="Arial"/>
          <w:sz w:val="22"/>
          <w:szCs w:val="22"/>
        </w:rPr>
        <w:t xml:space="preserve">, J.A., Phelps, A., Cowlishaw, S., </w:t>
      </w:r>
      <w:proofErr w:type="spellStart"/>
      <w:r w:rsidRPr="00F85CCF">
        <w:rPr>
          <w:rFonts w:ascii="Arial" w:hAnsi="Arial" w:cs="Arial"/>
          <w:sz w:val="22"/>
          <w:szCs w:val="22"/>
        </w:rPr>
        <w:t>Terhaag</w:t>
      </w:r>
      <w:proofErr w:type="spellEnd"/>
      <w:r w:rsidRPr="00F85CCF">
        <w:rPr>
          <w:rFonts w:ascii="Arial" w:hAnsi="Arial" w:cs="Arial"/>
          <w:sz w:val="22"/>
          <w:szCs w:val="22"/>
        </w:rPr>
        <w:t xml:space="preserve">, S., Arjmand, H.A., Armstrong, R., Berle, D., Steel, Z., Brewer, D., Human, B., Herwig, A., Wigg, C., Kemp, P., Wellauer, R. and O’Donnell, M.L. (2021) ‘Prevalence and treatment implications of ICD-11 complex PTSD in Australian treatment-seeking current and ex-serving military members’, </w:t>
      </w:r>
      <w:r w:rsidRPr="00F85CCF">
        <w:rPr>
          <w:rFonts w:ascii="Arial" w:hAnsi="Arial" w:cs="Arial"/>
          <w:i/>
          <w:iCs/>
          <w:sz w:val="22"/>
          <w:szCs w:val="22"/>
        </w:rPr>
        <w:t xml:space="preserve">European Journal of </w:t>
      </w:r>
      <w:proofErr w:type="spellStart"/>
      <w:r w:rsidRPr="00F85CCF">
        <w:rPr>
          <w:rFonts w:ascii="Arial" w:hAnsi="Arial" w:cs="Arial"/>
          <w:i/>
          <w:iCs/>
          <w:sz w:val="22"/>
          <w:szCs w:val="22"/>
        </w:rPr>
        <w:t>Psychotraumatology</w:t>
      </w:r>
      <w:proofErr w:type="spellEnd"/>
      <w:r w:rsidRPr="00F85CCF">
        <w:rPr>
          <w:rFonts w:ascii="Arial" w:hAnsi="Arial" w:cs="Arial"/>
          <w:sz w:val="22"/>
          <w:szCs w:val="22"/>
        </w:rPr>
        <w:t xml:space="preserve">, 12(1), 1844441. </w:t>
      </w:r>
      <w:hyperlink r:id="rId28" w:tgtFrame="_new" w:history="1">
        <w:r w:rsidRPr="00F85CCF">
          <w:rPr>
            <w:rStyle w:val="Hyperlink"/>
            <w:rFonts w:ascii="Arial" w:hAnsi="Arial" w:cs="Arial"/>
            <w:sz w:val="22"/>
            <w:szCs w:val="22"/>
          </w:rPr>
          <w:t>https://doi.org/10.1080/20008198.2020.1844441</w:t>
        </w:r>
      </w:hyperlink>
    </w:p>
    <w:p w14:paraId="7FF21487"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Huang, Z.-D., Zhao, Y.-F., Li, S., Gu, H.-Y., Lin, L.-L., Yang, Z.-Y., Niu, Y.-M., Zhang, C. and Luo, J. (2020) ‘Comparative efficacy and acceptability of pharmaceutical management for adults with post-traumatic stress disorder: a systematic review and meta-analysis’, </w:t>
      </w:r>
      <w:r w:rsidRPr="00F85CCF">
        <w:rPr>
          <w:rFonts w:ascii="Arial" w:hAnsi="Arial" w:cs="Arial"/>
          <w:i/>
          <w:iCs/>
          <w:sz w:val="22"/>
          <w:szCs w:val="22"/>
        </w:rPr>
        <w:t>Frontiers in Pharmacology</w:t>
      </w:r>
      <w:r w:rsidRPr="00F85CCF">
        <w:rPr>
          <w:rFonts w:ascii="Arial" w:hAnsi="Arial" w:cs="Arial"/>
          <w:sz w:val="22"/>
          <w:szCs w:val="22"/>
        </w:rPr>
        <w:t xml:space="preserve">, 11, 559. </w:t>
      </w:r>
      <w:hyperlink r:id="rId29" w:tgtFrame="_new" w:history="1">
        <w:r w:rsidRPr="00F85CCF">
          <w:rPr>
            <w:rStyle w:val="Hyperlink"/>
            <w:rFonts w:ascii="Arial" w:hAnsi="Arial" w:cs="Arial"/>
            <w:sz w:val="22"/>
            <w:szCs w:val="22"/>
          </w:rPr>
          <w:t>https://doi.org/10.3389/fphar.2020.00559</w:t>
        </w:r>
      </w:hyperlink>
    </w:p>
    <w:p w14:paraId="050A7356" w14:textId="77777777" w:rsidR="00F85CCF" w:rsidRPr="000761CD" w:rsidRDefault="00F85CCF" w:rsidP="00F85CCF">
      <w:pPr>
        <w:spacing w:line="240" w:lineRule="auto"/>
        <w:ind w:left="720" w:hanging="720"/>
        <w:jc w:val="both"/>
        <w:rPr>
          <w:rFonts w:ascii="Arial" w:hAnsi="Arial" w:cs="Arial"/>
          <w:sz w:val="22"/>
          <w:szCs w:val="22"/>
        </w:rPr>
      </w:pPr>
      <w:proofErr w:type="spellStart"/>
      <w:r w:rsidRPr="000761CD">
        <w:rPr>
          <w:rFonts w:ascii="Arial" w:hAnsi="Arial" w:cs="Arial"/>
          <w:sz w:val="22"/>
          <w:szCs w:val="22"/>
        </w:rPr>
        <w:t>Hudays</w:t>
      </w:r>
      <w:proofErr w:type="spellEnd"/>
      <w:r w:rsidRPr="000761CD">
        <w:rPr>
          <w:rFonts w:ascii="Arial" w:hAnsi="Arial" w:cs="Arial"/>
          <w:sz w:val="22"/>
          <w:szCs w:val="22"/>
        </w:rPr>
        <w:t xml:space="preserve">, A., Gallagher, R., </w:t>
      </w:r>
      <w:proofErr w:type="spellStart"/>
      <w:r w:rsidRPr="000761CD">
        <w:rPr>
          <w:rFonts w:ascii="Arial" w:hAnsi="Arial" w:cs="Arial"/>
          <w:sz w:val="22"/>
          <w:szCs w:val="22"/>
        </w:rPr>
        <w:t>Hazazi</w:t>
      </w:r>
      <w:proofErr w:type="spellEnd"/>
      <w:r w:rsidRPr="000761CD">
        <w:rPr>
          <w:rFonts w:ascii="Arial" w:hAnsi="Arial" w:cs="Arial"/>
          <w:sz w:val="22"/>
          <w:szCs w:val="22"/>
        </w:rPr>
        <w:t xml:space="preserve">, A., </w:t>
      </w:r>
      <w:proofErr w:type="spellStart"/>
      <w:r w:rsidRPr="000761CD">
        <w:rPr>
          <w:rFonts w:ascii="Arial" w:hAnsi="Arial" w:cs="Arial"/>
          <w:sz w:val="22"/>
          <w:szCs w:val="22"/>
        </w:rPr>
        <w:t>Arishi</w:t>
      </w:r>
      <w:proofErr w:type="spellEnd"/>
      <w:r w:rsidRPr="000761CD">
        <w:rPr>
          <w:rFonts w:ascii="Arial" w:hAnsi="Arial" w:cs="Arial"/>
          <w:sz w:val="22"/>
          <w:szCs w:val="22"/>
        </w:rPr>
        <w:t xml:space="preserve">, A. and Bahari, G. (2022) ‘Eye movement desensitization and reprocessing versus cognitive behavior therapy for treating post-traumatic stress disorder: a systematic review and meta-analysis’, </w:t>
      </w:r>
      <w:r w:rsidRPr="000761CD">
        <w:rPr>
          <w:rFonts w:ascii="Arial" w:hAnsi="Arial" w:cs="Arial"/>
          <w:i/>
          <w:iCs/>
          <w:sz w:val="22"/>
          <w:szCs w:val="22"/>
        </w:rPr>
        <w:t>International Journal of Environmental Research and Public Health</w:t>
      </w:r>
      <w:r w:rsidRPr="000761CD">
        <w:rPr>
          <w:rFonts w:ascii="Arial" w:hAnsi="Arial" w:cs="Arial"/>
          <w:sz w:val="22"/>
          <w:szCs w:val="22"/>
        </w:rPr>
        <w:t xml:space="preserve">, 19(24), 16836. </w:t>
      </w:r>
      <w:hyperlink r:id="rId30" w:tgtFrame="_new" w:history="1">
        <w:r w:rsidRPr="000761CD">
          <w:rPr>
            <w:rStyle w:val="Hyperlink"/>
            <w:rFonts w:ascii="Arial" w:hAnsi="Arial" w:cs="Arial"/>
            <w:sz w:val="22"/>
            <w:szCs w:val="22"/>
          </w:rPr>
          <w:t>https://doi.org/10.3390/ijerph192416836</w:t>
        </w:r>
      </w:hyperlink>
    </w:p>
    <w:p w14:paraId="7CF75A1E"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Huo, Y., </w:t>
      </w:r>
      <w:proofErr w:type="spellStart"/>
      <w:r w:rsidRPr="00F85CCF">
        <w:rPr>
          <w:rFonts w:ascii="Arial" w:hAnsi="Arial" w:cs="Arial"/>
          <w:sz w:val="22"/>
          <w:szCs w:val="22"/>
        </w:rPr>
        <w:t>Couzner</w:t>
      </w:r>
      <w:proofErr w:type="spellEnd"/>
      <w:r w:rsidRPr="00F85CCF">
        <w:rPr>
          <w:rFonts w:ascii="Arial" w:hAnsi="Arial" w:cs="Arial"/>
          <w:sz w:val="22"/>
          <w:szCs w:val="22"/>
        </w:rPr>
        <w:t xml:space="preserve">, L., Windsor, T., Laver, K., Dissanayaka, N.N. and Cations, M. (2023) ‘Barriers and enablers for the implementation of trauma-informed care in healthcare settings: a systematic review’, </w:t>
      </w:r>
      <w:r w:rsidRPr="00F85CCF">
        <w:rPr>
          <w:rFonts w:ascii="Arial" w:hAnsi="Arial" w:cs="Arial"/>
          <w:i/>
          <w:iCs/>
          <w:sz w:val="22"/>
          <w:szCs w:val="22"/>
        </w:rPr>
        <w:t>Implementation Science Communications</w:t>
      </w:r>
      <w:r w:rsidRPr="00F85CCF">
        <w:rPr>
          <w:rFonts w:ascii="Arial" w:hAnsi="Arial" w:cs="Arial"/>
          <w:sz w:val="22"/>
          <w:szCs w:val="22"/>
        </w:rPr>
        <w:t xml:space="preserve">, 4, 49. </w:t>
      </w:r>
      <w:hyperlink r:id="rId31" w:tgtFrame="_new" w:history="1">
        <w:r w:rsidRPr="00F85CCF">
          <w:rPr>
            <w:rStyle w:val="Hyperlink"/>
            <w:rFonts w:ascii="Arial" w:hAnsi="Arial" w:cs="Arial"/>
            <w:sz w:val="22"/>
            <w:szCs w:val="22"/>
          </w:rPr>
          <w:t>https://doi.org/10.1186/s43058-023-00428-0</w:t>
        </w:r>
      </w:hyperlink>
    </w:p>
    <w:p w14:paraId="384933B9"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Jia, Y., Ye, Z., Yang, F., Chai, J., Xu, H., Yang, J., Liang, W. and Wu, L. (2025) ‘Pharmacotherapy for post-traumatic stress disorder: systematic review and meta-analysis’, </w:t>
      </w:r>
      <w:r w:rsidRPr="00F85CCF">
        <w:rPr>
          <w:rFonts w:ascii="Arial" w:hAnsi="Arial" w:cs="Arial"/>
          <w:i/>
          <w:iCs/>
          <w:sz w:val="22"/>
          <w:szCs w:val="22"/>
        </w:rPr>
        <w:t>Therapeutic Advances in Psychopharmacology</w:t>
      </w:r>
      <w:r w:rsidRPr="00F85CCF">
        <w:rPr>
          <w:rFonts w:ascii="Arial" w:hAnsi="Arial" w:cs="Arial"/>
          <w:sz w:val="22"/>
          <w:szCs w:val="22"/>
        </w:rPr>
        <w:t xml:space="preserve">, 15, 20451253251342628. </w:t>
      </w:r>
      <w:hyperlink r:id="rId32" w:tgtFrame="_new" w:history="1">
        <w:r w:rsidRPr="00F85CCF">
          <w:rPr>
            <w:rStyle w:val="Hyperlink"/>
            <w:rFonts w:ascii="Arial" w:hAnsi="Arial" w:cs="Arial"/>
            <w:sz w:val="22"/>
            <w:szCs w:val="22"/>
          </w:rPr>
          <w:t>https://doi.org/10.1177/20451253251342628</w:t>
        </w:r>
      </w:hyperlink>
    </w:p>
    <w:p w14:paraId="6B521FBD"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Jiang, S., Cheng, Y., Qian, W., Dong, Z., Chen, Z. and Shui, L. (2025) ‘Effectiveness of trauma-focused interventions in reducing externalizing behaviors among traumatized adolescents: a systematic review and meta-analysis’, </w:t>
      </w:r>
      <w:r w:rsidRPr="000761CD">
        <w:rPr>
          <w:rFonts w:ascii="Arial" w:hAnsi="Arial" w:cs="Arial"/>
          <w:i/>
          <w:iCs/>
          <w:sz w:val="22"/>
          <w:szCs w:val="22"/>
        </w:rPr>
        <w:t>Trauma, Violence, &amp; Abuse</w:t>
      </w:r>
      <w:r w:rsidRPr="000761CD">
        <w:rPr>
          <w:rFonts w:ascii="Arial" w:hAnsi="Arial" w:cs="Arial"/>
          <w:sz w:val="22"/>
          <w:szCs w:val="22"/>
        </w:rPr>
        <w:t xml:space="preserve">, 0(0). </w:t>
      </w:r>
      <w:hyperlink r:id="rId33" w:tgtFrame="_new" w:history="1">
        <w:r w:rsidRPr="000761CD">
          <w:rPr>
            <w:rStyle w:val="Hyperlink"/>
            <w:rFonts w:ascii="Arial" w:hAnsi="Arial" w:cs="Arial"/>
            <w:sz w:val="22"/>
            <w:szCs w:val="22"/>
          </w:rPr>
          <w:t>https://doi.org/10.1177/15248380251388127</w:t>
        </w:r>
      </w:hyperlink>
    </w:p>
    <w:p w14:paraId="48988634" w14:textId="77777777" w:rsidR="00F85CCF" w:rsidRPr="000761CD" w:rsidRDefault="00F85CCF" w:rsidP="00F85CCF">
      <w:pPr>
        <w:spacing w:line="240" w:lineRule="auto"/>
        <w:ind w:left="720" w:hanging="720"/>
        <w:jc w:val="both"/>
        <w:rPr>
          <w:rFonts w:ascii="Arial" w:hAnsi="Arial" w:cs="Arial"/>
          <w:sz w:val="22"/>
          <w:szCs w:val="22"/>
        </w:rPr>
      </w:pPr>
      <w:proofErr w:type="spellStart"/>
      <w:r w:rsidRPr="000761CD">
        <w:rPr>
          <w:rFonts w:ascii="Arial" w:hAnsi="Arial" w:cs="Arial"/>
          <w:sz w:val="22"/>
          <w:szCs w:val="22"/>
        </w:rPr>
        <w:t>Kairyte</w:t>
      </w:r>
      <w:proofErr w:type="spellEnd"/>
      <w:r w:rsidRPr="000761CD">
        <w:rPr>
          <w:rFonts w:ascii="Arial" w:hAnsi="Arial" w:cs="Arial"/>
          <w:sz w:val="22"/>
          <w:szCs w:val="22"/>
        </w:rPr>
        <w:t xml:space="preserve">, A., </w:t>
      </w:r>
      <w:proofErr w:type="spellStart"/>
      <w:r w:rsidRPr="000761CD">
        <w:rPr>
          <w:rFonts w:ascii="Arial" w:hAnsi="Arial" w:cs="Arial"/>
          <w:sz w:val="22"/>
          <w:szCs w:val="22"/>
        </w:rPr>
        <w:t>Kvedaraite</w:t>
      </w:r>
      <w:proofErr w:type="spellEnd"/>
      <w:r w:rsidRPr="000761CD">
        <w:rPr>
          <w:rFonts w:ascii="Arial" w:hAnsi="Arial" w:cs="Arial"/>
          <w:sz w:val="22"/>
          <w:szCs w:val="22"/>
        </w:rPr>
        <w:t xml:space="preserve">, M., Kazlauskas, E. and </w:t>
      </w:r>
      <w:proofErr w:type="spellStart"/>
      <w:r w:rsidRPr="000761CD">
        <w:rPr>
          <w:rFonts w:ascii="Arial" w:hAnsi="Arial" w:cs="Arial"/>
          <w:sz w:val="22"/>
          <w:szCs w:val="22"/>
        </w:rPr>
        <w:t>Gelezelyte</w:t>
      </w:r>
      <w:proofErr w:type="spellEnd"/>
      <w:r w:rsidRPr="000761CD">
        <w:rPr>
          <w:rFonts w:ascii="Arial" w:hAnsi="Arial" w:cs="Arial"/>
          <w:sz w:val="22"/>
          <w:szCs w:val="22"/>
        </w:rPr>
        <w:t xml:space="preserve">, O. (2022) ‘Exploring the links between various traumatic experiences and ICD-11 PTSD and complex PTSD: a cross-sectional study’, </w:t>
      </w:r>
      <w:r w:rsidRPr="000761CD">
        <w:rPr>
          <w:rFonts w:ascii="Arial" w:hAnsi="Arial" w:cs="Arial"/>
          <w:i/>
          <w:iCs/>
          <w:sz w:val="22"/>
          <w:szCs w:val="22"/>
        </w:rPr>
        <w:t>Frontiers in Psychology</w:t>
      </w:r>
      <w:r w:rsidRPr="000761CD">
        <w:rPr>
          <w:rFonts w:ascii="Arial" w:hAnsi="Arial" w:cs="Arial"/>
          <w:sz w:val="22"/>
          <w:szCs w:val="22"/>
        </w:rPr>
        <w:t xml:space="preserve">, 13, 896981. </w:t>
      </w:r>
      <w:hyperlink r:id="rId34" w:tgtFrame="_new" w:history="1">
        <w:r w:rsidRPr="000761CD">
          <w:rPr>
            <w:rStyle w:val="Hyperlink"/>
            <w:rFonts w:ascii="Arial" w:hAnsi="Arial" w:cs="Arial"/>
            <w:sz w:val="22"/>
            <w:szCs w:val="22"/>
          </w:rPr>
          <w:t>https://doi.org/10.3389/fpsyg.2022.896981</w:t>
        </w:r>
      </w:hyperlink>
    </w:p>
    <w:p w14:paraId="1E614C23"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Kapadia, M., Desai, M. and Parikh, R. (2020) ‘Fractures in the framework: limitations of classification systems in psychiatry’, </w:t>
      </w:r>
      <w:r w:rsidRPr="00F85CCF">
        <w:rPr>
          <w:rFonts w:ascii="Arial" w:hAnsi="Arial" w:cs="Arial"/>
          <w:i/>
          <w:iCs/>
          <w:sz w:val="22"/>
          <w:szCs w:val="22"/>
        </w:rPr>
        <w:t>Dialogues in Clinical Neuroscience</w:t>
      </w:r>
      <w:r w:rsidRPr="00F85CCF">
        <w:rPr>
          <w:rFonts w:ascii="Arial" w:hAnsi="Arial" w:cs="Arial"/>
          <w:sz w:val="22"/>
          <w:szCs w:val="22"/>
        </w:rPr>
        <w:t xml:space="preserve">, 22(1), pp. 17–26. </w:t>
      </w:r>
      <w:hyperlink r:id="rId35" w:tgtFrame="_new" w:history="1">
        <w:r w:rsidRPr="00F85CCF">
          <w:rPr>
            <w:rStyle w:val="Hyperlink"/>
            <w:rFonts w:ascii="Arial" w:hAnsi="Arial" w:cs="Arial"/>
            <w:sz w:val="22"/>
            <w:szCs w:val="22"/>
          </w:rPr>
          <w:t>https://doi.org/10.31887/DCNS.2020.22.1/rparikh</w:t>
        </w:r>
      </w:hyperlink>
    </w:p>
    <w:p w14:paraId="15B2ACFD" w14:textId="77777777" w:rsidR="00F85CCF" w:rsidRPr="000761CD" w:rsidRDefault="00F85CCF" w:rsidP="00F85CCF">
      <w:pPr>
        <w:spacing w:line="240" w:lineRule="auto"/>
        <w:ind w:left="720" w:hanging="720"/>
        <w:jc w:val="both"/>
        <w:rPr>
          <w:rFonts w:ascii="Arial" w:hAnsi="Arial" w:cs="Arial"/>
          <w:sz w:val="22"/>
          <w:szCs w:val="22"/>
        </w:rPr>
      </w:pPr>
      <w:proofErr w:type="spellStart"/>
      <w:r w:rsidRPr="000761CD">
        <w:rPr>
          <w:rFonts w:ascii="Arial" w:hAnsi="Arial" w:cs="Arial"/>
          <w:sz w:val="22"/>
          <w:szCs w:val="22"/>
        </w:rPr>
        <w:t>Karatzias</w:t>
      </w:r>
      <w:proofErr w:type="spellEnd"/>
      <w:r w:rsidRPr="000761CD">
        <w:rPr>
          <w:rFonts w:ascii="Arial" w:hAnsi="Arial" w:cs="Arial"/>
          <w:sz w:val="22"/>
          <w:szCs w:val="22"/>
        </w:rPr>
        <w:t xml:space="preserve">, T., </w:t>
      </w:r>
      <w:proofErr w:type="spellStart"/>
      <w:r w:rsidRPr="000761CD">
        <w:rPr>
          <w:rFonts w:ascii="Arial" w:hAnsi="Arial" w:cs="Arial"/>
          <w:sz w:val="22"/>
          <w:szCs w:val="22"/>
        </w:rPr>
        <w:t>Cloitre</w:t>
      </w:r>
      <w:proofErr w:type="spellEnd"/>
      <w:r w:rsidRPr="000761CD">
        <w:rPr>
          <w:rFonts w:ascii="Arial" w:hAnsi="Arial" w:cs="Arial"/>
          <w:sz w:val="22"/>
          <w:szCs w:val="22"/>
        </w:rPr>
        <w:t xml:space="preserve">, M., </w:t>
      </w:r>
      <w:proofErr w:type="spellStart"/>
      <w:r w:rsidRPr="000761CD">
        <w:rPr>
          <w:rFonts w:ascii="Arial" w:hAnsi="Arial" w:cs="Arial"/>
          <w:sz w:val="22"/>
          <w:szCs w:val="22"/>
        </w:rPr>
        <w:t>Maercker</w:t>
      </w:r>
      <w:proofErr w:type="spellEnd"/>
      <w:r w:rsidRPr="000761CD">
        <w:rPr>
          <w:rFonts w:ascii="Arial" w:hAnsi="Arial" w:cs="Arial"/>
          <w:sz w:val="22"/>
          <w:szCs w:val="22"/>
        </w:rPr>
        <w:t xml:space="preserve">, A., Kazlauskas, E., Shevlin, M., Hyland, P., Bisson, J.I., Roberts, N.P. and Brewin, C.R. (2018) ‘PTSD and complex PTSD: ICD-11 updates on concept and measurement in the UK, USA, Germany and Lithuania’, </w:t>
      </w:r>
      <w:r w:rsidRPr="000761CD">
        <w:rPr>
          <w:rFonts w:ascii="Arial" w:hAnsi="Arial" w:cs="Arial"/>
          <w:i/>
          <w:iCs/>
          <w:sz w:val="22"/>
          <w:szCs w:val="22"/>
        </w:rPr>
        <w:t xml:space="preserve">European Journal of </w:t>
      </w:r>
      <w:proofErr w:type="spellStart"/>
      <w:r w:rsidRPr="000761CD">
        <w:rPr>
          <w:rFonts w:ascii="Arial" w:hAnsi="Arial" w:cs="Arial"/>
          <w:i/>
          <w:iCs/>
          <w:sz w:val="22"/>
          <w:szCs w:val="22"/>
        </w:rPr>
        <w:t>Psychotraumatology</w:t>
      </w:r>
      <w:proofErr w:type="spellEnd"/>
      <w:r w:rsidRPr="000761CD">
        <w:rPr>
          <w:rFonts w:ascii="Arial" w:hAnsi="Arial" w:cs="Arial"/>
          <w:sz w:val="22"/>
          <w:szCs w:val="22"/>
        </w:rPr>
        <w:t xml:space="preserve">, 8(sup7), 1418103. </w:t>
      </w:r>
      <w:hyperlink r:id="rId36" w:tgtFrame="_new" w:history="1">
        <w:r w:rsidRPr="000761CD">
          <w:rPr>
            <w:rStyle w:val="Hyperlink"/>
            <w:rFonts w:ascii="Arial" w:hAnsi="Arial" w:cs="Arial"/>
            <w:sz w:val="22"/>
            <w:szCs w:val="22"/>
          </w:rPr>
          <w:t>https://doi.org/10.1080/20008198.2017.1418103</w:t>
        </w:r>
      </w:hyperlink>
    </w:p>
    <w:p w14:paraId="489B5F69" w14:textId="77777777" w:rsidR="00F85CCF" w:rsidRPr="000761CD" w:rsidRDefault="00F85CCF" w:rsidP="00F85CCF">
      <w:pPr>
        <w:spacing w:line="240" w:lineRule="auto"/>
        <w:ind w:left="720" w:hanging="720"/>
        <w:jc w:val="both"/>
        <w:rPr>
          <w:rFonts w:ascii="Arial" w:hAnsi="Arial" w:cs="Arial"/>
          <w:sz w:val="22"/>
          <w:szCs w:val="22"/>
        </w:rPr>
      </w:pPr>
      <w:proofErr w:type="spellStart"/>
      <w:r w:rsidRPr="000761CD">
        <w:rPr>
          <w:rFonts w:ascii="Arial" w:hAnsi="Arial" w:cs="Arial"/>
          <w:sz w:val="22"/>
          <w:szCs w:val="22"/>
        </w:rPr>
        <w:t>Karatzias</w:t>
      </w:r>
      <w:proofErr w:type="spellEnd"/>
      <w:r w:rsidRPr="000761CD">
        <w:rPr>
          <w:rFonts w:ascii="Arial" w:hAnsi="Arial" w:cs="Arial"/>
          <w:sz w:val="22"/>
          <w:szCs w:val="22"/>
        </w:rPr>
        <w:t xml:space="preserve">, T., Murphy, P., </w:t>
      </w:r>
      <w:proofErr w:type="spellStart"/>
      <w:r w:rsidRPr="000761CD">
        <w:rPr>
          <w:rFonts w:ascii="Arial" w:hAnsi="Arial" w:cs="Arial"/>
          <w:sz w:val="22"/>
          <w:szCs w:val="22"/>
        </w:rPr>
        <w:t>Cloitre</w:t>
      </w:r>
      <w:proofErr w:type="spellEnd"/>
      <w:r w:rsidRPr="000761CD">
        <w:rPr>
          <w:rFonts w:ascii="Arial" w:hAnsi="Arial" w:cs="Arial"/>
          <w:sz w:val="22"/>
          <w:szCs w:val="22"/>
        </w:rPr>
        <w:t xml:space="preserve">, M., Bisson, J., Roberts, N., Shevlin, M., Hyland, P., Maercker, A., Ben-Ezra, M., Coventry, P., Mason-Roberts, S., Bradley, A. and Hutton, P. (2019) ‘Psychological interventions for ICD-11 complex PTSD symptoms: systematic review and meta-analysis’, </w:t>
      </w:r>
      <w:r w:rsidRPr="000761CD">
        <w:rPr>
          <w:rFonts w:ascii="Arial" w:hAnsi="Arial" w:cs="Arial"/>
          <w:i/>
          <w:iCs/>
          <w:sz w:val="22"/>
          <w:szCs w:val="22"/>
        </w:rPr>
        <w:t>Psychological Medicine</w:t>
      </w:r>
      <w:r w:rsidRPr="000761CD">
        <w:rPr>
          <w:rFonts w:ascii="Arial" w:hAnsi="Arial" w:cs="Arial"/>
          <w:sz w:val="22"/>
          <w:szCs w:val="22"/>
        </w:rPr>
        <w:t xml:space="preserve">, pp. 1–15. </w:t>
      </w:r>
      <w:hyperlink r:id="rId37" w:tgtFrame="_new" w:history="1">
        <w:r w:rsidRPr="000761CD">
          <w:rPr>
            <w:rStyle w:val="Hyperlink"/>
            <w:rFonts w:ascii="Arial" w:hAnsi="Arial" w:cs="Arial"/>
            <w:sz w:val="22"/>
            <w:szCs w:val="22"/>
          </w:rPr>
          <w:t>https://doi.org/10.1017/S0033291719000436</w:t>
        </w:r>
      </w:hyperlink>
    </w:p>
    <w:p w14:paraId="0BA80DE6"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Kindred, R., Jak, S., Hamer, R., Nedeljkovic, M. and Bates, G.W. (2025) ‘Evaluating the ICD-11 PTSD and complex PTSD constructs: a meta-analytic confirmatory factor analysis of the International Trauma Questionnaire’, </w:t>
      </w:r>
      <w:r w:rsidRPr="00F85CCF">
        <w:rPr>
          <w:rFonts w:ascii="Arial" w:hAnsi="Arial" w:cs="Arial"/>
          <w:i/>
          <w:iCs/>
          <w:sz w:val="22"/>
          <w:szCs w:val="22"/>
        </w:rPr>
        <w:t>Assessment</w:t>
      </w:r>
      <w:r w:rsidRPr="00F85CCF">
        <w:rPr>
          <w:rFonts w:ascii="Arial" w:hAnsi="Arial" w:cs="Arial"/>
          <w:sz w:val="22"/>
          <w:szCs w:val="22"/>
        </w:rPr>
        <w:t xml:space="preserve">, 0(0). </w:t>
      </w:r>
      <w:hyperlink r:id="rId38" w:tgtFrame="_new" w:history="1">
        <w:r w:rsidRPr="00F85CCF">
          <w:rPr>
            <w:rStyle w:val="Hyperlink"/>
            <w:rFonts w:ascii="Arial" w:hAnsi="Arial" w:cs="Arial"/>
            <w:sz w:val="22"/>
            <w:szCs w:val="22"/>
          </w:rPr>
          <w:t>https://doi.org/10.1177/10731911251340837</w:t>
        </w:r>
      </w:hyperlink>
    </w:p>
    <w:p w14:paraId="4929F75D"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Knefel, M. and Lueger-Schuster, B. (2013) ‘An evaluation of ICD-11 PTSD and complex PTSD criteria in a sample of adult survivors of childhood institutional abuse’, </w:t>
      </w:r>
      <w:r w:rsidRPr="000761CD">
        <w:rPr>
          <w:rFonts w:ascii="Arial" w:hAnsi="Arial" w:cs="Arial"/>
          <w:i/>
          <w:iCs/>
          <w:sz w:val="22"/>
          <w:szCs w:val="22"/>
        </w:rPr>
        <w:t xml:space="preserve">European Journal of </w:t>
      </w:r>
      <w:proofErr w:type="spellStart"/>
      <w:r w:rsidRPr="000761CD">
        <w:rPr>
          <w:rFonts w:ascii="Arial" w:hAnsi="Arial" w:cs="Arial"/>
          <w:i/>
          <w:iCs/>
          <w:sz w:val="22"/>
          <w:szCs w:val="22"/>
        </w:rPr>
        <w:t>Psychotraumatology</w:t>
      </w:r>
      <w:proofErr w:type="spellEnd"/>
      <w:r w:rsidRPr="000761CD">
        <w:rPr>
          <w:rFonts w:ascii="Arial" w:hAnsi="Arial" w:cs="Arial"/>
          <w:sz w:val="22"/>
          <w:szCs w:val="22"/>
        </w:rPr>
        <w:t xml:space="preserve">, 4, 22608. </w:t>
      </w:r>
      <w:hyperlink r:id="rId39" w:tgtFrame="_new" w:history="1">
        <w:r w:rsidRPr="000761CD">
          <w:rPr>
            <w:rStyle w:val="Hyperlink"/>
            <w:rFonts w:ascii="Arial" w:hAnsi="Arial" w:cs="Arial"/>
            <w:sz w:val="22"/>
            <w:szCs w:val="22"/>
          </w:rPr>
          <w:t>https://doi.org/10.3402/ejpt.v4i0.22608</w:t>
        </w:r>
      </w:hyperlink>
    </w:p>
    <w:p w14:paraId="6A037736"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Krüger-Gottschalk, A., Kuck, S.T., Dyer, A., Alpers, G.W., Pittig, A., Morina, N. and Ehring, T. (2025) ‘Effectiveness in routine care: trauma-focused treatment for PTSD’, </w:t>
      </w:r>
      <w:r w:rsidRPr="00F85CCF">
        <w:rPr>
          <w:rFonts w:ascii="Arial" w:hAnsi="Arial" w:cs="Arial"/>
          <w:i/>
          <w:iCs/>
          <w:sz w:val="22"/>
          <w:szCs w:val="22"/>
        </w:rPr>
        <w:t xml:space="preserve">European Journal of </w:t>
      </w:r>
      <w:proofErr w:type="spellStart"/>
      <w:r w:rsidRPr="00F85CCF">
        <w:rPr>
          <w:rFonts w:ascii="Arial" w:hAnsi="Arial" w:cs="Arial"/>
          <w:i/>
          <w:iCs/>
          <w:sz w:val="22"/>
          <w:szCs w:val="22"/>
        </w:rPr>
        <w:t>Psychotraumatology</w:t>
      </w:r>
      <w:proofErr w:type="spellEnd"/>
      <w:r w:rsidRPr="00F85CCF">
        <w:rPr>
          <w:rFonts w:ascii="Arial" w:hAnsi="Arial" w:cs="Arial"/>
          <w:sz w:val="22"/>
          <w:szCs w:val="22"/>
        </w:rPr>
        <w:t xml:space="preserve">, 16(1), 2452680. </w:t>
      </w:r>
      <w:hyperlink r:id="rId40" w:tgtFrame="_new" w:history="1">
        <w:r w:rsidRPr="00F85CCF">
          <w:rPr>
            <w:rStyle w:val="Hyperlink"/>
            <w:rFonts w:ascii="Arial" w:hAnsi="Arial" w:cs="Arial"/>
            <w:sz w:val="22"/>
            <w:szCs w:val="22"/>
          </w:rPr>
          <w:t>https://doi.org/10.1080/20008066.2025.2452680</w:t>
        </w:r>
      </w:hyperlink>
    </w:p>
    <w:p w14:paraId="220136F3"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Lechner-</w:t>
      </w:r>
      <w:proofErr w:type="spellStart"/>
      <w:r w:rsidRPr="000761CD">
        <w:rPr>
          <w:rFonts w:ascii="Arial" w:hAnsi="Arial" w:cs="Arial"/>
          <w:sz w:val="22"/>
          <w:szCs w:val="22"/>
        </w:rPr>
        <w:t>Meichsner</w:t>
      </w:r>
      <w:proofErr w:type="spellEnd"/>
      <w:r w:rsidRPr="000761CD">
        <w:rPr>
          <w:rFonts w:ascii="Arial" w:hAnsi="Arial" w:cs="Arial"/>
          <w:sz w:val="22"/>
          <w:szCs w:val="22"/>
        </w:rPr>
        <w:t xml:space="preserve">, F. and Steil, R. (2021) ‘A clinician rating to diagnose CPTSD according to ICD-11 and to evaluate CPTSD symptom severity: Complex PTSD Item Set additional to the CAPS (COPISAC)’, </w:t>
      </w:r>
      <w:r w:rsidRPr="000761CD">
        <w:rPr>
          <w:rFonts w:ascii="Arial" w:hAnsi="Arial" w:cs="Arial"/>
          <w:i/>
          <w:iCs/>
          <w:sz w:val="22"/>
          <w:szCs w:val="22"/>
        </w:rPr>
        <w:t xml:space="preserve">European Journal of </w:t>
      </w:r>
      <w:proofErr w:type="spellStart"/>
      <w:r w:rsidRPr="000761CD">
        <w:rPr>
          <w:rFonts w:ascii="Arial" w:hAnsi="Arial" w:cs="Arial"/>
          <w:i/>
          <w:iCs/>
          <w:sz w:val="22"/>
          <w:szCs w:val="22"/>
        </w:rPr>
        <w:t>Psychotraumatology</w:t>
      </w:r>
      <w:proofErr w:type="spellEnd"/>
      <w:r w:rsidRPr="000761CD">
        <w:rPr>
          <w:rFonts w:ascii="Arial" w:hAnsi="Arial" w:cs="Arial"/>
          <w:sz w:val="22"/>
          <w:szCs w:val="22"/>
        </w:rPr>
        <w:t xml:space="preserve">, 12(1), 1891726. </w:t>
      </w:r>
      <w:hyperlink r:id="rId41" w:tgtFrame="_new" w:history="1">
        <w:r w:rsidRPr="000761CD">
          <w:rPr>
            <w:rStyle w:val="Hyperlink"/>
            <w:rFonts w:ascii="Arial" w:hAnsi="Arial" w:cs="Arial"/>
            <w:sz w:val="22"/>
            <w:szCs w:val="22"/>
          </w:rPr>
          <w:t>https://doi.org/10.1080/20008198.2021.1891726</w:t>
        </w:r>
      </w:hyperlink>
    </w:p>
    <w:p w14:paraId="23A5C412"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Lee, A.J. and LaFreniere, L.S. (2023) ‘Addressing attrition from psychotherapy for PTSD in the U.S. Department of Veterans Affairs’, </w:t>
      </w:r>
      <w:r w:rsidRPr="00F85CCF">
        <w:rPr>
          <w:rFonts w:ascii="Arial" w:hAnsi="Arial" w:cs="Arial"/>
          <w:i/>
          <w:iCs/>
          <w:sz w:val="22"/>
          <w:szCs w:val="22"/>
        </w:rPr>
        <w:t>Trauma Care</w:t>
      </w:r>
      <w:r w:rsidRPr="00F85CCF">
        <w:rPr>
          <w:rFonts w:ascii="Arial" w:hAnsi="Arial" w:cs="Arial"/>
          <w:sz w:val="22"/>
          <w:szCs w:val="22"/>
        </w:rPr>
        <w:t xml:space="preserve">, 3(4), pp. 274–293. </w:t>
      </w:r>
      <w:hyperlink r:id="rId42" w:tgtFrame="_new" w:history="1">
        <w:r w:rsidRPr="00F85CCF">
          <w:rPr>
            <w:rStyle w:val="Hyperlink"/>
            <w:rFonts w:ascii="Arial" w:hAnsi="Arial" w:cs="Arial"/>
            <w:sz w:val="22"/>
            <w:szCs w:val="22"/>
          </w:rPr>
          <w:t>https://doi.org/10.3390/traumacare3040024</w:t>
        </w:r>
      </w:hyperlink>
    </w:p>
    <w:p w14:paraId="295FBE6F"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Lewis, C., Roberts, N.P., Gibson, S. and Bisson, J.I. (2020) ‘Dropout from psychological therapies for post-traumatic stress disorder (PTSD) in adults: systematic review and meta-analysis’, </w:t>
      </w:r>
      <w:r w:rsidRPr="00F85CCF">
        <w:rPr>
          <w:rFonts w:ascii="Arial" w:hAnsi="Arial" w:cs="Arial"/>
          <w:i/>
          <w:iCs/>
          <w:sz w:val="22"/>
          <w:szCs w:val="22"/>
        </w:rPr>
        <w:t xml:space="preserve">European Journal of </w:t>
      </w:r>
      <w:proofErr w:type="spellStart"/>
      <w:r w:rsidRPr="00F85CCF">
        <w:rPr>
          <w:rFonts w:ascii="Arial" w:hAnsi="Arial" w:cs="Arial"/>
          <w:i/>
          <w:iCs/>
          <w:sz w:val="22"/>
          <w:szCs w:val="22"/>
        </w:rPr>
        <w:t>Psychotraumatology</w:t>
      </w:r>
      <w:proofErr w:type="spellEnd"/>
      <w:r w:rsidRPr="00F85CCF">
        <w:rPr>
          <w:rFonts w:ascii="Arial" w:hAnsi="Arial" w:cs="Arial"/>
          <w:sz w:val="22"/>
          <w:szCs w:val="22"/>
        </w:rPr>
        <w:t xml:space="preserve">, 11(1), 1709709. </w:t>
      </w:r>
      <w:hyperlink r:id="rId43" w:tgtFrame="_new" w:history="1">
        <w:r w:rsidRPr="00F85CCF">
          <w:rPr>
            <w:rStyle w:val="Hyperlink"/>
            <w:rFonts w:ascii="Arial" w:hAnsi="Arial" w:cs="Arial"/>
            <w:sz w:val="22"/>
            <w:szCs w:val="22"/>
          </w:rPr>
          <w:t>https://doi.org/10.1080/20008198.2019.1709709</w:t>
        </w:r>
      </w:hyperlink>
    </w:p>
    <w:p w14:paraId="59195E45"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Lundqvist, C., </w:t>
      </w:r>
      <w:proofErr w:type="spellStart"/>
      <w:r w:rsidRPr="000761CD">
        <w:rPr>
          <w:rFonts w:ascii="Arial" w:hAnsi="Arial" w:cs="Arial"/>
          <w:sz w:val="22"/>
          <w:szCs w:val="22"/>
        </w:rPr>
        <w:t>Schary</w:t>
      </w:r>
      <w:proofErr w:type="spellEnd"/>
      <w:r w:rsidRPr="000761CD">
        <w:rPr>
          <w:rFonts w:ascii="Arial" w:hAnsi="Arial" w:cs="Arial"/>
          <w:sz w:val="22"/>
          <w:szCs w:val="22"/>
        </w:rPr>
        <w:t xml:space="preserve">, D.P., Jacobsson, J., Korhonen, L. and </w:t>
      </w:r>
      <w:proofErr w:type="spellStart"/>
      <w:r w:rsidRPr="000761CD">
        <w:rPr>
          <w:rFonts w:ascii="Arial" w:hAnsi="Arial" w:cs="Arial"/>
          <w:sz w:val="22"/>
          <w:szCs w:val="22"/>
        </w:rPr>
        <w:t>Timpka</w:t>
      </w:r>
      <w:proofErr w:type="spellEnd"/>
      <w:r w:rsidRPr="000761CD">
        <w:rPr>
          <w:rFonts w:ascii="Arial" w:hAnsi="Arial" w:cs="Arial"/>
          <w:sz w:val="22"/>
          <w:szCs w:val="22"/>
        </w:rPr>
        <w:t xml:space="preserve">, T. (2024) ‘Aligning categories of mental health conditions with intervention types in high-performance sports: a narrative cornerstone review and classification framework’, </w:t>
      </w:r>
      <w:r w:rsidRPr="000761CD">
        <w:rPr>
          <w:rFonts w:ascii="Arial" w:hAnsi="Arial" w:cs="Arial"/>
          <w:i/>
          <w:iCs/>
          <w:sz w:val="22"/>
          <w:szCs w:val="22"/>
        </w:rPr>
        <w:t>Journal of Science and Medicine in Sport</w:t>
      </w:r>
      <w:r w:rsidRPr="000761CD">
        <w:rPr>
          <w:rFonts w:ascii="Arial" w:hAnsi="Arial" w:cs="Arial"/>
          <w:sz w:val="22"/>
          <w:szCs w:val="22"/>
        </w:rPr>
        <w:t xml:space="preserve">, 27(8), pp. 525–531. Available at: </w:t>
      </w:r>
      <w:hyperlink r:id="rId44" w:tgtFrame="_new" w:history="1">
        <w:r w:rsidRPr="000761CD">
          <w:rPr>
            <w:rStyle w:val="Hyperlink"/>
            <w:rFonts w:ascii="Arial" w:hAnsi="Arial" w:cs="Arial"/>
            <w:sz w:val="22"/>
            <w:szCs w:val="22"/>
          </w:rPr>
          <w:t>https://www.jsams.org/article/S1440-2440(24)00150-6/fulltext</w:t>
        </w:r>
      </w:hyperlink>
    </w:p>
    <w:p w14:paraId="3D4274E1" w14:textId="77777777" w:rsidR="00F85CCF" w:rsidRPr="000761CD" w:rsidRDefault="00F85CCF" w:rsidP="00F85CCF">
      <w:pPr>
        <w:spacing w:line="240" w:lineRule="auto"/>
        <w:ind w:left="720" w:hanging="720"/>
        <w:jc w:val="both"/>
        <w:rPr>
          <w:rFonts w:ascii="Arial" w:hAnsi="Arial" w:cs="Arial"/>
          <w:sz w:val="22"/>
          <w:szCs w:val="22"/>
        </w:rPr>
      </w:pPr>
      <w:proofErr w:type="spellStart"/>
      <w:r w:rsidRPr="000761CD">
        <w:rPr>
          <w:rFonts w:ascii="Arial" w:hAnsi="Arial" w:cs="Arial"/>
          <w:sz w:val="22"/>
          <w:szCs w:val="22"/>
        </w:rPr>
        <w:t>Maercker</w:t>
      </w:r>
      <w:proofErr w:type="spellEnd"/>
      <w:r w:rsidRPr="000761CD">
        <w:rPr>
          <w:rFonts w:ascii="Arial" w:hAnsi="Arial" w:cs="Arial"/>
          <w:sz w:val="22"/>
          <w:szCs w:val="22"/>
        </w:rPr>
        <w:t xml:space="preserve">, A. and Eberle, D.J. (2022) ‘Disorders specifically associated with stress in ICD-11’, </w:t>
      </w:r>
      <w:r w:rsidRPr="000761CD">
        <w:rPr>
          <w:rFonts w:ascii="Arial" w:hAnsi="Arial" w:cs="Arial"/>
          <w:i/>
          <w:iCs/>
          <w:sz w:val="22"/>
          <w:szCs w:val="22"/>
        </w:rPr>
        <w:t>Clinical Psychology in Europe</w:t>
      </w:r>
      <w:r w:rsidRPr="000761CD">
        <w:rPr>
          <w:rFonts w:ascii="Arial" w:hAnsi="Arial" w:cs="Arial"/>
          <w:sz w:val="22"/>
          <w:szCs w:val="22"/>
        </w:rPr>
        <w:t xml:space="preserve">, 4(Special Issue), e9711. </w:t>
      </w:r>
      <w:hyperlink r:id="rId45" w:tgtFrame="_new" w:history="1">
        <w:r w:rsidRPr="000761CD">
          <w:rPr>
            <w:rStyle w:val="Hyperlink"/>
            <w:rFonts w:ascii="Arial" w:hAnsi="Arial" w:cs="Arial"/>
            <w:sz w:val="22"/>
            <w:szCs w:val="22"/>
          </w:rPr>
          <w:t>https://doi.org/10.32872/cpe.9711</w:t>
        </w:r>
      </w:hyperlink>
    </w:p>
    <w:p w14:paraId="398AA039" w14:textId="77777777" w:rsidR="00F85CCF" w:rsidRPr="000761CD" w:rsidRDefault="00F85CCF" w:rsidP="00F85CCF">
      <w:pPr>
        <w:spacing w:line="240" w:lineRule="auto"/>
        <w:ind w:left="720" w:hanging="720"/>
        <w:jc w:val="both"/>
        <w:rPr>
          <w:rFonts w:ascii="Arial" w:hAnsi="Arial" w:cs="Arial"/>
          <w:sz w:val="22"/>
          <w:szCs w:val="22"/>
        </w:rPr>
      </w:pPr>
      <w:proofErr w:type="spellStart"/>
      <w:r w:rsidRPr="000761CD">
        <w:rPr>
          <w:rFonts w:ascii="Arial" w:hAnsi="Arial" w:cs="Arial"/>
          <w:sz w:val="22"/>
          <w:szCs w:val="22"/>
        </w:rPr>
        <w:t>Maercker</w:t>
      </w:r>
      <w:proofErr w:type="spellEnd"/>
      <w:r w:rsidRPr="000761CD">
        <w:rPr>
          <w:rFonts w:ascii="Arial" w:hAnsi="Arial" w:cs="Arial"/>
          <w:sz w:val="22"/>
          <w:szCs w:val="22"/>
        </w:rPr>
        <w:t xml:space="preserve">, A., </w:t>
      </w:r>
      <w:proofErr w:type="spellStart"/>
      <w:r w:rsidRPr="000761CD">
        <w:rPr>
          <w:rFonts w:ascii="Arial" w:hAnsi="Arial" w:cs="Arial"/>
          <w:sz w:val="22"/>
          <w:szCs w:val="22"/>
        </w:rPr>
        <w:t>Cloitre</w:t>
      </w:r>
      <w:proofErr w:type="spellEnd"/>
      <w:r w:rsidRPr="000761CD">
        <w:rPr>
          <w:rFonts w:ascii="Arial" w:hAnsi="Arial" w:cs="Arial"/>
          <w:sz w:val="22"/>
          <w:szCs w:val="22"/>
        </w:rPr>
        <w:t xml:space="preserve">, M., </w:t>
      </w:r>
      <w:proofErr w:type="spellStart"/>
      <w:r w:rsidRPr="000761CD">
        <w:rPr>
          <w:rFonts w:ascii="Arial" w:hAnsi="Arial" w:cs="Arial"/>
          <w:sz w:val="22"/>
          <w:szCs w:val="22"/>
        </w:rPr>
        <w:t>Bachem</w:t>
      </w:r>
      <w:proofErr w:type="spellEnd"/>
      <w:r w:rsidRPr="000761CD">
        <w:rPr>
          <w:rFonts w:ascii="Arial" w:hAnsi="Arial" w:cs="Arial"/>
          <w:sz w:val="22"/>
          <w:szCs w:val="22"/>
        </w:rPr>
        <w:t xml:space="preserve">, R., Schlumpf, Y.R., Khoury, B., Hitchcock, C. and Bohus, M. (2022) ‘Complex post-traumatic stress disorder’, </w:t>
      </w:r>
      <w:r w:rsidRPr="000761CD">
        <w:rPr>
          <w:rFonts w:ascii="Arial" w:hAnsi="Arial" w:cs="Arial"/>
          <w:i/>
          <w:iCs/>
          <w:sz w:val="22"/>
          <w:szCs w:val="22"/>
        </w:rPr>
        <w:t>The Lancet</w:t>
      </w:r>
      <w:r w:rsidRPr="000761CD">
        <w:rPr>
          <w:rFonts w:ascii="Arial" w:hAnsi="Arial" w:cs="Arial"/>
          <w:sz w:val="22"/>
          <w:szCs w:val="22"/>
        </w:rPr>
        <w:t xml:space="preserve">, 400(10345), pp. 60–72. </w:t>
      </w:r>
      <w:hyperlink r:id="rId46" w:tgtFrame="_new" w:history="1">
        <w:r w:rsidRPr="000761CD">
          <w:rPr>
            <w:rStyle w:val="Hyperlink"/>
            <w:rFonts w:ascii="Arial" w:hAnsi="Arial" w:cs="Arial"/>
            <w:sz w:val="22"/>
            <w:szCs w:val="22"/>
          </w:rPr>
          <w:t>https://doi.org/10.1016/S0140-6736(22)00821-2</w:t>
        </w:r>
      </w:hyperlink>
    </w:p>
    <w:p w14:paraId="1631854C"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Mazzoni, G.P., Miglietta, E., </w:t>
      </w:r>
      <w:proofErr w:type="spellStart"/>
      <w:r w:rsidRPr="000761CD">
        <w:rPr>
          <w:rFonts w:ascii="Arial" w:hAnsi="Arial" w:cs="Arial"/>
          <w:sz w:val="22"/>
          <w:szCs w:val="22"/>
        </w:rPr>
        <w:t>Ciull</w:t>
      </w:r>
      <w:proofErr w:type="spellEnd"/>
      <w:r w:rsidRPr="000761CD">
        <w:rPr>
          <w:rFonts w:ascii="Arial" w:hAnsi="Arial" w:cs="Arial"/>
          <w:sz w:val="22"/>
          <w:szCs w:val="22"/>
        </w:rPr>
        <w:t xml:space="preserve">, T., Rotundo, L., Pozza, A., Gonzalez, A. and Fernandez, I. (2022) ‘Group eye movement desensitization reprocessing (EMDR) psychotherapy and recurrent interpersonal traumatic episodes: a pilot follow-up study’, </w:t>
      </w:r>
      <w:r w:rsidRPr="000761CD">
        <w:rPr>
          <w:rFonts w:ascii="Arial" w:hAnsi="Arial" w:cs="Arial"/>
          <w:i/>
          <w:iCs/>
          <w:sz w:val="22"/>
          <w:szCs w:val="22"/>
        </w:rPr>
        <w:t>Clinical Neuropsychiatry</w:t>
      </w:r>
      <w:r w:rsidRPr="000761CD">
        <w:rPr>
          <w:rFonts w:ascii="Arial" w:hAnsi="Arial" w:cs="Arial"/>
          <w:sz w:val="22"/>
          <w:szCs w:val="22"/>
        </w:rPr>
        <w:t xml:space="preserve">, 19(6), pp. 379–389. </w:t>
      </w:r>
      <w:hyperlink r:id="rId47" w:tgtFrame="_new" w:history="1">
        <w:r w:rsidRPr="000761CD">
          <w:rPr>
            <w:rStyle w:val="Hyperlink"/>
            <w:rFonts w:ascii="Arial" w:hAnsi="Arial" w:cs="Arial"/>
            <w:sz w:val="22"/>
            <w:szCs w:val="22"/>
          </w:rPr>
          <w:t>https://doi.org/10.36131/cnfioritieditore20220605</w:t>
        </w:r>
      </w:hyperlink>
    </w:p>
    <w:p w14:paraId="04D37F3E"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Meffert, S.M., Mathai, M.A., Ongeri, L., Neylan, T.C., Mwai, D., Onyango, D., Akena, D., Rota, G., Otieno, A., Obura, R.R., Wangia, J., Opiyo, E., </w:t>
      </w:r>
      <w:proofErr w:type="spellStart"/>
      <w:r w:rsidRPr="000761CD">
        <w:rPr>
          <w:rFonts w:ascii="Arial" w:hAnsi="Arial" w:cs="Arial"/>
          <w:sz w:val="22"/>
          <w:szCs w:val="22"/>
        </w:rPr>
        <w:t>Muchembre</w:t>
      </w:r>
      <w:proofErr w:type="spellEnd"/>
      <w:r w:rsidRPr="000761CD">
        <w:rPr>
          <w:rFonts w:ascii="Arial" w:hAnsi="Arial" w:cs="Arial"/>
          <w:sz w:val="22"/>
          <w:szCs w:val="22"/>
        </w:rPr>
        <w:t xml:space="preserve">, P., Oluoch, D., Wambura, R., </w:t>
      </w:r>
      <w:proofErr w:type="spellStart"/>
      <w:r w:rsidRPr="000761CD">
        <w:rPr>
          <w:rFonts w:ascii="Arial" w:hAnsi="Arial" w:cs="Arial"/>
          <w:sz w:val="22"/>
          <w:szCs w:val="22"/>
        </w:rPr>
        <w:t>Mbwayo</w:t>
      </w:r>
      <w:proofErr w:type="spellEnd"/>
      <w:r w:rsidRPr="000761CD">
        <w:rPr>
          <w:rFonts w:ascii="Arial" w:hAnsi="Arial" w:cs="Arial"/>
          <w:sz w:val="22"/>
          <w:szCs w:val="22"/>
        </w:rPr>
        <w:t xml:space="preserve">, A., Kahn, J.G., Cohen, C.R., </w:t>
      </w:r>
      <w:proofErr w:type="spellStart"/>
      <w:r w:rsidRPr="000761CD">
        <w:rPr>
          <w:rFonts w:ascii="Arial" w:hAnsi="Arial" w:cs="Arial"/>
          <w:sz w:val="22"/>
          <w:szCs w:val="22"/>
        </w:rPr>
        <w:t>Bukusi</w:t>
      </w:r>
      <w:proofErr w:type="spellEnd"/>
      <w:r w:rsidRPr="000761CD">
        <w:rPr>
          <w:rFonts w:ascii="Arial" w:hAnsi="Arial" w:cs="Arial"/>
          <w:sz w:val="22"/>
          <w:szCs w:val="22"/>
        </w:rPr>
        <w:t xml:space="preserve">, D.E., Aarons, G.A. and Njuguna Kahonge, S. (2024) ‘Defining a screening tool for post-traumatic stress disorder in East Africa: a penalized regression approach’, </w:t>
      </w:r>
      <w:r w:rsidRPr="000761CD">
        <w:rPr>
          <w:rFonts w:ascii="Arial" w:hAnsi="Arial" w:cs="Arial"/>
          <w:i/>
          <w:iCs/>
          <w:sz w:val="22"/>
          <w:szCs w:val="22"/>
        </w:rPr>
        <w:t>Frontiers in Public Health</w:t>
      </w:r>
      <w:r w:rsidRPr="000761CD">
        <w:rPr>
          <w:rFonts w:ascii="Arial" w:hAnsi="Arial" w:cs="Arial"/>
          <w:sz w:val="22"/>
          <w:szCs w:val="22"/>
        </w:rPr>
        <w:t xml:space="preserve">, 12, 1383171. </w:t>
      </w:r>
      <w:hyperlink r:id="rId48" w:tgtFrame="_new" w:history="1">
        <w:r w:rsidRPr="000761CD">
          <w:rPr>
            <w:rStyle w:val="Hyperlink"/>
            <w:rFonts w:ascii="Arial" w:hAnsi="Arial" w:cs="Arial"/>
            <w:sz w:val="22"/>
            <w:szCs w:val="22"/>
          </w:rPr>
          <w:t>https://doi.org/10.3389/fpubh.2024.1383171</w:t>
        </w:r>
      </w:hyperlink>
    </w:p>
    <w:p w14:paraId="40C51DB4"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Melaragno, A.J. (2021) ‘Pharmacotherapy for anxiety disorders: from first-line options to treatment resistance’, </w:t>
      </w:r>
      <w:r w:rsidRPr="00F85CCF">
        <w:rPr>
          <w:rFonts w:ascii="Arial" w:hAnsi="Arial" w:cs="Arial"/>
          <w:i/>
          <w:iCs/>
          <w:sz w:val="22"/>
          <w:szCs w:val="22"/>
        </w:rPr>
        <w:t>Focus</w:t>
      </w:r>
      <w:r w:rsidRPr="00F85CCF">
        <w:rPr>
          <w:rFonts w:ascii="Arial" w:hAnsi="Arial" w:cs="Arial"/>
          <w:sz w:val="22"/>
          <w:szCs w:val="22"/>
        </w:rPr>
        <w:t xml:space="preserve">, 19(2), pp. 145–160. </w:t>
      </w:r>
      <w:hyperlink r:id="rId49" w:tgtFrame="_new" w:history="1">
        <w:r w:rsidRPr="00F85CCF">
          <w:rPr>
            <w:rStyle w:val="Hyperlink"/>
            <w:rFonts w:ascii="Arial" w:hAnsi="Arial" w:cs="Arial"/>
            <w:sz w:val="22"/>
            <w:szCs w:val="22"/>
          </w:rPr>
          <w:t>https://doi.org/10.1176/appi.focus.20200048</w:t>
        </w:r>
      </w:hyperlink>
    </w:p>
    <w:p w14:paraId="6511545C"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Meltzer, E.C., Averbuch, T., Samet, J.H., Saitz, R., Jabbar, K., Lloyd-Travaglini, C. and </w:t>
      </w:r>
      <w:proofErr w:type="spellStart"/>
      <w:r w:rsidRPr="00F85CCF">
        <w:rPr>
          <w:rFonts w:ascii="Arial" w:hAnsi="Arial" w:cs="Arial"/>
          <w:sz w:val="22"/>
          <w:szCs w:val="22"/>
        </w:rPr>
        <w:t>Liebschutz</w:t>
      </w:r>
      <w:proofErr w:type="spellEnd"/>
      <w:r w:rsidRPr="00F85CCF">
        <w:rPr>
          <w:rFonts w:ascii="Arial" w:hAnsi="Arial" w:cs="Arial"/>
          <w:sz w:val="22"/>
          <w:szCs w:val="22"/>
        </w:rPr>
        <w:t xml:space="preserve">, J.M. (2012) ‘Discrepancy in diagnosis and treatment of post-traumatic stress disorder (PTSD): treatment for the wrong reason’, </w:t>
      </w:r>
      <w:r w:rsidRPr="00F85CCF">
        <w:rPr>
          <w:rFonts w:ascii="Arial" w:hAnsi="Arial" w:cs="Arial"/>
          <w:i/>
          <w:iCs/>
          <w:sz w:val="22"/>
          <w:szCs w:val="22"/>
        </w:rPr>
        <w:t>Journal of Behavioral Health Services &amp; Research</w:t>
      </w:r>
      <w:r w:rsidRPr="00F85CCF">
        <w:rPr>
          <w:rFonts w:ascii="Arial" w:hAnsi="Arial" w:cs="Arial"/>
          <w:sz w:val="22"/>
          <w:szCs w:val="22"/>
        </w:rPr>
        <w:t xml:space="preserve">, 39(2), pp. 190–201. </w:t>
      </w:r>
      <w:hyperlink r:id="rId50" w:tgtFrame="_new" w:history="1">
        <w:r w:rsidRPr="00F85CCF">
          <w:rPr>
            <w:rStyle w:val="Hyperlink"/>
            <w:rFonts w:ascii="Arial" w:hAnsi="Arial" w:cs="Arial"/>
            <w:sz w:val="22"/>
            <w:szCs w:val="22"/>
          </w:rPr>
          <w:t>https://doi.org/10.1007/s11414-011-9263-x</w:t>
        </w:r>
      </w:hyperlink>
    </w:p>
    <w:p w14:paraId="64DE42AF"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Miao, X.-R., Chen, Q.-B., Wei, K., Tao, K.-M. and Lu, Z.-J. (2018) ‘Posttraumatic stress disorder: from diagnosis to prevention’, </w:t>
      </w:r>
      <w:r w:rsidRPr="000761CD">
        <w:rPr>
          <w:rFonts w:ascii="Arial" w:hAnsi="Arial" w:cs="Arial"/>
          <w:i/>
          <w:iCs/>
          <w:sz w:val="22"/>
          <w:szCs w:val="22"/>
        </w:rPr>
        <w:t>Military Medical Research</w:t>
      </w:r>
      <w:r w:rsidRPr="000761CD">
        <w:rPr>
          <w:rFonts w:ascii="Arial" w:hAnsi="Arial" w:cs="Arial"/>
          <w:sz w:val="22"/>
          <w:szCs w:val="22"/>
        </w:rPr>
        <w:t xml:space="preserve">, 5, 32. </w:t>
      </w:r>
      <w:hyperlink r:id="rId51" w:tgtFrame="_new" w:history="1">
        <w:r w:rsidRPr="000761CD">
          <w:rPr>
            <w:rStyle w:val="Hyperlink"/>
            <w:rFonts w:ascii="Arial" w:hAnsi="Arial" w:cs="Arial"/>
            <w:sz w:val="22"/>
            <w:szCs w:val="22"/>
          </w:rPr>
          <w:t>https://doi.org/10.1186/s40779-018-0179-0</w:t>
        </w:r>
      </w:hyperlink>
    </w:p>
    <w:p w14:paraId="3DB117AE"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Møller, L., Augsburger, M., Elklit, A., Søgaard, U. and Simonsen, E. (2020) ‘Traumatic experiences, ICD-11 PTSD, ICD-11 complex PTSD, and the overlap with ICD-10 diagnoses’, </w:t>
      </w:r>
      <w:r w:rsidRPr="00F85CCF">
        <w:rPr>
          <w:rFonts w:ascii="Arial" w:hAnsi="Arial" w:cs="Arial"/>
          <w:i/>
          <w:iCs/>
          <w:sz w:val="22"/>
          <w:szCs w:val="22"/>
        </w:rPr>
        <w:t xml:space="preserve">Acta </w:t>
      </w:r>
      <w:proofErr w:type="spellStart"/>
      <w:r w:rsidRPr="00F85CCF">
        <w:rPr>
          <w:rFonts w:ascii="Arial" w:hAnsi="Arial" w:cs="Arial"/>
          <w:i/>
          <w:iCs/>
          <w:sz w:val="22"/>
          <w:szCs w:val="22"/>
        </w:rPr>
        <w:t>Psychiatrica</w:t>
      </w:r>
      <w:proofErr w:type="spellEnd"/>
      <w:r w:rsidRPr="00F85CCF">
        <w:rPr>
          <w:rFonts w:ascii="Arial" w:hAnsi="Arial" w:cs="Arial"/>
          <w:i/>
          <w:iCs/>
          <w:sz w:val="22"/>
          <w:szCs w:val="22"/>
        </w:rPr>
        <w:t xml:space="preserve"> Scandinavica</w:t>
      </w:r>
      <w:r w:rsidRPr="00F85CCF">
        <w:rPr>
          <w:rFonts w:ascii="Arial" w:hAnsi="Arial" w:cs="Arial"/>
          <w:sz w:val="22"/>
          <w:szCs w:val="22"/>
        </w:rPr>
        <w:t xml:space="preserve">, 141(5), pp. 421–431. </w:t>
      </w:r>
      <w:hyperlink r:id="rId52" w:tgtFrame="_new" w:history="1">
        <w:r w:rsidRPr="00F85CCF">
          <w:rPr>
            <w:rStyle w:val="Hyperlink"/>
            <w:rFonts w:ascii="Arial" w:hAnsi="Arial" w:cs="Arial"/>
            <w:sz w:val="22"/>
            <w:szCs w:val="22"/>
          </w:rPr>
          <w:t>https://doi.org/10.1111/acps.13161</w:t>
        </w:r>
      </w:hyperlink>
    </w:p>
    <w:p w14:paraId="4DE63B76"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National Institute for Health and Care Excellence (NICE) (2018) </w:t>
      </w:r>
      <w:proofErr w:type="gramStart"/>
      <w:r w:rsidRPr="00F85CCF">
        <w:rPr>
          <w:rFonts w:ascii="Arial" w:hAnsi="Arial" w:cs="Arial"/>
          <w:i/>
          <w:iCs/>
          <w:sz w:val="22"/>
          <w:szCs w:val="22"/>
        </w:rPr>
        <w:t>Post-traumatic</w:t>
      </w:r>
      <w:proofErr w:type="gramEnd"/>
      <w:r w:rsidRPr="00F85CCF">
        <w:rPr>
          <w:rFonts w:ascii="Arial" w:hAnsi="Arial" w:cs="Arial"/>
          <w:i/>
          <w:iCs/>
          <w:sz w:val="22"/>
          <w:szCs w:val="22"/>
        </w:rPr>
        <w:t xml:space="preserve"> stress disorder (NICE guideline NG116): recommendations</w:t>
      </w:r>
      <w:r w:rsidRPr="00F85CCF">
        <w:rPr>
          <w:rFonts w:ascii="Arial" w:hAnsi="Arial" w:cs="Arial"/>
          <w:sz w:val="22"/>
          <w:szCs w:val="22"/>
        </w:rPr>
        <w:t xml:space="preserve">. Available at: </w:t>
      </w:r>
      <w:hyperlink r:id="rId53" w:tgtFrame="_new" w:history="1">
        <w:r w:rsidRPr="00F85CCF">
          <w:rPr>
            <w:rStyle w:val="Hyperlink"/>
            <w:rFonts w:ascii="Arial" w:hAnsi="Arial" w:cs="Arial"/>
            <w:sz w:val="22"/>
            <w:szCs w:val="22"/>
          </w:rPr>
          <w:t>https://www.nice.org.uk/guidance/ng116/chapter/recommendations</w:t>
        </w:r>
      </w:hyperlink>
      <w:r w:rsidRPr="00F85CCF">
        <w:rPr>
          <w:rFonts w:ascii="Arial" w:hAnsi="Arial" w:cs="Arial"/>
          <w:sz w:val="22"/>
          <w:szCs w:val="22"/>
        </w:rPr>
        <w:t xml:space="preserve"> (Accessed: 17 February 2026).</w:t>
      </w:r>
    </w:p>
    <w:p w14:paraId="14840220"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Nishith, P., Morse, G. and Dell, N.A. (2024) ‘Effectiveness of cognitive processing therapy for PTSD in serious mental illness’, </w:t>
      </w:r>
      <w:r w:rsidRPr="00F85CCF">
        <w:rPr>
          <w:rFonts w:ascii="Arial" w:hAnsi="Arial" w:cs="Arial"/>
          <w:i/>
          <w:iCs/>
          <w:sz w:val="22"/>
          <w:szCs w:val="22"/>
        </w:rPr>
        <w:t>Journal of Behavioral and Cognitive Therapy</w:t>
      </w:r>
      <w:r w:rsidRPr="00F85CCF">
        <w:rPr>
          <w:rFonts w:ascii="Arial" w:hAnsi="Arial" w:cs="Arial"/>
          <w:sz w:val="22"/>
          <w:szCs w:val="22"/>
        </w:rPr>
        <w:t xml:space="preserve">, 34(1), 100486. </w:t>
      </w:r>
      <w:hyperlink r:id="rId54" w:tgtFrame="_new" w:history="1">
        <w:r w:rsidRPr="00F85CCF">
          <w:rPr>
            <w:rStyle w:val="Hyperlink"/>
            <w:rFonts w:ascii="Arial" w:hAnsi="Arial" w:cs="Arial"/>
            <w:sz w:val="22"/>
            <w:szCs w:val="22"/>
          </w:rPr>
          <w:t>https://doi.org/10.1016/j.jbct.2024.100486</w:t>
        </w:r>
      </w:hyperlink>
    </w:p>
    <w:p w14:paraId="27523A74"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Phoenix Australia — Centre for Posttraumatic Mental Health (2020) </w:t>
      </w:r>
      <w:r w:rsidRPr="00F85CCF">
        <w:rPr>
          <w:rFonts w:ascii="Arial" w:hAnsi="Arial" w:cs="Arial"/>
          <w:i/>
          <w:iCs/>
          <w:sz w:val="22"/>
          <w:szCs w:val="22"/>
        </w:rPr>
        <w:t>Australian guidelines for the prevention and treatment of acute stress disorder, posttraumatic stress disorder and complex PTSD</w:t>
      </w:r>
      <w:r w:rsidRPr="00F85CCF">
        <w:rPr>
          <w:rFonts w:ascii="Arial" w:hAnsi="Arial" w:cs="Arial"/>
          <w:sz w:val="22"/>
          <w:szCs w:val="22"/>
        </w:rPr>
        <w:t xml:space="preserve">. Available at: </w:t>
      </w:r>
      <w:hyperlink r:id="rId55" w:tgtFrame="_new" w:history="1">
        <w:r w:rsidRPr="00F85CCF">
          <w:rPr>
            <w:rStyle w:val="Hyperlink"/>
            <w:rFonts w:ascii="Arial" w:hAnsi="Arial" w:cs="Arial"/>
            <w:sz w:val="22"/>
            <w:szCs w:val="22"/>
          </w:rPr>
          <w:t>https://www.phoenixaustralia.org/australian-guidelines-for-ptsd/</w:t>
        </w:r>
      </w:hyperlink>
      <w:r w:rsidRPr="00F85CCF">
        <w:rPr>
          <w:rFonts w:ascii="Arial" w:hAnsi="Arial" w:cs="Arial"/>
          <w:sz w:val="22"/>
          <w:szCs w:val="22"/>
        </w:rPr>
        <w:t xml:space="preserve"> (Accessed: 17 February 2026).</w:t>
      </w:r>
    </w:p>
    <w:p w14:paraId="189929CB"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Purnell, L.R., Graham, A.C.J., Bloomfield, M.A.P. and Billings, J. (2021) ‘Reintegration interventions for CPTSD: a systematic review’, </w:t>
      </w:r>
      <w:r w:rsidRPr="00F85CCF">
        <w:rPr>
          <w:rFonts w:ascii="Arial" w:hAnsi="Arial" w:cs="Arial"/>
          <w:i/>
          <w:iCs/>
          <w:sz w:val="22"/>
          <w:szCs w:val="22"/>
        </w:rPr>
        <w:t xml:space="preserve">European Journal of </w:t>
      </w:r>
      <w:proofErr w:type="spellStart"/>
      <w:r w:rsidRPr="00F85CCF">
        <w:rPr>
          <w:rFonts w:ascii="Arial" w:hAnsi="Arial" w:cs="Arial"/>
          <w:i/>
          <w:iCs/>
          <w:sz w:val="22"/>
          <w:szCs w:val="22"/>
        </w:rPr>
        <w:t>Psychotraumatology</w:t>
      </w:r>
      <w:proofErr w:type="spellEnd"/>
      <w:r w:rsidRPr="00F85CCF">
        <w:rPr>
          <w:rFonts w:ascii="Arial" w:hAnsi="Arial" w:cs="Arial"/>
          <w:sz w:val="22"/>
          <w:szCs w:val="22"/>
        </w:rPr>
        <w:t xml:space="preserve">, 12(1), 1934789. </w:t>
      </w:r>
      <w:hyperlink r:id="rId56" w:tgtFrame="_new" w:history="1">
        <w:r w:rsidRPr="00F85CCF">
          <w:rPr>
            <w:rStyle w:val="Hyperlink"/>
            <w:rFonts w:ascii="Arial" w:hAnsi="Arial" w:cs="Arial"/>
            <w:sz w:val="22"/>
            <w:szCs w:val="22"/>
          </w:rPr>
          <w:t>https://doi.org/10.1080/20008198.2021.1934789</w:t>
        </w:r>
      </w:hyperlink>
    </w:p>
    <w:p w14:paraId="46E50652"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Rathod, S., </w:t>
      </w:r>
      <w:proofErr w:type="spellStart"/>
      <w:r w:rsidRPr="00F85CCF">
        <w:rPr>
          <w:rFonts w:ascii="Arial" w:hAnsi="Arial" w:cs="Arial"/>
          <w:sz w:val="22"/>
          <w:szCs w:val="22"/>
        </w:rPr>
        <w:t>Pinninti</w:t>
      </w:r>
      <w:proofErr w:type="spellEnd"/>
      <w:r w:rsidRPr="00F85CCF">
        <w:rPr>
          <w:rFonts w:ascii="Arial" w:hAnsi="Arial" w:cs="Arial"/>
          <w:sz w:val="22"/>
          <w:szCs w:val="22"/>
        </w:rPr>
        <w:t xml:space="preserve">, N., Irfan, M., Gorczynski, P., Rathod, P., Gega, L. and Naeem, F. (2017) ‘Mental health service provision in low- and middle-income countries’, </w:t>
      </w:r>
      <w:r w:rsidRPr="00F85CCF">
        <w:rPr>
          <w:rFonts w:ascii="Arial" w:hAnsi="Arial" w:cs="Arial"/>
          <w:i/>
          <w:iCs/>
          <w:sz w:val="22"/>
          <w:szCs w:val="22"/>
        </w:rPr>
        <w:t>Health Services Insights</w:t>
      </w:r>
      <w:r w:rsidRPr="00F85CCF">
        <w:rPr>
          <w:rFonts w:ascii="Arial" w:hAnsi="Arial" w:cs="Arial"/>
          <w:sz w:val="22"/>
          <w:szCs w:val="22"/>
        </w:rPr>
        <w:t xml:space="preserve">, 10, 1178632917694350. </w:t>
      </w:r>
      <w:hyperlink r:id="rId57" w:tgtFrame="_new" w:history="1">
        <w:r w:rsidRPr="00F85CCF">
          <w:rPr>
            <w:rStyle w:val="Hyperlink"/>
            <w:rFonts w:ascii="Arial" w:hAnsi="Arial" w:cs="Arial"/>
            <w:sz w:val="22"/>
            <w:szCs w:val="22"/>
          </w:rPr>
          <w:t>https://doi.org/10.1177/1178632917694350</w:t>
        </w:r>
      </w:hyperlink>
    </w:p>
    <w:p w14:paraId="5B304CC2"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Reed, G.M., First, M.B., Kogan, C.S., Hyman, S.E., Gureje, O., Gaebel, W., Maj, M., Stein, D.J., </w:t>
      </w:r>
      <w:proofErr w:type="spellStart"/>
      <w:r w:rsidRPr="00F85CCF">
        <w:rPr>
          <w:rFonts w:ascii="Arial" w:hAnsi="Arial" w:cs="Arial"/>
          <w:sz w:val="22"/>
          <w:szCs w:val="22"/>
        </w:rPr>
        <w:t>Maercker</w:t>
      </w:r>
      <w:proofErr w:type="spellEnd"/>
      <w:r w:rsidRPr="00F85CCF">
        <w:rPr>
          <w:rFonts w:ascii="Arial" w:hAnsi="Arial" w:cs="Arial"/>
          <w:sz w:val="22"/>
          <w:szCs w:val="22"/>
        </w:rPr>
        <w:t xml:space="preserve">, A., Tyrer, P., Claudino, A., </w:t>
      </w:r>
      <w:proofErr w:type="spellStart"/>
      <w:r w:rsidRPr="00F85CCF">
        <w:rPr>
          <w:rFonts w:ascii="Arial" w:hAnsi="Arial" w:cs="Arial"/>
          <w:sz w:val="22"/>
          <w:szCs w:val="22"/>
        </w:rPr>
        <w:t>Garralda</w:t>
      </w:r>
      <w:proofErr w:type="spellEnd"/>
      <w:r w:rsidRPr="00F85CCF">
        <w:rPr>
          <w:rFonts w:ascii="Arial" w:hAnsi="Arial" w:cs="Arial"/>
          <w:sz w:val="22"/>
          <w:szCs w:val="22"/>
        </w:rPr>
        <w:t>, E., Salvador-</w:t>
      </w:r>
      <w:proofErr w:type="spellStart"/>
      <w:r w:rsidRPr="00F85CCF">
        <w:rPr>
          <w:rFonts w:ascii="Arial" w:hAnsi="Arial" w:cs="Arial"/>
          <w:sz w:val="22"/>
          <w:szCs w:val="22"/>
        </w:rPr>
        <w:t>Carulla</w:t>
      </w:r>
      <w:proofErr w:type="spellEnd"/>
      <w:r w:rsidRPr="00F85CCF">
        <w:rPr>
          <w:rFonts w:ascii="Arial" w:hAnsi="Arial" w:cs="Arial"/>
          <w:sz w:val="22"/>
          <w:szCs w:val="22"/>
        </w:rPr>
        <w:t xml:space="preserve">, L., Ray, R., Saunders, J.B., Dua, T., Poznyak, V., Medina-Mora, M.E., Pike, K.M., Ayuso-Mateos, J.L. and Saxena, S. (2019) ‘Innovations and changes in the ICD-11 classification of mental, </w:t>
      </w:r>
      <w:proofErr w:type="spellStart"/>
      <w:r w:rsidRPr="00F85CCF">
        <w:rPr>
          <w:rFonts w:ascii="Arial" w:hAnsi="Arial" w:cs="Arial"/>
          <w:sz w:val="22"/>
          <w:szCs w:val="22"/>
        </w:rPr>
        <w:t>behavioural</w:t>
      </w:r>
      <w:proofErr w:type="spellEnd"/>
      <w:r w:rsidRPr="00F85CCF">
        <w:rPr>
          <w:rFonts w:ascii="Arial" w:hAnsi="Arial" w:cs="Arial"/>
          <w:sz w:val="22"/>
          <w:szCs w:val="22"/>
        </w:rPr>
        <w:t xml:space="preserve"> and neurodevelopmental disorders’, </w:t>
      </w:r>
      <w:r w:rsidRPr="00F85CCF">
        <w:rPr>
          <w:rFonts w:ascii="Arial" w:hAnsi="Arial" w:cs="Arial"/>
          <w:i/>
          <w:iCs/>
          <w:sz w:val="22"/>
          <w:szCs w:val="22"/>
        </w:rPr>
        <w:t>World Psychiatry</w:t>
      </w:r>
      <w:r w:rsidRPr="00F85CCF">
        <w:rPr>
          <w:rFonts w:ascii="Arial" w:hAnsi="Arial" w:cs="Arial"/>
          <w:sz w:val="22"/>
          <w:szCs w:val="22"/>
        </w:rPr>
        <w:t xml:space="preserve">, 18(1), pp. 3–19. </w:t>
      </w:r>
      <w:hyperlink r:id="rId58" w:tgtFrame="_new" w:history="1">
        <w:r w:rsidRPr="00F85CCF">
          <w:rPr>
            <w:rStyle w:val="Hyperlink"/>
            <w:rFonts w:ascii="Arial" w:hAnsi="Arial" w:cs="Arial"/>
            <w:sz w:val="22"/>
            <w:szCs w:val="22"/>
          </w:rPr>
          <w:t>https://doi.org/10.1002/wps.20611</w:t>
        </w:r>
      </w:hyperlink>
    </w:p>
    <w:p w14:paraId="66FD8790"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Rink, J. and </w:t>
      </w:r>
      <w:proofErr w:type="spellStart"/>
      <w:r w:rsidRPr="00F85CCF">
        <w:rPr>
          <w:rFonts w:ascii="Arial" w:hAnsi="Arial" w:cs="Arial"/>
          <w:sz w:val="22"/>
          <w:szCs w:val="22"/>
        </w:rPr>
        <w:t>Lipinska</w:t>
      </w:r>
      <w:proofErr w:type="spellEnd"/>
      <w:r w:rsidRPr="00F85CCF">
        <w:rPr>
          <w:rFonts w:ascii="Arial" w:hAnsi="Arial" w:cs="Arial"/>
          <w:sz w:val="22"/>
          <w:szCs w:val="22"/>
        </w:rPr>
        <w:t xml:space="preserve">, G. (2020) ‘Evidence of distinct profiles of ICD-11 post-traumatic stress disorder (PTSD) and complex PTSD in a South African sample’, </w:t>
      </w:r>
      <w:r w:rsidRPr="00F85CCF">
        <w:rPr>
          <w:rFonts w:ascii="Arial" w:hAnsi="Arial" w:cs="Arial"/>
          <w:i/>
          <w:iCs/>
          <w:sz w:val="22"/>
          <w:szCs w:val="22"/>
        </w:rPr>
        <w:t xml:space="preserve">European Journal of </w:t>
      </w:r>
      <w:proofErr w:type="spellStart"/>
      <w:r w:rsidRPr="00F85CCF">
        <w:rPr>
          <w:rFonts w:ascii="Arial" w:hAnsi="Arial" w:cs="Arial"/>
          <w:i/>
          <w:iCs/>
          <w:sz w:val="22"/>
          <w:szCs w:val="22"/>
        </w:rPr>
        <w:t>Psychotraumatology</w:t>
      </w:r>
      <w:proofErr w:type="spellEnd"/>
      <w:r w:rsidRPr="00F85CCF">
        <w:rPr>
          <w:rFonts w:ascii="Arial" w:hAnsi="Arial" w:cs="Arial"/>
          <w:sz w:val="22"/>
          <w:szCs w:val="22"/>
        </w:rPr>
        <w:t xml:space="preserve">, 11(1), 1818965. </w:t>
      </w:r>
      <w:hyperlink r:id="rId59" w:tgtFrame="_new" w:history="1">
        <w:r w:rsidRPr="00F85CCF">
          <w:rPr>
            <w:rStyle w:val="Hyperlink"/>
            <w:rFonts w:ascii="Arial" w:hAnsi="Arial" w:cs="Arial"/>
            <w:sz w:val="22"/>
            <w:szCs w:val="22"/>
          </w:rPr>
          <w:t>https://doi.org/10.1080/20008198.2020.1818965</w:t>
        </w:r>
      </w:hyperlink>
    </w:p>
    <w:p w14:paraId="27469E65"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Saade, S., Parent-Lamarche, A., Khalaf, T., </w:t>
      </w:r>
      <w:proofErr w:type="spellStart"/>
      <w:r w:rsidRPr="00F85CCF">
        <w:rPr>
          <w:rFonts w:ascii="Arial" w:hAnsi="Arial" w:cs="Arial"/>
          <w:sz w:val="22"/>
          <w:szCs w:val="22"/>
        </w:rPr>
        <w:t>Makke</w:t>
      </w:r>
      <w:proofErr w:type="spellEnd"/>
      <w:r w:rsidRPr="00F85CCF">
        <w:rPr>
          <w:rFonts w:ascii="Arial" w:hAnsi="Arial" w:cs="Arial"/>
          <w:sz w:val="22"/>
          <w:szCs w:val="22"/>
        </w:rPr>
        <w:t xml:space="preserve">, S. and Legg, A. (2023) ‘What barriers could impede access to mental health services for children and adolescents in Africa? A scoping review’, </w:t>
      </w:r>
      <w:r w:rsidRPr="00F85CCF">
        <w:rPr>
          <w:rFonts w:ascii="Arial" w:hAnsi="Arial" w:cs="Arial"/>
          <w:i/>
          <w:iCs/>
          <w:sz w:val="22"/>
          <w:szCs w:val="22"/>
        </w:rPr>
        <w:t>BMC Health Services Research</w:t>
      </w:r>
      <w:r w:rsidRPr="00F85CCF">
        <w:rPr>
          <w:rFonts w:ascii="Arial" w:hAnsi="Arial" w:cs="Arial"/>
          <w:sz w:val="22"/>
          <w:szCs w:val="22"/>
        </w:rPr>
        <w:t xml:space="preserve">, 23, 348. </w:t>
      </w:r>
      <w:hyperlink r:id="rId60" w:tgtFrame="_new" w:history="1">
        <w:r w:rsidRPr="00F85CCF">
          <w:rPr>
            <w:rStyle w:val="Hyperlink"/>
            <w:rFonts w:ascii="Arial" w:hAnsi="Arial" w:cs="Arial"/>
            <w:sz w:val="22"/>
            <w:szCs w:val="22"/>
          </w:rPr>
          <w:t>https://doi.org/10.1186/s12913-023-09294-x</w:t>
        </w:r>
      </w:hyperlink>
    </w:p>
    <w:p w14:paraId="5B373E90"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Schein, J., Houle, C., </w:t>
      </w:r>
      <w:proofErr w:type="spellStart"/>
      <w:r w:rsidRPr="00F85CCF">
        <w:rPr>
          <w:rFonts w:ascii="Arial" w:hAnsi="Arial" w:cs="Arial"/>
          <w:sz w:val="22"/>
          <w:szCs w:val="22"/>
        </w:rPr>
        <w:t>Urganus</w:t>
      </w:r>
      <w:proofErr w:type="spellEnd"/>
      <w:r w:rsidRPr="00F85CCF">
        <w:rPr>
          <w:rFonts w:ascii="Arial" w:hAnsi="Arial" w:cs="Arial"/>
          <w:sz w:val="22"/>
          <w:szCs w:val="22"/>
        </w:rPr>
        <w:t xml:space="preserve">, A., Cloutier, M., Patterson-Lomba, O., Wang, Y., King, S., Levinson, W., Guérin, A., Lefebvre, P. and Davis, L.L. (2021) ‘Prevalence of post-traumatic stress disorder in the United States: a systematic literature review’, </w:t>
      </w:r>
      <w:r w:rsidRPr="00F85CCF">
        <w:rPr>
          <w:rFonts w:ascii="Arial" w:hAnsi="Arial" w:cs="Arial"/>
          <w:i/>
          <w:iCs/>
          <w:sz w:val="22"/>
          <w:szCs w:val="22"/>
        </w:rPr>
        <w:t>Current Medical Research and Opinion</w:t>
      </w:r>
      <w:r w:rsidRPr="00F85CCF">
        <w:rPr>
          <w:rFonts w:ascii="Arial" w:hAnsi="Arial" w:cs="Arial"/>
          <w:sz w:val="22"/>
          <w:szCs w:val="22"/>
        </w:rPr>
        <w:t xml:space="preserve">, 37(12), pp. 2151–2161. </w:t>
      </w:r>
      <w:hyperlink r:id="rId61" w:tgtFrame="_new" w:history="1">
        <w:r w:rsidRPr="00F85CCF">
          <w:rPr>
            <w:rStyle w:val="Hyperlink"/>
            <w:rFonts w:ascii="Arial" w:hAnsi="Arial" w:cs="Arial"/>
            <w:sz w:val="22"/>
            <w:szCs w:val="22"/>
          </w:rPr>
          <w:t>https://doi.org/10.1080/03007995.2021.1978417</w:t>
        </w:r>
      </w:hyperlink>
    </w:p>
    <w:p w14:paraId="71680B27"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Sele, P., Hoffart, A., </w:t>
      </w:r>
      <w:proofErr w:type="spellStart"/>
      <w:r w:rsidRPr="00F85CCF">
        <w:rPr>
          <w:rFonts w:ascii="Arial" w:hAnsi="Arial" w:cs="Arial"/>
          <w:sz w:val="22"/>
          <w:szCs w:val="22"/>
        </w:rPr>
        <w:t>Cloitre</w:t>
      </w:r>
      <w:proofErr w:type="spellEnd"/>
      <w:r w:rsidRPr="00F85CCF">
        <w:rPr>
          <w:rFonts w:ascii="Arial" w:hAnsi="Arial" w:cs="Arial"/>
          <w:sz w:val="22"/>
          <w:szCs w:val="22"/>
        </w:rPr>
        <w:t xml:space="preserve">, M., Hembree, E. and </w:t>
      </w:r>
      <w:proofErr w:type="spellStart"/>
      <w:r w:rsidRPr="00F85CCF">
        <w:rPr>
          <w:rFonts w:ascii="Arial" w:hAnsi="Arial" w:cs="Arial"/>
          <w:sz w:val="22"/>
          <w:szCs w:val="22"/>
        </w:rPr>
        <w:t>Øktedalen</w:t>
      </w:r>
      <w:proofErr w:type="spellEnd"/>
      <w:r w:rsidRPr="00F85CCF">
        <w:rPr>
          <w:rFonts w:ascii="Arial" w:hAnsi="Arial" w:cs="Arial"/>
          <w:sz w:val="22"/>
          <w:szCs w:val="22"/>
        </w:rPr>
        <w:t xml:space="preserve">, T. (2023) ‘Comparing phase-based treatment, prolonged exposure, and skills-training for complex posttraumatic stress disorder: a randomized controlled trial’, </w:t>
      </w:r>
      <w:r w:rsidRPr="00F85CCF">
        <w:rPr>
          <w:rFonts w:ascii="Arial" w:hAnsi="Arial" w:cs="Arial"/>
          <w:i/>
          <w:iCs/>
          <w:sz w:val="22"/>
          <w:szCs w:val="22"/>
        </w:rPr>
        <w:t>Journal of Anxiety Disorders</w:t>
      </w:r>
      <w:r w:rsidRPr="00F85CCF">
        <w:rPr>
          <w:rFonts w:ascii="Arial" w:hAnsi="Arial" w:cs="Arial"/>
          <w:sz w:val="22"/>
          <w:szCs w:val="22"/>
        </w:rPr>
        <w:t xml:space="preserve">, 100, 102786. </w:t>
      </w:r>
      <w:hyperlink r:id="rId62" w:tgtFrame="_new" w:history="1">
        <w:r w:rsidRPr="00F85CCF">
          <w:rPr>
            <w:rStyle w:val="Hyperlink"/>
            <w:rFonts w:ascii="Arial" w:hAnsi="Arial" w:cs="Arial"/>
            <w:sz w:val="22"/>
            <w:szCs w:val="22"/>
          </w:rPr>
          <w:t>https://doi.org/10.1016/j.janxdis.2023.102786</w:t>
        </w:r>
      </w:hyperlink>
    </w:p>
    <w:p w14:paraId="3F80C623"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Shen, Y., Jiang, L., Lai, J., Hu, J., Liang, F., Zhang, X. and Ma, F. (2025) ‘A comprehensive review of rehabilitation approaches for traumatic brain injury: efficacy and outcomes’, </w:t>
      </w:r>
      <w:r w:rsidRPr="00F85CCF">
        <w:rPr>
          <w:rFonts w:ascii="Arial" w:hAnsi="Arial" w:cs="Arial"/>
          <w:i/>
          <w:iCs/>
          <w:sz w:val="22"/>
          <w:szCs w:val="22"/>
        </w:rPr>
        <w:t>Frontiers in Neurology</w:t>
      </w:r>
      <w:r w:rsidRPr="00F85CCF">
        <w:rPr>
          <w:rFonts w:ascii="Arial" w:hAnsi="Arial" w:cs="Arial"/>
          <w:sz w:val="22"/>
          <w:szCs w:val="22"/>
        </w:rPr>
        <w:t xml:space="preserve">, 16, 1608645. </w:t>
      </w:r>
      <w:hyperlink r:id="rId63" w:tgtFrame="_new" w:history="1">
        <w:r w:rsidRPr="00F85CCF">
          <w:rPr>
            <w:rStyle w:val="Hyperlink"/>
            <w:rFonts w:ascii="Arial" w:hAnsi="Arial" w:cs="Arial"/>
            <w:sz w:val="22"/>
            <w:szCs w:val="22"/>
          </w:rPr>
          <w:t>https://doi.org/10.3389/fneur.2025.1608645</w:t>
        </w:r>
      </w:hyperlink>
    </w:p>
    <w:p w14:paraId="4A3E0701"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Sheth, N., O’Connor, S., Patel, S. and Dutton, M.A. (2023) ‘To screen or not to screen: exploring and addressing effective screening processes for trauma among forced migrants’, </w:t>
      </w:r>
      <w:r w:rsidRPr="00F85CCF">
        <w:rPr>
          <w:rFonts w:ascii="Arial" w:hAnsi="Arial" w:cs="Arial"/>
          <w:i/>
          <w:iCs/>
          <w:sz w:val="22"/>
          <w:szCs w:val="22"/>
        </w:rPr>
        <w:t>Journal of Migration and Health</w:t>
      </w:r>
      <w:r w:rsidRPr="00F85CCF">
        <w:rPr>
          <w:rFonts w:ascii="Arial" w:hAnsi="Arial" w:cs="Arial"/>
          <w:sz w:val="22"/>
          <w:szCs w:val="22"/>
        </w:rPr>
        <w:t xml:space="preserve">, 7, 100148. </w:t>
      </w:r>
      <w:hyperlink r:id="rId64" w:tgtFrame="_new" w:history="1">
        <w:r w:rsidRPr="00F85CCF">
          <w:rPr>
            <w:rStyle w:val="Hyperlink"/>
            <w:rFonts w:ascii="Arial" w:hAnsi="Arial" w:cs="Arial"/>
            <w:sz w:val="22"/>
            <w:szCs w:val="22"/>
          </w:rPr>
          <w:t>https://doi.org/10.1016/j.jmh.2022.100148</w:t>
        </w:r>
      </w:hyperlink>
    </w:p>
    <w:p w14:paraId="489F867B"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Stein, D.J., McLaughlin, K.A., Koenen, K.C., </w:t>
      </w:r>
      <w:proofErr w:type="spellStart"/>
      <w:r w:rsidRPr="000761CD">
        <w:rPr>
          <w:rFonts w:ascii="Arial" w:hAnsi="Arial" w:cs="Arial"/>
          <w:sz w:val="22"/>
          <w:szCs w:val="22"/>
        </w:rPr>
        <w:t>Atwoli</w:t>
      </w:r>
      <w:proofErr w:type="spellEnd"/>
      <w:r w:rsidRPr="000761CD">
        <w:rPr>
          <w:rFonts w:ascii="Arial" w:hAnsi="Arial" w:cs="Arial"/>
          <w:sz w:val="22"/>
          <w:szCs w:val="22"/>
        </w:rPr>
        <w:t xml:space="preserve">, L., Friedman, M.J., Hill, E.D., </w:t>
      </w:r>
      <w:proofErr w:type="spellStart"/>
      <w:r w:rsidRPr="000761CD">
        <w:rPr>
          <w:rFonts w:ascii="Arial" w:hAnsi="Arial" w:cs="Arial"/>
          <w:sz w:val="22"/>
          <w:szCs w:val="22"/>
        </w:rPr>
        <w:t>Maercker</w:t>
      </w:r>
      <w:proofErr w:type="spellEnd"/>
      <w:r w:rsidRPr="000761CD">
        <w:rPr>
          <w:rFonts w:ascii="Arial" w:hAnsi="Arial" w:cs="Arial"/>
          <w:sz w:val="22"/>
          <w:szCs w:val="22"/>
        </w:rPr>
        <w:t xml:space="preserve">, A., Petukhova, M., </w:t>
      </w:r>
      <w:proofErr w:type="spellStart"/>
      <w:r w:rsidRPr="000761CD">
        <w:rPr>
          <w:rFonts w:ascii="Arial" w:hAnsi="Arial" w:cs="Arial"/>
          <w:sz w:val="22"/>
          <w:szCs w:val="22"/>
        </w:rPr>
        <w:t>Shahly</w:t>
      </w:r>
      <w:proofErr w:type="spellEnd"/>
      <w:r w:rsidRPr="000761CD">
        <w:rPr>
          <w:rFonts w:ascii="Arial" w:hAnsi="Arial" w:cs="Arial"/>
          <w:sz w:val="22"/>
          <w:szCs w:val="22"/>
        </w:rPr>
        <w:t xml:space="preserve">, V., van Ommeren, M., Alonso, J., Borges, G., de Girolamo, G., de Jonge, P., </w:t>
      </w:r>
      <w:proofErr w:type="spellStart"/>
      <w:r w:rsidRPr="000761CD">
        <w:rPr>
          <w:rFonts w:ascii="Arial" w:hAnsi="Arial" w:cs="Arial"/>
          <w:sz w:val="22"/>
          <w:szCs w:val="22"/>
        </w:rPr>
        <w:t>Demyttenaere</w:t>
      </w:r>
      <w:proofErr w:type="spellEnd"/>
      <w:r w:rsidRPr="000761CD">
        <w:rPr>
          <w:rFonts w:ascii="Arial" w:hAnsi="Arial" w:cs="Arial"/>
          <w:sz w:val="22"/>
          <w:szCs w:val="22"/>
        </w:rPr>
        <w:t xml:space="preserve">, K., Florescu, S., Karam, E.G., Kawakami, N., </w:t>
      </w:r>
      <w:proofErr w:type="spellStart"/>
      <w:r w:rsidRPr="000761CD">
        <w:rPr>
          <w:rFonts w:ascii="Arial" w:hAnsi="Arial" w:cs="Arial"/>
          <w:sz w:val="22"/>
          <w:szCs w:val="22"/>
        </w:rPr>
        <w:t>Matschinger</w:t>
      </w:r>
      <w:proofErr w:type="spellEnd"/>
      <w:r w:rsidRPr="000761CD">
        <w:rPr>
          <w:rFonts w:ascii="Arial" w:hAnsi="Arial" w:cs="Arial"/>
          <w:sz w:val="22"/>
          <w:szCs w:val="22"/>
        </w:rPr>
        <w:t xml:space="preserve">, H., Okoliyski, M. and Kessler, R.C. (2014) ‘DSM-5 and ICD-11 definitions of posttraumatic stress disorder: investigating “narrow” and “broad” approaches’, </w:t>
      </w:r>
      <w:r w:rsidRPr="000761CD">
        <w:rPr>
          <w:rFonts w:ascii="Arial" w:hAnsi="Arial" w:cs="Arial"/>
          <w:i/>
          <w:iCs/>
          <w:sz w:val="22"/>
          <w:szCs w:val="22"/>
        </w:rPr>
        <w:t>Depression and Anxiety</w:t>
      </w:r>
      <w:r w:rsidRPr="000761CD">
        <w:rPr>
          <w:rFonts w:ascii="Arial" w:hAnsi="Arial" w:cs="Arial"/>
          <w:sz w:val="22"/>
          <w:szCs w:val="22"/>
        </w:rPr>
        <w:t xml:space="preserve">, 31(6), pp. 494–505. </w:t>
      </w:r>
      <w:hyperlink r:id="rId65" w:tgtFrame="_new" w:history="1">
        <w:r w:rsidRPr="000761CD">
          <w:rPr>
            <w:rStyle w:val="Hyperlink"/>
            <w:rFonts w:ascii="Arial" w:hAnsi="Arial" w:cs="Arial"/>
            <w:sz w:val="22"/>
            <w:szCs w:val="22"/>
          </w:rPr>
          <w:t>https://doi.org/10.1002/da.22279</w:t>
        </w:r>
      </w:hyperlink>
    </w:p>
    <w:p w14:paraId="2AF703B6"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Stein, D.J., Szatmari, P., Gaebel, W., Berk, M., Vieta, E., Maj, M., de Vries, Y.A., Roest, A.M., de Jonge, P., Maercker, A., Brewin, C.R., Pike, K.M., Grilo, C.M., Fineberg, N.A., Briken, P., Cohen-</w:t>
      </w:r>
      <w:proofErr w:type="spellStart"/>
      <w:r w:rsidRPr="00F85CCF">
        <w:rPr>
          <w:rFonts w:ascii="Arial" w:hAnsi="Arial" w:cs="Arial"/>
          <w:sz w:val="22"/>
          <w:szCs w:val="22"/>
        </w:rPr>
        <w:t>Kettenis</w:t>
      </w:r>
      <w:proofErr w:type="spellEnd"/>
      <w:r w:rsidRPr="00F85CCF">
        <w:rPr>
          <w:rFonts w:ascii="Arial" w:hAnsi="Arial" w:cs="Arial"/>
          <w:sz w:val="22"/>
          <w:szCs w:val="22"/>
        </w:rPr>
        <w:t xml:space="preserve">, P.T. and Reed, G.M. (2020) ‘Mental, behavioral and neurodevelopmental disorders in the ICD-11: an international perspective on key changes and controversies’, </w:t>
      </w:r>
      <w:r w:rsidRPr="00F85CCF">
        <w:rPr>
          <w:rFonts w:ascii="Arial" w:hAnsi="Arial" w:cs="Arial"/>
          <w:i/>
          <w:iCs/>
          <w:sz w:val="22"/>
          <w:szCs w:val="22"/>
        </w:rPr>
        <w:t>BMC Medicine</w:t>
      </w:r>
      <w:r w:rsidRPr="00F85CCF">
        <w:rPr>
          <w:rFonts w:ascii="Arial" w:hAnsi="Arial" w:cs="Arial"/>
          <w:sz w:val="22"/>
          <w:szCs w:val="22"/>
        </w:rPr>
        <w:t xml:space="preserve">, 18, 21. </w:t>
      </w:r>
      <w:hyperlink r:id="rId66" w:tgtFrame="_new" w:history="1">
        <w:r w:rsidRPr="00F85CCF">
          <w:rPr>
            <w:rStyle w:val="Hyperlink"/>
            <w:rFonts w:ascii="Arial" w:hAnsi="Arial" w:cs="Arial"/>
            <w:sz w:val="22"/>
            <w:szCs w:val="22"/>
          </w:rPr>
          <w:t>https://doi.org/10.1186/s12916-020-1495-2</w:t>
        </w:r>
      </w:hyperlink>
    </w:p>
    <w:p w14:paraId="61562D97"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Taylor, V.A., Roy, A. and Brewer, J.A. (2023) ‘Cluster-based psychological phenotyping and differences in anxiety treatment outcomes’, </w:t>
      </w:r>
      <w:r w:rsidRPr="00F85CCF">
        <w:rPr>
          <w:rFonts w:ascii="Arial" w:hAnsi="Arial" w:cs="Arial"/>
          <w:i/>
          <w:iCs/>
          <w:sz w:val="22"/>
          <w:szCs w:val="22"/>
        </w:rPr>
        <w:t>Scientific Reports</w:t>
      </w:r>
      <w:r w:rsidRPr="00F85CCF">
        <w:rPr>
          <w:rFonts w:ascii="Arial" w:hAnsi="Arial" w:cs="Arial"/>
          <w:sz w:val="22"/>
          <w:szCs w:val="22"/>
        </w:rPr>
        <w:t xml:space="preserve">, 13(1), 3055. </w:t>
      </w:r>
      <w:hyperlink r:id="rId67" w:tgtFrame="_new" w:history="1">
        <w:r w:rsidRPr="00F85CCF">
          <w:rPr>
            <w:rStyle w:val="Hyperlink"/>
            <w:rFonts w:ascii="Arial" w:hAnsi="Arial" w:cs="Arial"/>
            <w:sz w:val="22"/>
            <w:szCs w:val="22"/>
          </w:rPr>
          <w:t>https://doi.org/10.1038/s41598-023-28660-7</w:t>
        </w:r>
      </w:hyperlink>
    </w:p>
    <w:p w14:paraId="421FD6D7"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Treat Mental Health California (2025) </w:t>
      </w:r>
      <w:r w:rsidRPr="00F85CCF">
        <w:rPr>
          <w:rFonts w:ascii="Arial" w:hAnsi="Arial" w:cs="Arial"/>
          <w:i/>
          <w:iCs/>
          <w:sz w:val="22"/>
          <w:szCs w:val="22"/>
        </w:rPr>
        <w:t xml:space="preserve">Is PTSD neurodivergent? A powerful look at </w:t>
      </w:r>
      <w:proofErr w:type="gramStart"/>
      <w:r w:rsidRPr="00F85CCF">
        <w:rPr>
          <w:rFonts w:ascii="Arial" w:hAnsi="Arial" w:cs="Arial"/>
          <w:i/>
          <w:iCs/>
          <w:sz w:val="22"/>
          <w:szCs w:val="22"/>
        </w:rPr>
        <w:t>the science</w:t>
      </w:r>
      <w:proofErr w:type="gramEnd"/>
      <w:r w:rsidRPr="00F85CCF">
        <w:rPr>
          <w:rFonts w:ascii="Arial" w:hAnsi="Arial" w:cs="Arial"/>
          <w:sz w:val="22"/>
          <w:szCs w:val="22"/>
        </w:rPr>
        <w:t xml:space="preserve">. Available at: </w:t>
      </w:r>
      <w:hyperlink r:id="rId68" w:tgtFrame="_new" w:history="1">
        <w:r w:rsidRPr="00F85CCF">
          <w:rPr>
            <w:rStyle w:val="Hyperlink"/>
            <w:rFonts w:ascii="Arial" w:hAnsi="Arial" w:cs="Arial"/>
            <w:sz w:val="22"/>
            <w:szCs w:val="22"/>
          </w:rPr>
          <w:t>https://treatmhcalifornia.com/blog/is-ptsd-neurodivergent/</w:t>
        </w:r>
      </w:hyperlink>
      <w:r w:rsidRPr="00F85CCF">
        <w:rPr>
          <w:rFonts w:ascii="Arial" w:hAnsi="Arial" w:cs="Arial"/>
          <w:sz w:val="22"/>
          <w:szCs w:val="22"/>
        </w:rPr>
        <w:t xml:space="preserve"> (Accessed: 17 February 2026).</w:t>
      </w:r>
    </w:p>
    <w:p w14:paraId="5A81DFE7"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Wang, L., Fang, R., Chen, C. and Cao, C. (2023) ‘A comparison of ICD-11 and DSM-5 criteria of PTSD among Chinese trauma-exposed adolescent samples’, </w:t>
      </w:r>
      <w:r w:rsidRPr="00F85CCF">
        <w:rPr>
          <w:rFonts w:ascii="Arial" w:hAnsi="Arial" w:cs="Arial"/>
          <w:i/>
          <w:iCs/>
          <w:sz w:val="22"/>
          <w:szCs w:val="22"/>
        </w:rPr>
        <w:t>Frontiers in Psychiatry</w:t>
      </w:r>
      <w:r w:rsidRPr="00F85CCF">
        <w:rPr>
          <w:rFonts w:ascii="Arial" w:hAnsi="Arial" w:cs="Arial"/>
          <w:sz w:val="22"/>
          <w:szCs w:val="22"/>
        </w:rPr>
        <w:t xml:space="preserve">, 14, 1186138. </w:t>
      </w:r>
      <w:hyperlink r:id="rId69" w:tgtFrame="_new" w:history="1">
        <w:r w:rsidRPr="00F85CCF">
          <w:rPr>
            <w:rStyle w:val="Hyperlink"/>
            <w:rFonts w:ascii="Arial" w:hAnsi="Arial" w:cs="Arial"/>
            <w:sz w:val="22"/>
            <w:szCs w:val="22"/>
          </w:rPr>
          <w:t>https://doi.org/10.3389/fpsyt.2023.1186138</w:t>
        </w:r>
      </w:hyperlink>
    </w:p>
    <w:p w14:paraId="43778D0A"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World Health Organization (2016) </w:t>
      </w:r>
      <w:r w:rsidRPr="000761CD">
        <w:rPr>
          <w:rFonts w:ascii="Arial" w:hAnsi="Arial" w:cs="Arial"/>
          <w:i/>
          <w:iCs/>
          <w:sz w:val="22"/>
          <w:szCs w:val="22"/>
        </w:rPr>
        <w:t>International statistical classification of diseases and related health problems 10th revision (ICD-10): F43.1 post-traumatic stress disorder</w:t>
      </w:r>
      <w:r w:rsidRPr="000761CD">
        <w:rPr>
          <w:rFonts w:ascii="Arial" w:hAnsi="Arial" w:cs="Arial"/>
          <w:sz w:val="22"/>
          <w:szCs w:val="22"/>
        </w:rPr>
        <w:t xml:space="preserve">. Available at: </w:t>
      </w:r>
      <w:hyperlink r:id="rId70" w:anchor="/F43.1" w:tgtFrame="_new" w:history="1">
        <w:r w:rsidRPr="000761CD">
          <w:rPr>
            <w:rStyle w:val="Hyperlink"/>
            <w:rFonts w:ascii="Arial" w:hAnsi="Arial" w:cs="Arial"/>
            <w:sz w:val="22"/>
            <w:szCs w:val="22"/>
          </w:rPr>
          <w:t>https://icd.who.int/browse10/2016/en#/F43.1</w:t>
        </w:r>
      </w:hyperlink>
      <w:r w:rsidRPr="000761CD">
        <w:rPr>
          <w:rFonts w:ascii="Arial" w:hAnsi="Arial" w:cs="Arial"/>
          <w:sz w:val="22"/>
          <w:szCs w:val="22"/>
        </w:rPr>
        <w:t xml:space="preserve"> (Accessed: 17 February 2026).</w:t>
      </w:r>
    </w:p>
    <w:p w14:paraId="5C6A9697"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World Health Organization (2024) </w:t>
      </w:r>
      <w:r w:rsidRPr="000761CD">
        <w:rPr>
          <w:rFonts w:ascii="Arial" w:hAnsi="Arial" w:cs="Arial"/>
          <w:i/>
          <w:iCs/>
          <w:sz w:val="22"/>
          <w:szCs w:val="22"/>
        </w:rPr>
        <w:t>Post-traumatic stress disorder</w:t>
      </w:r>
      <w:r w:rsidRPr="000761CD">
        <w:rPr>
          <w:rFonts w:ascii="Arial" w:hAnsi="Arial" w:cs="Arial"/>
          <w:sz w:val="22"/>
          <w:szCs w:val="22"/>
        </w:rPr>
        <w:t xml:space="preserve">. Available at: </w:t>
      </w:r>
      <w:hyperlink r:id="rId71" w:tgtFrame="_new" w:history="1">
        <w:r w:rsidRPr="000761CD">
          <w:rPr>
            <w:rStyle w:val="Hyperlink"/>
            <w:rFonts w:ascii="Arial" w:hAnsi="Arial" w:cs="Arial"/>
            <w:sz w:val="22"/>
            <w:szCs w:val="22"/>
          </w:rPr>
          <w:t>https://www.who.int/news-room/fact-sheets/detail/post-traumatic-stress-disorder</w:t>
        </w:r>
      </w:hyperlink>
      <w:r w:rsidRPr="000761CD">
        <w:rPr>
          <w:rFonts w:ascii="Arial" w:hAnsi="Arial" w:cs="Arial"/>
          <w:sz w:val="22"/>
          <w:szCs w:val="22"/>
        </w:rPr>
        <w:t xml:space="preserve"> (Accessed: 17 February 2026).</w:t>
      </w:r>
    </w:p>
    <w:p w14:paraId="00201685" w14:textId="77777777" w:rsidR="00F85CCF"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World Health Organization (2025) </w:t>
      </w:r>
      <w:r w:rsidRPr="00F85CCF">
        <w:rPr>
          <w:rFonts w:ascii="Arial" w:hAnsi="Arial" w:cs="Arial"/>
          <w:i/>
          <w:iCs/>
          <w:sz w:val="22"/>
          <w:szCs w:val="22"/>
        </w:rPr>
        <w:t>Over a billion people living with mental health conditions – services require urgent scale-up</w:t>
      </w:r>
      <w:r w:rsidRPr="00F85CCF">
        <w:rPr>
          <w:rFonts w:ascii="Arial" w:hAnsi="Arial" w:cs="Arial"/>
          <w:sz w:val="22"/>
          <w:szCs w:val="22"/>
        </w:rPr>
        <w:t xml:space="preserve">, 2 September. Geneva: WHO. Available at: </w:t>
      </w:r>
      <w:hyperlink r:id="rId72" w:tgtFrame="_new" w:history="1">
        <w:r w:rsidRPr="00F85CCF">
          <w:rPr>
            <w:rStyle w:val="Hyperlink"/>
            <w:rFonts w:ascii="Arial" w:hAnsi="Arial" w:cs="Arial"/>
            <w:sz w:val="22"/>
            <w:szCs w:val="22"/>
          </w:rPr>
          <w:t>https://www.who.int/news/item/02-09-2025-over-a-billion-people-living-with-mental-health-conditions-services-require-urgent-scale-up</w:t>
        </w:r>
      </w:hyperlink>
      <w:r w:rsidRPr="00F85CCF">
        <w:rPr>
          <w:rFonts w:ascii="Arial" w:hAnsi="Arial" w:cs="Arial"/>
          <w:sz w:val="22"/>
          <w:szCs w:val="22"/>
        </w:rPr>
        <w:t xml:space="preserve"> (Accessed: 17 February 2026).</w:t>
      </w:r>
    </w:p>
    <w:p w14:paraId="6A0CA2DD" w14:textId="77777777" w:rsidR="00F85CCF" w:rsidRPr="000761CD" w:rsidRDefault="00F85CCF" w:rsidP="00F85CCF">
      <w:pPr>
        <w:spacing w:line="240" w:lineRule="auto"/>
        <w:ind w:left="720" w:hanging="720"/>
        <w:jc w:val="both"/>
        <w:rPr>
          <w:rFonts w:ascii="Arial" w:hAnsi="Arial" w:cs="Arial"/>
          <w:sz w:val="22"/>
          <w:szCs w:val="22"/>
        </w:rPr>
      </w:pPr>
      <w:r w:rsidRPr="000761CD">
        <w:rPr>
          <w:rFonts w:ascii="Arial" w:hAnsi="Arial" w:cs="Arial"/>
          <w:sz w:val="22"/>
          <w:szCs w:val="22"/>
        </w:rPr>
        <w:t xml:space="preserve">World Health Organization (2026) </w:t>
      </w:r>
      <w:r w:rsidRPr="000761CD">
        <w:rPr>
          <w:rFonts w:ascii="Arial" w:hAnsi="Arial" w:cs="Arial"/>
          <w:i/>
          <w:iCs/>
          <w:sz w:val="22"/>
          <w:szCs w:val="22"/>
        </w:rPr>
        <w:t>ICD-11 for mortality and morbidity statistics (Version: 2026-01)</w:t>
      </w:r>
      <w:r w:rsidRPr="000761CD">
        <w:rPr>
          <w:rFonts w:ascii="Arial" w:hAnsi="Arial" w:cs="Arial"/>
          <w:sz w:val="22"/>
          <w:szCs w:val="22"/>
        </w:rPr>
        <w:t xml:space="preserve">. Available at: </w:t>
      </w:r>
      <w:hyperlink r:id="rId73" w:anchor="334423054" w:tgtFrame="_new" w:history="1">
        <w:r w:rsidRPr="000761CD">
          <w:rPr>
            <w:rStyle w:val="Hyperlink"/>
            <w:rFonts w:ascii="Arial" w:hAnsi="Arial" w:cs="Arial"/>
            <w:sz w:val="22"/>
            <w:szCs w:val="22"/>
          </w:rPr>
          <w:t>https://icd.who.int/browse/2026-01/mms/en#334423054</w:t>
        </w:r>
      </w:hyperlink>
      <w:r w:rsidRPr="000761CD">
        <w:rPr>
          <w:rFonts w:ascii="Arial" w:hAnsi="Arial" w:cs="Arial"/>
          <w:sz w:val="22"/>
          <w:szCs w:val="22"/>
        </w:rPr>
        <w:t xml:space="preserve"> (Accessed: 17 February 2026).</w:t>
      </w:r>
    </w:p>
    <w:p w14:paraId="3895F2F6" w14:textId="5B9E2062" w:rsidR="000761CD" w:rsidRPr="00F85CCF" w:rsidRDefault="00F85CCF" w:rsidP="00F85CCF">
      <w:pPr>
        <w:spacing w:line="240" w:lineRule="auto"/>
        <w:ind w:left="720" w:hanging="720"/>
        <w:jc w:val="both"/>
        <w:rPr>
          <w:rFonts w:ascii="Arial" w:hAnsi="Arial" w:cs="Arial"/>
          <w:sz w:val="22"/>
          <w:szCs w:val="22"/>
        </w:rPr>
      </w:pPr>
      <w:r w:rsidRPr="00F85CCF">
        <w:rPr>
          <w:rFonts w:ascii="Arial" w:hAnsi="Arial" w:cs="Arial"/>
          <w:sz w:val="22"/>
          <w:szCs w:val="22"/>
        </w:rPr>
        <w:t xml:space="preserve">Yalch, M.M. (2024) ‘Dimensional approaches to studying, assessing, and treating traumatic stress: introduction to the special section’, </w:t>
      </w:r>
      <w:r w:rsidRPr="00F85CCF">
        <w:rPr>
          <w:rFonts w:ascii="Arial" w:hAnsi="Arial" w:cs="Arial"/>
          <w:i/>
          <w:iCs/>
          <w:sz w:val="22"/>
          <w:szCs w:val="22"/>
        </w:rPr>
        <w:t>Journal of Traumatic Stress</w:t>
      </w:r>
      <w:r w:rsidRPr="00F85CCF">
        <w:rPr>
          <w:rFonts w:ascii="Arial" w:hAnsi="Arial" w:cs="Arial"/>
          <w:sz w:val="22"/>
          <w:szCs w:val="22"/>
        </w:rPr>
        <w:t xml:space="preserve">, 37(3), pp. 357–360. </w:t>
      </w:r>
      <w:hyperlink r:id="rId74" w:tgtFrame="_new" w:history="1">
        <w:r w:rsidRPr="00F85CCF">
          <w:rPr>
            <w:rStyle w:val="Hyperlink"/>
            <w:rFonts w:ascii="Arial" w:hAnsi="Arial" w:cs="Arial"/>
            <w:sz w:val="22"/>
            <w:szCs w:val="22"/>
          </w:rPr>
          <w:t>https://doi.org/10.1002/jts.23045</w:t>
        </w:r>
      </w:hyperlink>
    </w:p>
    <w:sectPr w:rsidR="000761CD" w:rsidRPr="00F85CCF">
      <w:footerReference w:type="default" r:id="rId7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AB50D" w14:textId="77777777" w:rsidR="001617AE" w:rsidRDefault="001617AE" w:rsidP="00846C4E">
      <w:pPr>
        <w:spacing w:after="0" w:line="240" w:lineRule="auto"/>
      </w:pPr>
      <w:r>
        <w:separator/>
      </w:r>
    </w:p>
  </w:endnote>
  <w:endnote w:type="continuationSeparator" w:id="0">
    <w:p w14:paraId="2BC83EB6" w14:textId="77777777" w:rsidR="001617AE" w:rsidRDefault="001617AE" w:rsidP="00846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2108040"/>
      <w:docPartObj>
        <w:docPartGallery w:val="Page Numbers (Bottom of Page)"/>
        <w:docPartUnique/>
      </w:docPartObj>
    </w:sdtPr>
    <w:sdtEndPr>
      <w:rPr>
        <w:noProof/>
      </w:rPr>
    </w:sdtEndPr>
    <w:sdtContent>
      <w:p w14:paraId="25E385EB" w14:textId="1A43FD7A" w:rsidR="00846C4E" w:rsidRDefault="00846C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0834AA" w14:textId="77777777" w:rsidR="00846C4E" w:rsidRDefault="00846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37C61" w14:textId="77777777" w:rsidR="001617AE" w:rsidRDefault="001617AE" w:rsidP="00846C4E">
      <w:pPr>
        <w:spacing w:after="0" w:line="240" w:lineRule="auto"/>
      </w:pPr>
      <w:r>
        <w:separator/>
      </w:r>
    </w:p>
  </w:footnote>
  <w:footnote w:type="continuationSeparator" w:id="0">
    <w:p w14:paraId="3920C267" w14:textId="77777777" w:rsidR="001617AE" w:rsidRDefault="001617AE" w:rsidP="00846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01E36"/>
    <w:multiLevelType w:val="hybridMultilevel"/>
    <w:tmpl w:val="386E26B0"/>
    <w:lvl w:ilvl="0" w:tplc="0409000F">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3CE47D7"/>
    <w:multiLevelType w:val="hybridMultilevel"/>
    <w:tmpl w:val="9B848E2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553688357">
    <w:abstractNumId w:val="1"/>
  </w:num>
  <w:num w:numId="2" w16cid:durableId="1334800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558"/>
    <w:rsid w:val="00007611"/>
    <w:rsid w:val="00017BA0"/>
    <w:rsid w:val="000236F7"/>
    <w:rsid w:val="000761CD"/>
    <w:rsid w:val="000859D1"/>
    <w:rsid w:val="000B37F8"/>
    <w:rsid w:val="000C5599"/>
    <w:rsid w:val="00110E5E"/>
    <w:rsid w:val="001553E8"/>
    <w:rsid w:val="00157DE6"/>
    <w:rsid w:val="001617AE"/>
    <w:rsid w:val="001B6924"/>
    <w:rsid w:val="001B7227"/>
    <w:rsid w:val="0020096F"/>
    <w:rsid w:val="00220A65"/>
    <w:rsid w:val="00225919"/>
    <w:rsid w:val="0026200A"/>
    <w:rsid w:val="002D47BD"/>
    <w:rsid w:val="002E075B"/>
    <w:rsid w:val="002E18C4"/>
    <w:rsid w:val="00314F94"/>
    <w:rsid w:val="00332217"/>
    <w:rsid w:val="00352781"/>
    <w:rsid w:val="00353BF5"/>
    <w:rsid w:val="00365C7E"/>
    <w:rsid w:val="003738B0"/>
    <w:rsid w:val="003812ED"/>
    <w:rsid w:val="003A4B23"/>
    <w:rsid w:val="003A5BDF"/>
    <w:rsid w:val="003C5123"/>
    <w:rsid w:val="0041732C"/>
    <w:rsid w:val="00420FFC"/>
    <w:rsid w:val="004318D0"/>
    <w:rsid w:val="004947FE"/>
    <w:rsid w:val="004A0D6D"/>
    <w:rsid w:val="004B5B24"/>
    <w:rsid w:val="004C5E93"/>
    <w:rsid w:val="004D55E6"/>
    <w:rsid w:val="00503055"/>
    <w:rsid w:val="00511E03"/>
    <w:rsid w:val="0051410A"/>
    <w:rsid w:val="00524610"/>
    <w:rsid w:val="005349EE"/>
    <w:rsid w:val="00544393"/>
    <w:rsid w:val="00552D74"/>
    <w:rsid w:val="005534F0"/>
    <w:rsid w:val="005A4E63"/>
    <w:rsid w:val="00667C7C"/>
    <w:rsid w:val="00670506"/>
    <w:rsid w:val="006855ED"/>
    <w:rsid w:val="00694F81"/>
    <w:rsid w:val="006A07C4"/>
    <w:rsid w:val="006A3A94"/>
    <w:rsid w:val="006E09B8"/>
    <w:rsid w:val="00722486"/>
    <w:rsid w:val="00743426"/>
    <w:rsid w:val="007566D8"/>
    <w:rsid w:val="007E75F3"/>
    <w:rsid w:val="007F09B3"/>
    <w:rsid w:val="0082636D"/>
    <w:rsid w:val="008404D8"/>
    <w:rsid w:val="00846C4E"/>
    <w:rsid w:val="008C1B18"/>
    <w:rsid w:val="009156F5"/>
    <w:rsid w:val="009820B1"/>
    <w:rsid w:val="0098667F"/>
    <w:rsid w:val="009B2E53"/>
    <w:rsid w:val="009D7E12"/>
    <w:rsid w:val="00A34170"/>
    <w:rsid w:val="00A65003"/>
    <w:rsid w:val="00A71796"/>
    <w:rsid w:val="00A72B8B"/>
    <w:rsid w:val="00AA265C"/>
    <w:rsid w:val="00AD54ED"/>
    <w:rsid w:val="00B0005E"/>
    <w:rsid w:val="00B221C2"/>
    <w:rsid w:val="00B65D73"/>
    <w:rsid w:val="00BA2272"/>
    <w:rsid w:val="00C070AD"/>
    <w:rsid w:val="00C128B5"/>
    <w:rsid w:val="00C20892"/>
    <w:rsid w:val="00C5668A"/>
    <w:rsid w:val="00C7047D"/>
    <w:rsid w:val="00C86B27"/>
    <w:rsid w:val="00CA61AF"/>
    <w:rsid w:val="00CC054D"/>
    <w:rsid w:val="00CD62DE"/>
    <w:rsid w:val="00CE000A"/>
    <w:rsid w:val="00D25558"/>
    <w:rsid w:val="00D556FF"/>
    <w:rsid w:val="00D678B4"/>
    <w:rsid w:val="00DB2C55"/>
    <w:rsid w:val="00E4616A"/>
    <w:rsid w:val="00E614C2"/>
    <w:rsid w:val="00E84C60"/>
    <w:rsid w:val="00E90F8F"/>
    <w:rsid w:val="00E968B6"/>
    <w:rsid w:val="00EE4774"/>
    <w:rsid w:val="00EE58F6"/>
    <w:rsid w:val="00F85CCF"/>
    <w:rsid w:val="00F9426B"/>
    <w:rsid w:val="00FC34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3F99F"/>
  <w15:chartTrackingRefBased/>
  <w15:docId w15:val="{4D14F250-9374-4C0F-91E2-63783C80D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5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5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5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5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5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5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5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5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5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5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558"/>
    <w:rPr>
      <w:rFonts w:eastAsiaTheme="majorEastAsia" w:cstheme="majorBidi"/>
      <w:color w:val="272727" w:themeColor="text1" w:themeTint="D8"/>
    </w:rPr>
  </w:style>
  <w:style w:type="paragraph" w:styleId="Title">
    <w:name w:val="Title"/>
    <w:basedOn w:val="Normal"/>
    <w:next w:val="Normal"/>
    <w:link w:val="TitleChar"/>
    <w:uiPriority w:val="10"/>
    <w:qFormat/>
    <w:rsid w:val="00D25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558"/>
    <w:pPr>
      <w:spacing w:before="160"/>
      <w:jc w:val="center"/>
    </w:pPr>
    <w:rPr>
      <w:i/>
      <w:iCs/>
      <w:color w:val="404040" w:themeColor="text1" w:themeTint="BF"/>
    </w:rPr>
  </w:style>
  <w:style w:type="character" w:customStyle="1" w:styleId="QuoteChar">
    <w:name w:val="Quote Char"/>
    <w:basedOn w:val="DefaultParagraphFont"/>
    <w:link w:val="Quote"/>
    <w:uiPriority w:val="29"/>
    <w:rsid w:val="00D25558"/>
    <w:rPr>
      <w:i/>
      <w:iCs/>
      <w:color w:val="404040" w:themeColor="text1" w:themeTint="BF"/>
    </w:rPr>
  </w:style>
  <w:style w:type="paragraph" w:styleId="ListParagraph">
    <w:name w:val="List Paragraph"/>
    <w:basedOn w:val="Normal"/>
    <w:uiPriority w:val="34"/>
    <w:qFormat/>
    <w:rsid w:val="00D25558"/>
    <w:pPr>
      <w:ind w:left="720"/>
      <w:contextualSpacing/>
    </w:pPr>
  </w:style>
  <w:style w:type="character" w:styleId="IntenseEmphasis">
    <w:name w:val="Intense Emphasis"/>
    <w:basedOn w:val="DefaultParagraphFont"/>
    <w:uiPriority w:val="21"/>
    <w:qFormat/>
    <w:rsid w:val="00D25558"/>
    <w:rPr>
      <w:i/>
      <w:iCs/>
      <w:color w:val="0F4761" w:themeColor="accent1" w:themeShade="BF"/>
    </w:rPr>
  </w:style>
  <w:style w:type="paragraph" w:styleId="IntenseQuote">
    <w:name w:val="Intense Quote"/>
    <w:basedOn w:val="Normal"/>
    <w:next w:val="Normal"/>
    <w:link w:val="IntenseQuoteChar"/>
    <w:uiPriority w:val="30"/>
    <w:qFormat/>
    <w:rsid w:val="00D255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558"/>
    <w:rPr>
      <w:i/>
      <w:iCs/>
      <w:color w:val="0F4761" w:themeColor="accent1" w:themeShade="BF"/>
    </w:rPr>
  </w:style>
  <w:style w:type="character" w:styleId="IntenseReference">
    <w:name w:val="Intense Reference"/>
    <w:basedOn w:val="DefaultParagraphFont"/>
    <w:uiPriority w:val="32"/>
    <w:qFormat/>
    <w:rsid w:val="00D25558"/>
    <w:rPr>
      <w:b/>
      <w:bCs/>
      <w:smallCaps/>
      <w:color w:val="0F4761" w:themeColor="accent1" w:themeShade="BF"/>
      <w:spacing w:val="5"/>
    </w:rPr>
  </w:style>
  <w:style w:type="paragraph" w:styleId="Header">
    <w:name w:val="header"/>
    <w:basedOn w:val="Normal"/>
    <w:link w:val="HeaderChar"/>
    <w:uiPriority w:val="99"/>
    <w:unhideWhenUsed/>
    <w:rsid w:val="00846C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6C4E"/>
  </w:style>
  <w:style w:type="paragraph" w:styleId="Footer">
    <w:name w:val="footer"/>
    <w:basedOn w:val="Normal"/>
    <w:link w:val="FooterChar"/>
    <w:uiPriority w:val="99"/>
    <w:unhideWhenUsed/>
    <w:rsid w:val="00846C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6C4E"/>
  </w:style>
  <w:style w:type="character" w:styleId="Hyperlink">
    <w:name w:val="Hyperlink"/>
    <w:basedOn w:val="DefaultParagraphFont"/>
    <w:uiPriority w:val="99"/>
    <w:unhideWhenUsed/>
    <w:rsid w:val="000761CD"/>
    <w:rPr>
      <w:color w:val="467886" w:themeColor="hyperlink"/>
      <w:u w:val="single"/>
    </w:rPr>
  </w:style>
  <w:style w:type="character" w:styleId="UnresolvedMention">
    <w:name w:val="Unresolved Mention"/>
    <w:basedOn w:val="DefaultParagraphFont"/>
    <w:uiPriority w:val="99"/>
    <w:semiHidden/>
    <w:unhideWhenUsed/>
    <w:rsid w:val="000761CD"/>
    <w:rPr>
      <w:color w:val="605E5C"/>
      <w:shd w:val="clear" w:color="auto" w:fill="E1DFDD"/>
    </w:rPr>
  </w:style>
  <w:style w:type="paragraph" w:styleId="NormalWeb">
    <w:name w:val="Normal (Web)"/>
    <w:basedOn w:val="Normal"/>
    <w:uiPriority w:val="99"/>
    <w:semiHidden/>
    <w:unhideWhenUsed/>
    <w:rsid w:val="00E90F8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362361320912143" TargetMode="External"/><Relationship Id="rId21" Type="http://schemas.openxmlformats.org/officeDocument/2006/relationships/hyperlink" Target="https://www.gov.uk/guidance/equality-act-2010-guidance" TargetMode="External"/><Relationship Id="rId42" Type="http://schemas.openxmlformats.org/officeDocument/2006/relationships/hyperlink" Target="https://doi.org/10.3390/traumacare3040024" TargetMode="External"/><Relationship Id="rId47" Type="http://schemas.openxmlformats.org/officeDocument/2006/relationships/hyperlink" Target="https://doi.org/10.36131/cnfioritieditore20220605" TargetMode="External"/><Relationship Id="rId63" Type="http://schemas.openxmlformats.org/officeDocument/2006/relationships/hyperlink" Target="https://doi.org/10.3389/fneur.2025.1608645" TargetMode="External"/><Relationship Id="rId68" Type="http://schemas.openxmlformats.org/officeDocument/2006/relationships/hyperlink" Target="https://treatmhcalifornia.com/blog/is-ptsd-neurodivergent/" TargetMode="External"/><Relationship Id="rId16" Type="http://schemas.openxmlformats.org/officeDocument/2006/relationships/hyperlink" Target="https://doi.org/10.1080/14737175.2023.2211767" TargetMode="External"/><Relationship Id="rId11" Type="http://schemas.openxmlformats.org/officeDocument/2006/relationships/hyperlink" Target="https://doi.org/10.1093/bmb/ldaf015" TargetMode="External"/><Relationship Id="rId24" Type="http://schemas.openxmlformats.org/officeDocument/2006/relationships/hyperlink" Target="https://doi.org/10.1016/j.psychres.2011.10.022" TargetMode="External"/><Relationship Id="rId32" Type="http://schemas.openxmlformats.org/officeDocument/2006/relationships/hyperlink" Target="https://doi.org/10.1177/20451253251342628" TargetMode="External"/><Relationship Id="rId37" Type="http://schemas.openxmlformats.org/officeDocument/2006/relationships/hyperlink" Target="https://doi.org/10.1017/S0033291719000436" TargetMode="External"/><Relationship Id="rId40" Type="http://schemas.openxmlformats.org/officeDocument/2006/relationships/hyperlink" Target="https://doi.org/10.1080/20008066.2025.2452680" TargetMode="External"/><Relationship Id="rId45" Type="http://schemas.openxmlformats.org/officeDocument/2006/relationships/hyperlink" Target="https://doi.org/10.32872/cpe.9711" TargetMode="External"/><Relationship Id="rId53" Type="http://schemas.openxmlformats.org/officeDocument/2006/relationships/hyperlink" Target="https://www.nice.org.uk/guidance/ng116/chapter/recommendations" TargetMode="External"/><Relationship Id="rId58" Type="http://schemas.openxmlformats.org/officeDocument/2006/relationships/hyperlink" Target="https://doi.org/10.1002/wps.20611" TargetMode="External"/><Relationship Id="rId66" Type="http://schemas.openxmlformats.org/officeDocument/2006/relationships/hyperlink" Target="https://doi.org/10.1186/s12916-020-1495-2" TargetMode="External"/><Relationship Id="rId74" Type="http://schemas.openxmlformats.org/officeDocument/2006/relationships/hyperlink" Target="https://doi.org/10.1002/jts.23045" TargetMode="External"/><Relationship Id="rId5" Type="http://schemas.openxmlformats.org/officeDocument/2006/relationships/footnotes" Target="footnotes.xml"/><Relationship Id="rId61" Type="http://schemas.openxmlformats.org/officeDocument/2006/relationships/hyperlink" Target="https://doi.org/10.1080/03007995.2021.1978417" TargetMode="External"/><Relationship Id="rId19" Type="http://schemas.openxmlformats.org/officeDocument/2006/relationships/hyperlink" Target="https://doi.org/10.1001/jamanetworkopen.2024.24076" TargetMode="External"/><Relationship Id="rId14" Type="http://schemas.openxmlformats.org/officeDocument/2006/relationships/hyperlink" Target="https://www.cqc.org.uk/publications/surveys/community-mental-health-survey" TargetMode="External"/><Relationship Id="rId22" Type="http://schemas.openxmlformats.org/officeDocument/2006/relationships/hyperlink" Target="https://doi.org/10.64898/2025.12.03.25341390" TargetMode="External"/><Relationship Id="rId27" Type="http://schemas.openxmlformats.org/officeDocument/2006/relationships/hyperlink" Target="https://doi.org/10.1080/20008198.2020.1802920" TargetMode="External"/><Relationship Id="rId30" Type="http://schemas.openxmlformats.org/officeDocument/2006/relationships/hyperlink" Target="https://doi.org/10.3390/ijerph192416836" TargetMode="External"/><Relationship Id="rId35" Type="http://schemas.openxmlformats.org/officeDocument/2006/relationships/hyperlink" Target="https://doi.org/10.31887/DCNS.2020.22.1/rparikh" TargetMode="External"/><Relationship Id="rId43" Type="http://schemas.openxmlformats.org/officeDocument/2006/relationships/hyperlink" Target="https://doi.org/10.1080/20008198.2019.1709709" TargetMode="External"/><Relationship Id="rId48" Type="http://schemas.openxmlformats.org/officeDocument/2006/relationships/hyperlink" Target="https://doi.org/10.3389/fpubh.2024.1383171" TargetMode="External"/><Relationship Id="rId56" Type="http://schemas.openxmlformats.org/officeDocument/2006/relationships/hyperlink" Target="https://doi.org/10.1080/20008198.2021.1934789" TargetMode="External"/><Relationship Id="rId64" Type="http://schemas.openxmlformats.org/officeDocument/2006/relationships/hyperlink" Target="https://doi.org/10.1016/j.jmh.2022.100148" TargetMode="External"/><Relationship Id="rId69" Type="http://schemas.openxmlformats.org/officeDocument/2006/relationships/hyperlink" Target="https://doi.org/10.3389/fpsyt.2023.1186138" TargetMode="External"/><Relationship Id="rId77" Type="http://schemas.openxmlformats.org/officeDocument/2006/relationships/theme" Target="theme/theme1.xml"/><Relationship Id="rId8" Type="http://schemas.openxmlformats.org/officeDocument/2006/relationships/hyperlink" Target="https://doi.org/10.3390/ijerph17207645" TargetMode="External"/><Relationship Id="rId51" Type="http://schemas.openxmlformats.org/officeDocument/2006/relationships/hyperlink" Target="https://doi.org/10.1186/s40779-018-0179-0" TargetMode="External"/><Relationship Id="rId72" Type="http://schemas.openxmlformats.org/officeDocument/2006/relationships/hyperlink" Target="https://www.who.int/news/item/02-09-2025-over-a-billion-people-living-with-mental-health-conditions-services-require-urgent-scale-up" TargetMode="External"/><Relationship Id="rId3" Type="http://schemas.openxmlformats.org/officeDocument/2006/relationships/settings" Target="settings.xml"/><Relationship Id="rId12" Type="http://schemas.openxmlformats.org/officeDocument/2006/relationships/hyperlink" Target="https://doi.org/10.1017/gmh.2023.5" TargetMode="External"/><Relationship Id="rId17" Type="http://schemas.openxmlformats.org/officeDocument/2006/relationships/hyperlink" Target="https://doi.org/10.31887/DCNS.2020.22.1/wgaebel" TargetMode="External"/><Relationship Id="rId25" Type="http://schemas.openxmlformats.org/officeDocument/2006/relationships/hyperlink" Target="https://doi.org/10.1371/journal.pone.0252747" TargetMode="External"/><Relationship Id="rId33" Type="http://schemas.openxmlformats.org/officeDocument/2006/relationships/hyperlink" Target="https://doi.org/10.1177/15248380251388127" TargetMode="External"/><Relationship Id="rId38" Type="http://schemas.openxmlformats.org/officeDocument/2006/relationships/hyperlink" Target="https://doi.org/10.1177/10731911251340837" TargetMode="External"/><Relationship Id="rId46" Type="http://schemas.openxmlformats.org/officeDocument/2006/relationships/hyperlink" Target="https://doi.org/10.1016/S0140-6736(22)00821-2" TargetMode="External"/><Relationship Id="rId59" Type="http://schemas.openxmlformats.org/officeDocument/2006/relationships/hyperlink" Target="https://doi.org/10.1080/20008198.2020.1818965" TargetMode="External"/><Relationship Id="rId67" Type="http://schemas.openxmlformats.org/officeDocument/2006/relationships/hyperlink" Target="https://doi.org/10.1038/s41598-023-28660-7" TargetMode="External"/><Relationship Id="rId20" Type="http://schemas.openxmlformats.org/officeDocument/2006/relationships/hyperlink" Target="https://doi.org/10.1186/s40359-024-01588-x" TargetMode="External"/><Relationship Id="rId41" Type="http://schemas.openxmlformats.org/officeDocument/2006/relationships/hyperlink" Target="https://doi.org/10.1080/20008198.2021.1891726" TargetMode="External"/><Relationship Id="rId54" Type="http://schemas.openxmlformats.org/officeDocument/2006/relationships/hyperlink" Target="https://doi.org/10.1016/j.jbct.2024.100486" TargetMode="External"/><Relationship Id="rId62" Type="http://schemas.openxmlformats.org/officeDocument/2006/relationships/hyperlink" Target="https://doi.org/10.1016/j.janxdis.2023.102786" TargetMode="External"/><Relationship Id="rId70" Type="http://schemas.openxmlformats.org/officeDocument/2006/relationships/hyperlink" Target="https://icd.who.int/browse10/2016/en" TargetMode="External"/><Relationship Id="rId75"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515/mr-2022-0012" TargetMode="External"/><Relationship Id="rId23" Type="http://schemas.openxmlformats.org/officeDocument/2006/relationships/hyperlink" Target="https://doi.org/10.1080/20008066.2025.2545734" TargetMode="External"/><Relationship Id="rId28" Type="http://schemas.openxmlformats.org/officeDocument/2006/relationships/hyperlink" Target="https://doi.org/10.1080/20008198.2020.1844441" TargetMode="External"/><Relationship Id="rId36" Type="http://schemas.openxmlformats.org/officeDocument/2006/relationships/hyperlink" Target="https://doi.org/10.1080/20008198.2017.1418103" TargetMode="External"/><Relationship Id="rId49" Type="http://schemas.openxmlformats.org/officeDocument/2006/relationships/hyperlink" Target="https://doi.org/10.1176/appi.focus.20200048" TargetMode="External"/><Relationship Id="rId57" Type="http://schemas.openxmlformats.org/officeDocument/2006/relationships/hyperlink" Target="https://doi.org/10.1177/1178632917694350" TargetMode="External"/><Relationship Id="rId10" Type="http://schemas.openxmlformats.org/officeDocument/2006/relationships/hyperlink" Target="https://doi.org/10.1016/j.lanepe.2025.101458" TargetMode="External"/><Relationship Id="rId31" Type="http://schemas.openxmlformats.org/officeDocument/2006/relationships/hyperlink" Target="https://doi.org/10.1186/s43058-023-00428-0" TargetMode="External"/><Relationship Id="rId44" Type="http://schemas.openxmlformats.org/officeDocument/2006/relationships/hyperlink" Target="https://www.jsams.org/article/S1440-2440(24)00150-6/fulltext" TargetMode="External"/><Relationship Id="rId52" Type="http://schemas.openxmlformats.org/officeDocument/2006/relationships/hyperlink" Target="https://doi.org/10.1111/acps.13161" TargetMode="External"/><Relationship Id="rId60" Type="http://schemas.openxmlformats.org/officeDocument/2006/relationships/hyperlink" Target="https://doi.org/10.1186/s12913-023-09294-x" TargetMode="External"/><Relationship Id="rId65" Type="http://schemas.openxmlformats.org/officeDocument/2006/relationships/hyperlink" Target="https://doi.org/10.1002/da.22279" TargetMode="External"/><Relationship Id="rId73" Type="http://schemas.openxmlformats.org/officeDocument/2006/relationships/hyperlink" Target="https://icd.who.int/browse/2026-01/mms/en" TargetMode="External"/><Relationship Id="rId4" Type="http://schemas.openxmlformats.org/officeDocument/2006/relationships/webSettings" Target="webSettings.xml"/><Relationship Id="rId9" Type="http://schemas.openxmlformats.org/officeDocument/2006/relationships/hyperlink" Target="https://doi.org/10.1007/s44192-025-00177-7" TargetMode="External"/><Relationship Id="rId13" Type="http://schemas.openxmlformats.org/officeDocument/2006/relationships/hyperlink" Target="https://doi.org/10.1186/s12888-023-05460-x" TargetMode="External"/><Relationship Id="rId18" Type="http://schemas.openxmlformats.org/officeDocument/2006/relationships/hyperlink" Target="https://doi.org/10.3389/fpsyt.2020.595584" TargetMode="External"/><Relationship Id="rId39" Type="http://schemas.openxmlformats.org/officeDocument/2006/relationships/hyperlink" Target="https://doi.org/10.3402/ejpt.v4i0.22608" TargetMode="External"/><Relationship Id="rId34" Type="http://schemas.openxmlformats.org/officeDocument/2006/relationships/hyperlink" Target="https://doi.org/10.3389/fpsyg.2022.896981" TargetMode="External"/><Relationship Id="rId50" Type="http://schemas.openxmlformats.org/officeDocument/2006/relationships/hyperlink" Target="https://doi.org/10.1007/s11414-011-9263-x" TargetMode="External"/><Relationship Id="rId55" Type="http://schemas.openxmlformats.org/officeDocument/2006/relationships/hyperlink" Target="https://www.phoenixaustralia.org/australian-guidelines-for-ptsd/" TargetMode="External"/><Relationship Id="rId76" Type="http://schemas.openxmlformats.org/officeDocument/2006/relationships/fontTable" Target="fontTable.xml"/><Relationship Id="rId7" Type="http://schemas.openxmlformats.org/officeDocument/2006/relationships/hyperlink" Target="https://doi.org/10.2147/DDDT.S550371" TargetMode="External"/><Relationship Id="rId71" Type="http://schemas.openxmlformats.org/officeDocument/2006/relationships/hyperlink" Target="https://www.who.int/news-room/fact-sheets/detail/post-traumatic-stress-disorder" TargetMode="External"/><Relationship Id="rId2" Type="http://schemas.openxmlformats.org/officeDocument/2006/relationships/styles" Target="styles.xml"/><Relationship Id="rId29" Type="http://schemas.openxmlformats.org/officeDocument/2006/relationships/hyperlink" Target="https://doi.org/10.3389/fphar.2020.005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1348</TotalTime>
  <Pages>14</Pages>
  <Words>7005</Words>
  <Characters>33626</Characters>
  <Application>Microsoft Office Word</Application>
  <DocSecurity>0</DocSecurity>
  <Lines>2802</Lines>
  <Paragraphs>3125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Idowu PC</dc:creator>
  <cp:keywords/>
  <dc:description/>
  <cp:lastModifiedBy>AbdulLateef Badmus</cp:lastModifiedBy>
  <cp:revision>592</cp:revision>
  <dcterms:created xsi:type="dcterms:W3CDTF">2026-02-16T15:45:00Z</dcterms:created>
  <dcterms:modified xsi:type="dcterms:W3CDTF">2026-02-21T11:48:00Z</dcterms:modified>
</cp:coreProperties>
</file>