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5F5F6" w14:textId="77777777" w:rsidR="003500FD" w:rsidRDefault="003500FD" w:rsidP="003500FD">
      <w:pPr>
        <w:jc w:val="center"/>
        <w:rPr>
          <w:rFonts w:cs="Times New Roman"/>
          <w:b/>
          <w:bCs/>
          <w:u w:val="single"/>
        </w:rPr>
      </w:pPr>
    </w:p>
    <w:p w14:paraId="6BF9C458" w14:textId="77777777" w:rsidR="003500FD" w:rsidRDefault="003500FD" w:rsidP="003500FD">
      <w:pPr>
        <w:jc w:val="center"/>
        <w:rPr>
          <w:rFonts w:cs="Times New Roman"/>
          <w:b/>
          <w:bCs/>
          <w:u w:val="single"/>
        </w:rPr>
      </w:pPr>
    </w:p>
    <w:p w14:paraId="67EE45F9" w14:textId="77777777" w:rsidR="003500FD" w:rsidRDefault="003500FD" w:rsidP="003500FD">
      <w:pPr>
        <w:jc w:val="center"/>
        <w:rPr>
          <w:rFonts w:cs="Times New Roman"/>
          <w:b/>
          <w:bCs/>
          <w:u w:val="single"/>
        </w:rPr>
      </w:pPr>
    </w:p>
    <w:p w14:paraId="3AFF51C6" w14:textId="77777777" w:rsidR="003500FD" w:rsidRDefault="003500FD" w:rsidP="003500FD">
      <w:pPr>
        <w:jc w:val="center"/>
        <w:rPr>
          <w:rFonts w:cs="Times New Roman"/>
          <w:b/>
          <w:bCs/>
          <w:u w:val="single"/>
        </w:rPr>
      </w:pPr>
    </w:p>
    <w:p w14:paraId="6FF0FD7B" w14:textId="77777777" w:rsidR="003500FD" w:rsidRDefault="003500FD" w:rsidP="003500FD">
      <w:pPr>
        <w:jc w:val="center"/>
        <w:rPr>
          <w:rFonts w:cs="Times New Roman"/>
          <w:b/>
          <w:bCs/>
          <w:u w:val="single"/>
        </w:rPr>
      </w:pPr>
    </w:p>
    <w:p w14:paraId="0B394EC0" w14:textId="77777777" w:rsidR="003500FD" w:rsidRPr="00D96912" w:rsidRDefault="00B411C7" w:rsidP="003500FD">
      <w:pPr>
        <w:jc w:val="center"/>
        <w:rPr>
          <w:rFonts w:cs="Times New Roman"/>
          <w:sz w:val="28"/>
          <w:szCs w:val="22"/>
        </w:rPr>
      </w:pPr>
      <w:r w:rsidRPr="00D96912">
        <w:rPr>
          <w:rFonts w:cs="Times New Roman"/>
          <w:sz w:val="28"/>
          <w:szCs w:val="22"/>
        </w:rPr>
        <w:t>Learning in The Digital Era</w:t>
      </w:r>
    </w:p>
    <w:p w14:paraId="108F8760" w14:textId="77777777" w:rsidR="0001691D" w:rsidRDefault="00B411C7" w:rsidP="003500FD">
      <w:pPr>
        <w:jc w:val="center"/>
        <w:rPr>
          <w:rFonts w:cs="Times New Roman"/>
          <w:i/>
          <w:iCs/>
        </w:rPr>
      </w:pPr>
      <w:r>
        <w:rPr>
          <w:rFonts w:cs="Times New Roman"/>
          <w:i/>
          <w:iCs/>
        </w:rPr>
        <w:t>Student Name:</w:t>
      </w:r>
      <w:r w:rsidR="00D96912">
        <w:rPr>
          <w:rFonts w:cs="Times New Roman"/>
          <w:i/>
          <w:iCs/>
        </w:rPr>
        <w:t xml:space="preserve"> Rodica Dobre/</w:t>
      </w:r>
      <w:r w:rsidR="00D96912" w:rsidRPr="00D96912">
        <w:rPr>
          <w:rFonts w:cs="Times New Roman"/>
          <w:i/>
          <w:iCs/>
        </w:rPr>
        <w:t>1920091</w:t>
      </w:r>
      <w:r w:rsidR="0001691D">
        <w:rPr>
          <w:rFonts w:cs="Times New Roman"/>
          <w:i/>
          <w:iCs/>
        </w:rPr>
        <w:t xml:space="preserve"> </w:t>
      </w:r>
    </w:p>
    <w:p w14:paraId="308EC0FE" w14:textId="6D49379A" w:rsidR="003500FD" w:rsidRDefault="0001691D" w:rsidP="0001691D">
      <w:pPr>
        <w:jc w:val="left"/>
        <w:rPr>
          <w:rFonts w:cs="Times New Roman"/>
          <w:i/>
          <w:iCs/>
        </w:rPr>
      </w:pPr>
      <w:r>
        <w:rPr>
          <w:rFonts w:cs="Times New Roman"/>
          <w:i/>
          <w:iCs/>
        </w:rPr>
        <w:t>Presentation:</w:t>
      </w:r>
    </w:p>
    <w:p w14:paraId="53268C3D" w14:textId="5B894F54" w:rsidR="0001691D" w:rsidRDefault="0001691D" w:rsidP="0001691D">
      <w:pPr>
        <w:jc w:val="left"/>
        <w:rPr>
          <w:rFonts w:cs="Times New Roman"/>
          <w:i/>
          <w:iCs/>
        </w:rPr>
      </w:pPr>
      <w:hyperlink r:id="rId5" w:history="1">
        <w:r w:rsidRPr="0001691D">
          <w:rPr>
            <w:rStyle w:val="Hyperlink"/>
            <w:rFonts w:cs="Times New Roman"/>
            <w:i/>
            <w:iCs/>
          </w:rPr>
          <w:t>BMSW4010-Sense of Place ^0Identity.pptx</w:t>
        </w:r>
      </w:hyperlink>
    </w:p>
    <w:p w14:paraId="778D2783" w14:textId="51DA7527" w:rsidR="003500FD" w:rsidRPr="00D96912" w:rsidRDefault="00B411C7" w:rsidP="00D96912">
      <w:pPr>
        <w:pStyle w:val="Heading1"/>
        <w:ind w:left="720"/>
        <w:rPr>
          <w:sz w:val="28"/>
          <w:szCs w:val="28"/>
        </w:rPr>
      </w:pPr>
      <w:r w:rsidRPr="00D96912">
        <w:rPr>
          <w:sz w:val="28"/>
          <w:szCs w:val="28"/>
        </w:rPr>
        <w:t>Report</w:t>
      </w:r>
      <w:r w:rsidR="00D96912">
        <w:rPr>
          <w:sz w:val="28"/>
          <w:szCs w:val="28"/>
        </w:rPr>
        <w:t>:</w:t>
      </w:r>
    </w:p>
    <w:p w14:paraId="7D31D781" w14:textId="77777777" w:rsidR="002F67C7" w:rsidRDefault="00B411C7" w:rsidP="00966FC2">
      <w:pPr>
        <w:pStyle w:val="Heading2"/>
        <w:numPr>
          <w:ilvl w:val="0"/>
          <w:numId w:val="4"/>
        </w:numPr>
      </w:pPr>
      <w:r>
        <w:t>Introduction</w:t>
      </w:r>
    </w:p>
    <w:p w14:paraId="7C256712" w14:textId="376DBB4B" w:rsidR="008D5651" w:rsidRPr="008261D6" w:rsidRDefault="00B411C7" w:rsidP="00966FC2">
      <w:pPr>
        <w:rPr>
          <w:rFonts w:cs="Times New Roman"/>
          <w:szCs w:val="24"/>
        </w:rPr>
      </w:pPr>
      <w:r>
        <w:t xml:space="preserve">In terms of technicality definitions of reports are vague. It concerns a particular topic. It is an official document with an outline of the facts of a topic. It has the assignment of investigation. The information shared in reports is varied. Details related to any event or situation, the effect of an event or situation, statistical data evaluation, report information interpretation, prediction on report information, and relation of information to other events. There is a close relation to essay writing. There is reliance on the facts and arguments of authors. There is a heavy organization of reports with a table of </w:t>
      </w:r>
      <w:r w:rsidR="002E356A">
        <w:t>contents, headings,</w:t>
      </w:r>
      <w:r>
        <w:t xml:space="preserve"> and subheadings. </w:t>
      </w:r>
      <w:r w:rsidR="00B0190B">
        <w:t>The introduction section is required to introduce a bit about what a report is</w:t>
      </w:r>
      <w:r w:rsidR="00351D10">
        <w:t xml:space="preserve"> </w:t>
      </w:r>
      <w:r w:rsidR="008261D6">
        <w:rPr>
          <w:rFonts w:ascii="Arial" w:hAnsi="Arial" w:cs="Arial"/>
          <w:color w:val="222222"/>
          <w:sz w:val="20"/>
          <w:shd w:val="clear" w:color="auto" w:fill="FFFFFF"/>
        </w:rPr>
        <w:t>(Schneider, et.al, 2018)</w:t>
      </w:r>
      <w:r w:rsidR="00B0190B">
        <w:t>.</w:t>
      </w:r>
    </w:p>
    <w:p w14:paraId="41F01D71" w14:textId="77777777" w:rsidR="00966FC2" w:rsidRDefault="00B411C7" w:rsidP="00966FC2">
      <w:pPr>
        <w:pStyle w:val="Heading2"/>
        <w:numPr>
          <w:ilvl w:val="0"/>
          <w:numId w:val="4"/>
        </w:numPr>
      </w:pPr>
      <w:r>
        <w:t>Types of report</w:t>
      </w:r>
    </w:p>
    <w:p w14:paraId="33A6544A" w14:textId="6696807C" w:rsidR="00D2236D" w:rsidRPr="00D2236D" w:rsidRDefault="00B411C7" w:rsidP="00D2236D">
      <w:r>
        <w:t xml:space="preserve">Reports are of </w:t>
      </w:r>
      <w:r w:rsidR="00D96912">
        <w:t>diverse types</w:t>
      </w:r>
      <w:r>
        <w:t xml:space="preserve"> it depends on purpose and presentation. Some kinds of reports are Academic Report that which </w:t>
      </w:r>
      <w:r w:rsidR="00D96912">
        <w:t>evaluates</w:t>
      </w:r>
      <w:r>
        <w:t xml:space="preserve"> the comprehension of a student like reports on books, historical events, and biographies. The business report deals with the identification of business strategies like memos and swot analysis. Research findings are shared in scientific reports. In this case research papers and case studies. A further division is on</w:t>
      </w:r>
      <w:r w:rsidR="00D96912">
        <w:t>,</w:t>
      </w:r>
      <w:r>
        <w:t xml:space="preserve"> how they are written. They can be informal or formal, </w:t>
      </w:r>
      <w:r w:rsidR="002E356A">
        <w:t>external,</w:t>
      </w:r>
      <w:r>
        <w:t xml:space="preserve"> or internal, and long or short. In the case of </w:t>
      </w:r>
      <w:r>
        <w:lastRenderedPageBreak/>
        <w:t>a vertical report, information is shared on different</w:t>
      </w:r>
      <w:r w:rsidR="00D96912">
        <w:t xml:space="preserve"> </w:t>
      </w:r>
      <w:r>
        <w:t xml:space="preserve">levels of verticals. In a </w:t>
      </w:r>
      <w:r w:rsidR="002E356A">
        <w:t>lateral report author of the same level</w:t>
      </w:r>
      <w:r>
        <w:t xml:space="preserve"> but in different departments are included. </w:t>
      </w:r>
      <w:r w:rsidR="00B0190B">
        <w:t>Types of reports tell how many kinds of reports there are available.</w:t>
      </w:r>
    </w:p>
    <w:p w14:paraId="0EFC655D" w14:textId="77777777" w:rsidR="00966FC2" w:rsidRDefault="00B411C7" w:rsidP="00966FC2">
      <w:pPr>
        <w:pStyle w:val="Heading2"/>
        <w:numPr>
          <w:ilvl w:val="0"/>
          <w:numId w:val="4"/>
        </w:numPr>
      </w:pPr>
      <w:r>
        <w:t>Structure of report</w:t>
      </w:r>
    </w:p>
    <w:p w14:paraId="03C96965" w14:textId="77777777" w:rsidR="00062CC1" w:rsidRDefault="00B411C7" w:rsidP="00062CC1">
      <w:r>
        <w:t>This depends on the type of report while a unique structure is shared a basic template is:</w:t>
      </w:r>
    </w:p>
    <w:p w14:paraId="60DCFB8A" w14:textId="77777777" w:rsidR="00C876B9" w:rsidRDefault="00B411C7" w:rsidP="00C876B9">
      <w:pPr>
        <w:pStyle w:val="ListParagraph"/>
        <w:numPr>
          <w:ilvl w:val="0"/>
          <w:numId w:val="5"/>
        </w:numPr>
      </w:pPr>
      <w:r>
        <w:t xml:space="preserve">An executive summary is like an abstract. It is a standalone section. The findings in the report are summarised here. These are mostly found in the case of the official report. </w:t>
      </w:r>
    </w:p>
    <w:p w14:paraId="18AAD1A6" w14:textId="77777777" w:rsidR="00C876B9" w:rsidRDefault="00B411C7" w:rsidP="00C876B9">
      <w:pPr>
        <w:pStyle w:val="ListParagraph"/>
        <w:numPr>
          <w:ilvl w:val="0"/>
          <w:numId w:val="5"/>
        </w:numPr>
      </w:pPr>
      <w:r>
        <w:t xml:space="preserve">In the introduction, the overall topic is explained. This is included in the thesis statement and background information in the findings. </w:t>
      </w:r>
    </w:p>
    <w:p w14:paraId="6C399216" w14:textId="55C27B9F" w:rsidR="00C876B9" w:rsidRDefault="00B411C7" w:rsidP="00C876B9">
      <w:pPr>
        <w:pStyle w:val="ListParagraph"/>
        <w:numPr>
          <w:ilvl w:val="0"/>
          <w:numId w:val="5"/>
        </w:numPr>
      </w:pPr>
      <w:r>
        <w:t>Major discoveries are explained in the body of the report. It is broken up into headings and subheadings. The majority of the entire report is made up of the body. The introduction</w:t>
      </w:r>
      <w:r w:rsidR="005838DB">
        <w:t xml:space="preserve"> </w:t>
      </w:r>
      <w:r>
        <w:t xml:space="preserve">and conclusion are just </w:t>
      </w:r>
      <w:r w:rsidR="002E356A">
        <w:t>paragraphing</w:t>
      </w:r>
      <w:r>
        <w:t xml:space="preserve"> the body can go on for pages</w:t>
      </w:r>
      <w:r w:rsidR="002E356A">
        <w:t xml:space="preserve">. </w:t>
      </w:r>
    </w:p>
    <w:p w14:paraId="77A64C73" w14:textId="77777777" w:rsidR="005838DB" w:rsidRDefault="00B411C7" w:rsidP="00C876B9">
      <w:pPr>
        <w:pStyle w:val="ListParagraph"/>
        <w:numPr>
          <w:ilvl w:val="0"/>
          <w:numId w:val="5"/>
        </w:numPr>
      </w:pPr>
      <w:r>
        <w:t xml:space="preserve">All information is brought together in the conclusion. There is a definitive interpretation or judgment. The input of personal opinions and inferences is done here. </w:t>
      </w:r>
    </w:p>
    <w:p w14:paraId="41CFDEB9" w14:textId="7E991984" w:rsidR="005838DB" w:rsidRDefault="00B411C7" w:rsidP="00C876B9">
      <w:pPr>
        <w:pStyle w:val="ListParagraph"/>
        <w:numPr>
          <w:ilvl w:val="0"/>
          <w:numId w:val="5"/>
        </w:numPr>
      </w:pPr>
      <w:r>
        <w:t xml:space="preserve">The title page keeps things </w:t>
      </w:r>
      <w:r w:rsidR="002E356A">
        <w:t>organized;</w:t>
      </w:r>
      <w:r>
        <w:t xml:space="preserve"> title pages make things easier to keep track of. </w:t>
      </w:r>
    </w:p>
    <w:p w14:paraId="5EA03E4A" w14:textId="77777777" w:rsidR="005838DB" w:rsidRDefault="00B411C7" w:rsidP="00C876B9">
      <w:pPr>
        <w:pStyle w:val="ListParagraph"/>
        <w:numPr>
          <w:ilvl w:val="0"/>
          <w:numId w:val="5"/>
        </w:numPr>
      </w:pPr>
      <w:r>
        <w:t>In the table of contents, readers can go directly to the section of interest.</w:t>
      </w:r>
    </w:p>
    <w:p w14:paraId="448289FA" w14:textId="77777777" w:rsidR="005838DB" w:rsidRDefault="00B411C7" w:rsidP="00C876B9">
      <w:pPr>
        <w:pStyle w:val="ListParagraph"/>
        <w:numPr>
          <w:ilvl w:val="0"/>
          <w:numId w:val="5"/>
        </w:numPr>
      </w:pPr>
      <w:r>
        <w:t>Page numbering is important in the case of a longer report. It makes pages in order in case of mix-ups.</w:t>
      </w:r>
    </w:p>
    <w:p w14:paraId="5EF427A4" w14:textId="77777777" w:rsidR="005838DB" w:rsidRDefault="00B411C7" w:rsidP="00C876B9">
      <w:pPr>
        <w:pStyle w:val="ListParagraph"/>
        <w:numPr>
          <w:ilvl w:val="0"/>
          <w:numId w:val="5"/>
        </w:numPr>
      </w:pPr>
      <w:r>
        <w:t xml:space="preserve">Headings and subheadings break reports into sections. It facilitates browsing and scanning. </w:t>
      </w:r>
    </w:p>
    <w:p w14:paraId="57A1A707" w14:textId="6F15DDDA" w:rsidR="005838DB" w:rsidRDefault="00B411C7" w:rsidP="00C876B9">
      <w:pPr>
        <w:pStyle w:val="ListParagraph"/>
        <w:numPr>
          <w:ilvl w:val="0"/>
          <w:numId w:val="5"/>
        </w:numPr>
      </w:pPr>
      <w:r>
        <w:t>If information is being cited from another source recommended format is told by guidelines</w:t>
      </w:r>
      <w:r w:rsidR="002E356A">
        <w:t xml:space="preserve">. </w:t>
      </w:r>
    </w:p>
    <w:p w14:paraId="6F919952" w14:textId="77777777" w:rsidR="005838DB" w:rsidRPr="004F0D3C" w:rsidRDefault="00B411C7" w:rsidP="004F0D3C">
      <w:pPr>
        <w:pStyle w:val="ListParagraph"/>
        <w:numPr>
          <w:ilvl w:val="0"/>
          <w:numId w:val="5"/>
        </w:numPr>
        <w:rPr>
          <w:rFonts w:cs="Times New Roman"/>
          <w:color w:val="222222"/>
          <w:szCs w:val="24"/>
          <w:shd w:val="clear" w:color="auto" w:fill="FFFFFF"/>
        </w:rPr>
      </w:pPr>
      <w:r>
        <w:t>Credits and legal information are listed in the bibliography</w:t>
      </w:r>
      <w:r w:rsidR="004F0D3C">
        <w:t xml:space="preserve"> </w:t>
      </w:r>
      <w:r w:rsidR="004F0D3C" w:rsidRPr="004F0D3C">
        <w:rPr>
          <w:rFonts w:cs="Times New Roman"/>
          <w:color w:val="222222"/>
          <w:szCs w:val="24"/>
          <w:shd w:val="clear" w:color="auto" w:fill="FFFFFF"/>
        </w:rPr>
        <w:t>(Gaur, 2019)</w:t>
      </w:r>
      <w:r>
        <w:t xml:space="preserve">. </w:t>
      </w:r>
    </w:p>
    <w:p w14:paraId="3FB3E091" w14:textId="77777777" w:rsidR="00B0190B" w:rsidRPr="00062CC1" w:rsidRDefault="00B411C7" w:rsidP="00B0190B">
      <w:r>
        <w:t xml:space="preserve">The structure of the report tells how a report is simply structured. </w:t>
      </w:r>
    </w:p>
    <w:p w14:paraId="72BAE53A" w14:textId="77777777" w:rsidR="00966FC2" w:rsidRDefault="00B411C7" w:rsidP="00966FC2">
      <w:pPr>
        <w:pStyle w:val="Heading2"/>
        <w:numPr>
          <w:ilvl w:val="0"/>
          <w:numId w:val="4"/>
        </w:numPr>
      </w:pPr>
      <w:r>
        <w:t>How to write a report?</w:t>
      </w:r>
    </w:p>
    <w:p w14:paraId="06F8D803" w14:textId="3E94C4D3" w:rsidR="00B96234" w:rsidRPr="00CC4A17" w:rsidRDefault="00B411C7" w:rsidP="00CC4A17">
      <w:pPr>
        <w:pStyle w:val="ListParagraph"/>
        <w:numPr>
          <w:ilvl w:val="0"/>
          <w:numId w:val="9"/>
        </w:numPr>
        <w:rPr>
          <w:rFonts w:cs="Times New Roman"/>
          <w:color w:val="222222"/>
          <w:szCs w:val="24"/>
          <w:shd w:val="clear" w:color="auto" w:fill="FFFFFF"/>
        </w:rPr>
      </w:pPr>
      <w:r>
        <w:t xml:space="preserve">The topic of the report needs to be picked. Sometimes the topic is assigned. In such cases, it might be ignored. If the topic is picked by </w:t>
      </w:r>
      <w:r w:rsidR="002E356A">
        <w:t>self,</w:t>
      </w:r>
      <w:r>
        <w:t xml:space="preserve"> then the parameters to </w:t>
      </w:r>
      <w:r w:rsidR="002E356A">
        <w:t>investigate</w:t>
      </w:r>
      <w:r>
        <w:t xml:space="preserve"> are the </w:t>
      </w:r>
      <w:r w:rsidR="002E356A">
        <w:t>c</w:t>
      </w:r>
      <w:r>
        <w:t>hoice of the topic that is not too general but not specific. There is some level of interest in the topic</w:t>
      </w:r>
      <w:r w:rsidR="00CC4A17">
        <w:t xml:space="preserve"> </w:t>
      </w:r>
      <w:r w:rsidR="00CC4A17" w:rsidRPr="00CC4A17">
        <w:rPr>
          <w:rFonts w:cs="Times New Roman"/>
          <w:color w:val="222222"/>
          <w:szCs w:val="24"/>
          <w:shd w:val="clear" w:color="auto" w:fill="FFFFFF"/>
        </w:rPr>
        <w:t>(Graham, 2022.)</w:t>
      </w:r>
      <w:r>
        <w:t xml:space="preserve">. </w:t>
      </w:r>
    </w:p>
    <w:p w14:paraId="13839AF9" w14:textId="77777777" w:rsidR="008853A7" w:rsidRDefault="00B411C7" w:rsidP="00B96234">
      <w:pPr>
        <w:pStyle w:val="ListParagraph"/>
        <w:numPr>
          <w:ilvl w:val="0"/>
          <w:numId w:val="6"/>
        </w:numPr>
      </w:pPr>
      <w:r>
        <w:lastRenderedPageBreak/>
        <w:t xml:space="preserve">In scientific reports, the research is provided. For research on academics, class material is used. Hence the choice of the right material is crucial. Without enough material research is tough. Information can be found online. </w:t>
      </w:r>
    </w:p>
    <w:p w14:paraId="3ADCF88E" w14:textId="77777777" w:rsidR="008853A7" w:rsidRDefault="00B411C7" w:rsidP="00B96234">
      <w:pPr>
        <w:pStyle w:val="ListParagraph"/>
        <w:numPr>
          <w:ilvl w:val="0"/>
          <w:numId w:val="6"/>
        </w:numPr>
      </w:pPr>
      <w:r>
        <w:t xml:space="preserve">A thesis statement is to be written to keep the concept of the report. There is a summary of the writing in the report. With enough research trends and patterns might be noticed. There is the elaboration of the thesis with supporting agreements. </w:t>
      </w:r>
    </w:p>
    <w:p w14:paraId="4A383EF8" w14:textId="60E09901" w:rsidR="00F73A3F" w:rsidRPr="00CC4A17" w:rsidRDefault="00B411C7" w:rsidP="00CC4A17">
      <w:pPr>
        <w:rPr>
          <w:rFonts w:cs="Times New Roman"/>
          <w:color w:val="222222"/>
          <w:szCs w:val="24"/>
          <w:shd w:val="clear" w:color="auto" w:fill="FFFFFF"/>
        </w:rPr>
      </w:pPr>
      <w:r>
        <w:t xml:space="preserve">There is a </w:t>
      </w:r>
      <w:r w:rsidR="002E356A">
        <w:t>recommendation</w:t>
      </w:r>
      <w:r>
        <w:t xml:space="preserve"> in writing of all kinds. It is useful for emphasis. There is separation in reports by solid outline </w:t>
      </w:r>
      <w:r w:rsidR="009934E7">
        <w:t>for missing anything. The outline is created in the research phase. In case of being stuck general and specific categories might be turned into headings and subheadings</w:t>
      </w:r>
      <w:r w:rsidR="00CC4A17">
        <w:t xml:space="preserve"> </w:t>
      </w:r>
      <w:r w:rsidR="00CC4A17">
        <w:rPr>
          <w:rFonts w:cs="Times New Roman"/>
          <w:color w:val="222222"/>
          <w:szCs w:val="24"/>
          <w:shd w:val="clear" w:color="auto" w:fill="FFFFFF"/>
        </w:rPr>
        <w:t>(Putra, and Tang,</w:t>
      </w:r>
      <w:r w:rsidR="00CC4A17" w:rsidRPr="00CC4A17">
        <w:rPr>
          <w:rFonts w:cs="Times New Roman"/>
          <w:color w:val="222222"/>
          <w:szCs w:val="24"/>
          <w:shd w:val="clear" w:color="auto" w:fill="FFFFFF"/>
        </w:rPr>
        <w:t xml:space="preserve"> 2018</w:t>
      </w:r>
      <w:r w:rsidR="00CC4A17">
        <w:rPr>
          <w:rFonts w:cs="Times New Roman"/>
          <w:color w:val="222222"/>
          <w:szCs w:val="24"/>
          <w:shd w:val="clear" w:color="auto" w:fill="FFFFFF"/>
        </w:rPr>
        <w:t>)</w:t>
      </w:r>
      <w:r w:rsidR="002E356A">
        <w:t xml:space="preserve">. </w:t>
      </w:r>
    </w:p>
    <w:p w14:paraId="6AD492B2" w14:textId="65C455EE" w:rsidR="00DA5B71" w:rsidRDefault="00B411C7" w:rsidP="00B96234">
      <w:pPr>
        <w:pStyle w:val="ListParagraph"/>
        <w:numPr>
          <w:ilvl w:val="0"/>
          <w:numId w:val="6"/>
        </w:numPr>
      </w:pPr>
      <w:r>
        <w:t>The rough draft is a time-consuming step</w:t>
      </w:r>
      <w:r w:rsidR="00E11784">
        <w:t>. Information is taken from research and put into words. To not get overwhelmed outline should be followed so as not to leave accidentally</w:t>
      </w:r>
      <w:r w:rsidR="002E356A">
        <w:t xml:space="preserve">. </w:t>
      </w:r>
    </w:p>
    <w:p w14:paraId="780CB85D" w14:textId="4ABAC8D9" w:rsidR="00BD1466" w:rsidRDefault="00B411C7" w:rsidP="00B96234">
      <w:pPr>
        <w:pStyle w:val="ListParagraph"/>
        <w:numPr>
          <w:ilvl w:val="0"/>
          <w:numId w:val="6"/>
        </w:numPr>
      </w:pPr>
      <w:r>
        <w:t xml:space="preserve">After finishing a rough </w:t>
      </w:r>
      <w:r w:rsidR="002E356A">
        <w:t>draft,</w:t>
      </w:r>
      <w:r>
        <w:t xml:space="preserve"> the mistakes might be fixed without ignoring. The report might be reread for any major issues. Entire sentences and paragraphs might be moved by rereading the report. The bigger mistakes might be fixed in this instance. </w:t>
      </w:r>
    </w:p>
    <w:p w14:paraId="1B09B1D0" w14:textId="77777777" w:rsidR="00B0190B" w:rsidRDefault="00B411C7" w:rsidP="00B96234">
      <w:pPr>
        <w:pStyle w:val="ListParagraph"/>
        <w:numPr>
          <w:ilvl w:val="0"/>
          <w:numId w:val="6"/>
        </w:numPr>
      </w:pPr>
      <w:r>
        <w:t>Wording and spelling mistakes might be optimized. Here smaller mistakes are checked for</w:t>
      </w:r>
      <w:r w:rsidR="009934E7">
        <w:t xml:space="preserve"> </w:t>
      </w:r>
      <w:r w:rsidR="008853A7">
        <w:t xml:space="preserve">  </w:t>
      </w:r>
      <w:r w:rsidR="00B96234">
        <w:t xml:space="preserve">  </w:t>
      </w:r>
    </w:p>
    <w:p w14:paraId="5DF72CF0" w14:textId="4DD3CFDF" w:rsidR="00AF00FF" w:rsidRPr="00AF00FF" w:rsidRDefault="00B411C7" w:rsidP="00B0190B">
      <w:pPr>
        <w:ind w:left="360"/>
      </w:pPr>
      <w:r>
        <w:t>This section provides a brief overview</w:t>
      </w:r>
      <w:r w:rsidR="002E356A">
        <w:t>,</w:t>
      </w:r>
      <w:r>
        <w:t xml:space="preserve"> of how to write a report</w:t>
      </w:r>
      <w:r w:rsidR="00D96912">
        <w:t xml:space="preserve">. </w:t>
      </w:r>
    </w:p>
    <w:p w14:paraId="6E83CBC0" w14:textId="77777777" w:rsidR="00966FC2" w:rsidRDefault="00B411C7" w:rsidP="00966FC2">
      <w:pPr>
        <w:pStyle w:val="Heading2"/>
        <w:numPr>
          <w:ilvl w:val="0"/>
          <w:numId w:val="4"/>
        </w:numPr>
      </w:pPr>
      <w:r>
        <w:t>Conclusion</w:t>
      </w:r>
    </w:p>
    <w:p w14:paraId="512C796A" w14:textId="1BDAE00C" w:rsidR="00476BD9" w:rsidRPr="00CC4A17" w:rsidRDefault="00B411C7" w:rsidP="00476BD9">
      <w:pPr>
        <w:rPr>
          <w:rFonts w:cs="Times New Roman"/>
          <w:color w:val="222222"/>
          <w:szCs w:val="24"/>
          <w:shd w:val="clear" w:color="auto" w:fill="FFFFFF"/>
        </w:rPr>
      </w:pPr>
      <w:r>
        <w:t xml:space="preserve">It is the rule in any </w:t>
      </w:r>
      <w:r w:rsidR="002E356A">
        <w:t>academic</w:t>
      </w:r>
      <w:r>
        <w:t xml:space="preserve"> writing to read</w:t>
      </w:r>
      <w:r w:rsidR="002E356A">
        <w:t>,</w:t>
      </w:r>
      <w:r>
        <w:t xml:space="preserve"> </w:t>
      </w:r>
      <w:r w:rsidR="00D96912">
        <w:t>repeatedly</w:t>
      </w:r>
      <w:r>
        <w:t>. For sense and style, edits might be made. Attention should be paid to all information gathered. Tenses and grammar should also be checked. References should be made fully and correctly. Check lastly for any sort of plagiarism.</w:t>
      </w:r>
      <w:r w:rsidR="00A36971">
        <w:t xml:space="preserve"> The concluding section ends with </w:t>
      </w:r>
      <w:r w:rsidR="000A580D">
        <w:t>the best practices of a report</w:t>
      </w:r>
      <w:r w:rsidR="00CE1799">
        <w:t xml:space="preserve"> </w:t>
      </w:r>
      <w:r w:rsidR="00CC4A17">
        <w:rPr>
          <w:rFonts w:cs="Times New Roman"/>
          <w:color w:val="222222"/>
          <w:szCs w:val="24"/>
          <w:shd w:val="clear" w:color="auto" w:fill="FFFFFF"/>
        </w:rPr>
        <w:t xml:space="preserve">(Hanna, </w:t>
      </w:r>
      <w:r w:rsidR="00CC4A17" w:rsidRPr="00CC4A17">
        <w:rPr>
          <w:rFonts w:cs="Times New Roman"/>
          <w:color w:val="222222"/>
          <w:szCs w:val="24"/>
          <w:shd w:val="clear" w:color="auto" w:fill="FFFFFF"/>
        </w:rPr>
        <w:t>2019</w:t>
      </w:r>
      <w:r w:rsidR="00CC4A17">
        <w:rPr>
          <w:rFonts w:cs="Times New Roman"/>
          <w:color w:val="222222"/>
          <w:szCs w:val="24"/>
          <w:shd w:val="clear" w:color="auto" w:fill="FFFFFF"/>
        </w:rPr>
        <w:t>)</w:t>
      </w:r>
      <w:r w:rsidR="002E356A">
        <w:t xml:space="preserve">. </w:t>
      </w:r>
    </w:p>
    <w:p w14:paraId="323AAA4E" w14:textId="77777777" w:rsidR="008B6314" w:rsidRDefault="00B411C7" w:rsidP="00A94C7E">
      <w:pPr>
        <w:pStyle w:val="Heading1"/>
        <w:numPr>
          <w:ilvl w:val="0"/>
          <w:numId w:val="2"/>
        </w:numPr>
      </w:pPr>
      <w:r>
        <w:t>Academic Writing</w:t>
      </w:r>
      <w:r w:rsidR="009012A8">
        <w:t xml:space="preserve"> </w:t>
      </w:r>
    </w:p>
    <w:p w14:paraId="0FA4412A" w14:textId="778504A7" w:rsidR="00AB4C64" w:rsidRPr="00F26ED0" w:rsidRDefault="00B411C7" w:rsidP="00AB4C64">
      <w:pPr>
        <w:rPr>
          <w:rFonts w:cs="Times New Roman"/>
          <w:color w:val="222222"/>
          <w:szCs w:val="24"/>
          <w:shd w:val="clear" w:color="auto" w:fill="FFFFFF"/>
        </w:rPr>
      </w:pPr>
      <w:r>
        <w:t xml:space="preserve">Academic Writing can be categorized as a kind of writing found in school and college classes. It has difference from creative writing. It is also different from personal writing. Both the latter kinds of writing are informal in nature. This is a formality in academic writing. Complete sentences are utilized and structured in a certain way. Academic writing in English is the most popular. The organization of words and grammar are different. </w:t>
      </w:r>
      <w:r w:rsidR="00D85449">
        <w:t xml:space="preserve">With academic </w:t>
      </w:r>
      <w:r w:rsidR="00D85449">
        <w:lastRenderedPageBreak/>
        <w:t>writing, complex topics can be easily explained</w:t>
      </w:r>
      <w:r w:rsidR="00F26ED0">
        <w:t xml:space="preserve"> </w:t>
      </w:r>
      <w:r w:rsidR="00F26ED0">
        <w:rPr>
          <w:rFonts w:cs="Times New Roman"/>
          <w:color w:val="222222"/>
          <w:szCs w:val="24"/>
          <w:shd w:val="clear" w:color="auto" w:fill="FFFFFF"/>
        </w:rPr>
        <w:t>(</w:t>
      </w:r>
      <w:r w:rsidR="00F26ED0" w:rsidRPr="004A22AD">
        <w:rPr>
          <w:rFonts w:cs="Times New Roman"/>
          <w:color w:val="222222"/>
          <w:szCs w:val="24"/>
          <w:shd w:val="clear" w:color="auto" w:fill="FFFFFF"/>
        </w:rPr>
        <w:t>Sanches</w:t>
      </w:r>
      <w:r w:rsidR="00F26ED0">
        <w:rPr>
          <w:rFonts w:cs="Times New Roman"/>
          <w:color w:val="222222"/>
          <w:szCs w:val="24"/>
          <w:shd w:val="clear" w:color="auto" w:fill="FFFFFF"/>
        </w:rPr>
        <w:t xml:space="preserve"> et.al, 2019)</w:t>
      </w:r>
      <w:r w:rsidR="00D85449">
        <w:t>. There is the use of the right terminology and style. This makes the information easier. Engagement in academic writing makes you a critical thinker. Information is taken and communicated in a way to make sense to the audience. There is the provision of research for information on a paper. The responsibility is to analyze the information with opinions based on findings. The analysis is a skill for lifelong. In academic writing style and technique are used</w:t>
      </w:r>
      <w:r w:rsidR="00F26ED0">
        <w:t xml:space="preserve"> </w:t>
      </w:r>
      <w:r w:rsidR="00F26ED0">
        <w:rPr>
          <w:rFonts w:cs="Times New Roman"/>
          <w:color w:val="222222"/>
          <w:szCs w:val="24"/>
          <w:shd w:val="clear" w:color="auto" w:fill="FFFFFF"/>
        </w:rPr>
        <w:t>(</w:t>
      </w:r>
      <w:r w:rsidR="00F26ED0" w:rsidRPr="004A22AD">
        <w:rPr>
          <w:rFonts w:cs="Times New Roman"/>
          <w:color w:val="222222"/>
          <w:szCs w:val="24"/>
          <w:shd w:val="clear" w:color="auto" w:fill="FFFFFF"/>
        </w:rPr>
        <w:t>Iermolenko</w:t>
      </w:r>
      <w:r w:rsidR="00F26ED0">
        <w:rPr>
          <w:rFonts w:cs="Times New Roman"/>
          <w:color w:val="222222"/>
          <w:szCs w:val="24"/>
          <w:shd w:val="clear" w:color="auto" w:fill="FFFFFF"/>
        </w:rPr>
        <w:t xml:space="preserve"> et.al, 2021)</w:t>
      </w:r>
      <w:r w:rsidR="00D85449">
        <w:t xml:space="preserve">. It tries to convey ideas. It makes students write papers with ease. In some lectures, style or guide of formatting is enlisted. Academic writing technique is the key. A one-sided paper leaves no room for argument. A different prism is presented to research with ideas. </w:t>
      </w:r>
      <w:r w:rsidR="00B24C3D">
        <w:t>Theories are to be analyzed from different perspectives with statements anchoring on understanding. This makes learning easy. The objective view helps a lot in life. Academic writing presents a choice for the student to become a professional. This makes career entries easy. Research skills are enhanced with academic writing. Research takes a considerable amount of time. It leads to the discovery of information from various sources</w:t>
      </w:r>
      <w:r w:rsidR="00F26ED0">
        <w:t xml:space="preserve"> </w:t>
      </w:r>
      <w:r w:rsidR="00F26ED0">
        <w:rPr>
          <w:rFonts w:cs="Times New Roman"/>
          <w:color w:val="222222"/>
          <w:szCs w:val="24"/>
          <w:shd w:val="clear" w:color="auto" w:fill="FFFFFF"/>
        </w:rPr>
        <w:t>(</w:t>
      </w:r>
      <w:r w:rsidR="00F26ED0" w:rsidRPr="004A22AD">
        <w:rPr>
          <w:rFonts w:cs="Times New Roman"/>
          <w:color w:val="222222"/>
          <w:szCs w:val="24"/>
          <w:shd w:val="clear" w:color="auto" w:fill="FFFFFF"/>
        </w:rPr>
        <w:t>Cutri</w:t>
      </w:r>
      <w:r w:rsidR="00F26ED0">
        <w:rPr>
          <w:rFonts w:cs="Times New Roman"/>
          <w:color w:val="222222"/>
          <w:szCs w:val="24"/>
          <w:shd w:val="clear" w:color="auto" w:fill="FFFFFF"/>
        </w:rPr>
        <w:t xml:space="preserve"> et.al, 2021)</w:t>
      </w:r>
      <w:r w:rsidR="00B24C3D">
        <w:t>. Critical thinking gets developed. Research skills are wanted in the case of an academic piece. Work ethic is enhanced in academic writing. It is crucial for a person. It is of immense help in facing a topic one does not know. Herein all the rules of academic writing get followed. A series of steps get followed with academic writing</w:t>
      </w:r>
      <w:r w:rsidR="002E356A">
        <w:t xml:space="preserve">. </w:t>
      </w:r>
    </w:p>
    <w:p w14:paraId="2B649F08" w14:textId="77777777" w:rsidR="00A36C96" w:rsidRPr="00AB4C64" w:rsidRDefault="00B411C7" w:rsidP="00AB4C64">
      <w:r>
        <w:t xml:space="preserve">The similarity score can be done away with if the improvement is made in terms of </w:t>
      </w:r>
      <w:r w:rsidR="009012A8">
        <w:t xml:space="preserve">paraphrasing. The words are to be read and a similar meaningful sentence is to be constructed. The source is to be read and re-read in its entirety until its fully understood. The main points and the keywords are to be identified. The original text can be hidden away and written in the words of the writer. The meaning should be kept in mind. Synonyms might be utilized whenever needed. Quotation marks might be utilized. The grammar and sentence structure might be altered. </w:t>
      </w:r>
    </w:p>
    <w:p w14:paraId="4E35C747" w14:textId="77777777" w:rsidR="008B6314" w:rsidRDefault="00B411C7" w:rsidP="00A94C7E">
      <w:pPr>
        <w:pStyle w:val="Heading1"/>
        <w:numPr>
          <w:ilvl w:val="0"/>
          <w:numId w:val="2"/>
        </w:numPr>
      </w:pPr>
      <w:r>
        <w:t>Critical Analysis</w:t>
      </w:r>
    </w:p>
    <w:p w14:paraId="002AD2AD" w14:textId="5E130A58" w:rsidR="000050C1" w:rsidRDefault="00B411C7" w:rsidP="00B411C7">
      <w:r>
        <w:t xml:space="preserve">As a skill critical analysis is extremely desirable. It might be defined as a deconstruction of what has been read logically. It moves to evaluation and postulation. Encouragement of critique and postulation of processes. There is information and roundedness in reading and research. A particular topic is described simply with analysis and evaluation. </w:t>
      </w:r>
      <w:r w:rsidR="00C67FEB">
        <w:t xml:space="preserve">In critical analysis, there is a deep approach to learning which means </w:t>
      </w:r>
      <w:r w:rsidR="00AA2322">
        <w:t>reliability</w:t>
      </w:r>
      <w:r w:rsidR="00C67FEB">
        <w:t xml:space="preserve"> to new knowledge.</w:t>
      </w:r>
      <w:r w:rsidR="00AA2322">
        <w:t xml:space="preserve"> There is an examination of ideas and perspectives of challenge</w:t>
      </w:r>
      <w:r>
        <w:t xml:space="preserve"> (</w:t>
      </w:r>
      <w:r w:rsidRPr="00B411C7">
        <w:rPr>
          <w:rFonts w:cs="Times New Roman"/>
          <w:i/>
          <w:iCs/>
          <w:szCs w:val="24"/>
        </w:rPr>
        <w:t xml:space="preserve">CRITICAL </w:t>
      </w:r>
      <w:r w:rsidR="002E356A" w:rsidRPr="00B411C7">
        <w:rPr>
          <w:rFonts w:cs="Times New Roman"/>
          <w:i/>
          <w:iCs/>
          <w:szCs w:val="24"/>
        </w:rPr>
        <w:t>ANALYSIS</w:t>
      </w:r>
      <w:r w:rsidR="002E356A" w:rsidRPr="00B411C7">
        <w:rPr>
          <w:rFonts w:cs="Times New Roman"/>
          <w:szCs w:val="24"/>
        </w:rPr>
        <w:t>)</w:t>
      </w:r>
      <w:r w:rsidR="00AA2322">
        <w:t xml:space="preserve">. </w:t>
      </w:r>
      <w:r w:rsidR="00AA2322">
        <w:lastRenderedPageBreak/>
        <w:t xml:space="preserve">Assumptions are questioned and generalizations are recognised. Bias is identified in reading and hearing. Critical thinking uncovers bodies of knowledge for the synthesis of informed ideas. The aim of critical thinking is the maintenance of an objective position. All arguments are </w:t>
      </w:r>
      <w:r w:rsidR="002E356A">
        <w:t>weighed,</w:t>
      </w:r>
      <w:r w:rsidR="00AA2322">
        <w:t xml:space="preserve"> </w:t>
      </w:r>
      <w:r w:rsidR="002D3E8B">
        <w:t>and strengths are evaluated in critical thinking. In critical thinking soundness of claims and evidence are used. Critical thinking is not a restatement of a claim, a description of an event, a challenging of the worth of people, or a criticism of someone</w:t>
      </w:r>
      <w:r>
        <w:t xml:space="preserve"> (</w:t>
      </w:r>
      <w:r w:rsidRPr="00B411C7">
        <w:rPr>
          <w:rFonts w:cs="Times New Roman"/>
          <w:i/>
          <w:iCs/>
          <w:szCs w:val="24"/>
        </w:rPr>
        <w:t xml:space="preserve">Critical </w:t>
      </w:r>
      <w:r w:rsidR="002E356A" w:rsidRPr="00B411C7">
        <w:rPr>
          <w:rFonts w:cs="Times New Roman"/>
          <w:i/>
          <w:iCs/>
          <w:szCs w:val="24"/>
        </w:rPr>
        <w:t>analysis</w:t>
      </w:r>
      <w:r w:rsidR="002E356A" w:rsidRPr="00B411C7">
        <w:rPr>
          <w:rFonts w:cs="Times New Roman"/>
          <w:szCs w:val="24"/>
        </w:rPr>
        <w:t>)</w:t>
      </w:r>
      <w:r w:rsidR="002D3E8B">
        <w:t xml:space="preserve">. The reading process is </w:t>
      </w:r>
      <w:r w:rsidR="00D96912">
        <w:t>important</w:t>
      </w:r>
      <w:r w:rsidR="002D3E8B">
        <w:t xml:space="preserve"> in the case of critical analysis. The purpose of being critically analytical </w:t>
      </w:r>
      <w:r w:rsidR="00235ADF">
        <w:t xml:space="preserve">is a demonstration of understanding of the subject matter. The second part is the process of writing. It is </w:t>
      </w:r>
      <w:r w:rsidR="00D96912">
        <w:t xml:space="preserve">needed </w:t>
      </w:r>
      <w:r w:rsidR="00235ADF">
        <w:t>to read thoroughly and carefully. The thesis statement must have the point of view of the author. A perspective is presented with textual evidence. The analysis is the purpose of the essay. The reader's interest can be begotten</w:t>
      </w:r>
      <w:r w:rsidR="002E356A">
        <w:t xml:space="preserve">. </w:t>
      </w:r>
      <w:r w:rsidR="00DC383F">
        <w:t>The interest of the reader can be engaged with the introduction. A hook at the front leads to the best introduction. The intro paragraph names the work of art for tackling the analysis. Publication information might be utilized</w:t>
      </w:r>
      <w:r w:rsidR="00887570">
        <w:t>. The conclusion to a good introduction includes a thesis statement. After the paragraph in the introduction, there are the body paragraphs. The thesis statement should have the main goal of provision of background information. Contrasting viewpoints are also provided</w:t>
      </w:r>
      <w:r>
        <w:t xml:space="preserve"> (</w:t>
      </w:r>
      <w:r w:rsidRPr="00B411C7">
        <w:rPr>
          <w:rFonts w:cs="Times New Roman"/>
          <w:szCs w:val="24"/>
        </w:rPr>
        <w:t>Library (no date) </w:t>
      </w:r>
      <w:r w:rsidRPr="00B411C7">
        <w:rPr>
          <w:rFonts w:cs="Times New Roman"/>
          <w:i/>
          <w:iCs/>
          <w:szCs w:val="24"/>
        </w:rPr>
        <w:t>Critical thinking</w:t>
      </w:r>
      <w:r w:rsidRPr="00B411C7">
        <w:rPr>
          <w:rFonts w:cs="Times New Roman"/>
          <w:szCs w:val="24"/>
        </w:rPr>
        <w:t>,</w:t>
      </w:r>
      <w:r>
        <w:t>)</w:t>
      </w:r>
      <w:r w:rsidR="00887570">
        <w:t>. The scope of the essay determines the body paragraphs. The structure and subject of the essay are equally important</w:t>
      </w:r>
      <w:r w:rsidR="002E356A">
        <w:t xml:space="preserve">. </w:t>
      </w:r>
    </w:p>
    <w:p w14:paraId="05E0EF33" w14:textId="77777777" w:rsidR="00DA5B71" w:rsidRDefault="00B411C7" w:rsidP="00F070BF">
      <w:pPr>
        <w:pStyle w:val="Heading1"/>
        <w:numPr>
          <w:ilvl w:val="0"/>
          <w:numId w:val="2"/>
        </w:numPr>
      </w:pPr>
      <w:r>
        <w:t>Sense of Place and Identity</w:t>
      </w:r>
    </w:p>
    <w:p w14:paraId="21451B6C" w14:textId="1B5CCBB3" w:rsidR="00DA5B71" w:rsidRDefault="00B411C7" w:rsidP="00DA5B71">
      <w:r>
        <w:t xml:space="preserve">This section shall explain and talk about how a learning development program </w:t>
      </w:r>
      <w:r w:rsidR="002E356A">
        <w:t>helps</w:t>
      </w:r>
      <w:r>
        <w:t xml:space="preserve"> develop the learner, a sense of self through the pedagogical process, why is it important, and what may be a 'learner's identity. Alongside, the sense of place and how it may be connected to the learner's experience and what connection it may have to the learner's experiences and identity. This shall be attempted through a video/presentation, clips of which are attached below.</w:t>
      </w:r>
    </w:p>
    <w:p w14:paraId="7339C04E" w14:textId="77777777" w:rsidR="008261D6" w:rsidRDefault="008261D6" w:rsidP="008261D6"/>
    <w:p w14:paraId="09936198" w14:textId="77777777" w:rsidR="008261D6" w:rsidRDefault="008261D6" w:rsidP="008261D6">
      <w:r>
        <w:rPr>
          <w:noProof/>
          <w:lang w:eastAsia="en-IN"/>
        </w:rPr>
        <w:lastRenderedPageBreak/>
        <w:drawing>
          <wp:inline distT="0" distB="0" distL="0" distR="0" wp14:anchorId="0EDEC4CD" wp14:editId="1330A87E">
            <wp:extent cx="5738495" cy="32238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8495" cy="3223895"/>
                    </a:xfrm>
                    <a:prstGeom prst="rect">
                      <a:avLst/>
                    </a:prstGeom>
                    <a:noFill/>
                    <a:ln>
                      <a:noFill/>
                    </a:ln>
                  </pic:spPr>
                </pic:pic>
              </a:graphicData>
            </a:graphic>
          </wp:inline>
        </w:drawing>
      </w:r>
    </w:p>
    <w:p w14:paraId="7613B9A4" w14:textId="77777777" w:rsidR="008261D6" w:rsidRDefault="008261D6" w:rsidP="008261D6">
      <w:r>
        <w:rPr>
          <w:noProof/>
          <w:lang w:eastAsia="en-IN"/>
        </w:rPr>
        <w:drawing>
          <wp:inline distT="0" distB="0" distL="0" distR="0" wp14:anchorId="4CBCB035" wp14:editId="7DC0B133">
            <wp:extent cx="5738495" cy="3223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8495" cy="3223895"/>
                    </a:xfrm>
                    <a:prstGeom prst="rect">
                      <a:avLst/>
                    </a:prstGeom>
                    <a:noFill/>
                    <a:ln>
                      <a:noFill/>
                    </a:ln>
                  </pic:spPr>
                </pic:pic>
              </a:graphicData>
            </a:graphic>
          </wp:inline>
        </w:drawing>
      </w:r>
    </w:p>
    <w:p w14:paraId="6DC5B5F9" w14:textId="77777777" w:rsidR="008261D6" w:rsidRDefault="008261D6" w:rsidP="008261D6">
      <w:r>
        <w:rPr>
          <w:noProof/>
          <w:lang w:eastAsia="en-IN"/>
        </w:rPr>
        <w:lastRenderedPageBreak/>
        <w:drawing>
          <wp:inline distT="0" distB="0" distL="0" distR="0" wp14:anchorId="645AEA76" wp14:editId="0EE1914E">
            <wp:extent cx="5738495" cy="32238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8495" cy="3223895"/>
                    </a:xfrm>
                    <a:prstGeom prst="rect">
                      <a:avLst/>
                    </a:prstGeom>
                    <a:noFill/>
                    <a:ln>
                      <a:noFill/>
                    </a:ln>
                  </pic:spPr>
                </pic:pic>
              </a:graphicData>
            </a:graphic>
          </wp:inline>
        </w:drawing>
      </w:r>
    </w:p>
    <w:p w14:paraId="54E2F2CA" w14:textId="77777777" w:rsidR="008261D6" w:rsidRPr="000050C1" w:rsidRDefault="008261D6" w:rsidP="008261D6"/>
    <w:p w14:paraId="2189076D" w14:textId="77777777" w:rsidR="008261D6" w:rsidRDefault="008261D6" w:rsidP="00DA5B71"/>
    <w:p w14:paraId="20EEA47C" w14:textId="77777777" w:rsidR="00DA5B71" w:rsidRDefault="00DA5B71" w:rsidP="00DA5B71"/>
    <w:p w14:paraId="7E28F240" w14:textId="77777777" w:rsidR="00DA5B71" w:rsidRDefault="00DA5B71" w:rsidP="00DA5B71"/>
    <w:p w14:paraId="03E26CDA" w14:textId="77777777" w:rsidR="00DA5B71" w:rsidRDefault="00DA5B71" w:rsidP="00DA5B71"/>
    <w:p w14:paraId="20769461" w14:textId="77777777" w:rsidR="00DA5B71" w:rsidRDefault="00DA5B71" w:rsidP="00DA5B71"/>
    <w:p w14:paraId="00271506" w14:textId="77777777" w:rsidR="00DA5B71" w:rsidRPr="000050C1" w:rsidRDefault="00DA5B71" w:rsidP="000050C1"/>
    <w:p w14:paraId="765E3B1A" w14:textId="77777777" w:rsidR="008532CF" w:rsidRDefault="00B411C7">
      <w:pPr>
        <w:suppressAutoHyphens w:val="0"/>
        <w:spacing w:line="276" w:lineRule="auto"/>
        <w:jc w:val="left"/>
        <w:rPr>
          <w:rFonts w:eastAsiaTheme="majorEastAsia" w:cstheme="majorBidi"/>
          <w:b/>
          <w:bCs/>
          <w:szCs w:val="25"/>
        </w:rPr>
      </w:pPr>
      <w:r>
        <w:br w:type="page"/>
      </w:r>
    </w:p>
    <w:p w14:paraId="180E4FEE" w14:textId="77777777" w:rsidR="008532CF" w:rsidRPr="008532CF" w:rsidRDefault="00B411C7" w:rsidP="008532CF">
      <w:pPr>
        <w:pStyle w:val="Heading1"/>
      </w:pPr>
      <w:r>
        <w:lastRenderedPageBreak/>
        <w:t>Bibliography</w:t>
      </w:r>
    </w:p>
    <w:p w14:paraId="781D2C82" w14:textId="77DEE537" w:rsidR="00D824CC" w:rsidRDefault="00B411C7">
      <w:pPr>
        <w:rPr>
          <w:rFonts w:cs="Times New Roman"/>
          <w:color w:val="222222"/>
          <w:szCs w:val="24"/>
          <w:shd w:val="clear" w:color="auto" w:fill="FFFFFF"/>
        </w:rPr>
      </w:pPr>
      <w:r w:rsidRPr="004A22AD">
        <w:rPr>
          <w:rFonts w:cs="Times New Roman"/>
          <w:color w:val="222222"/>
          <w:szCs w:val="24"/>
          <w:shd w:val="clear" w:color="auto" w:fill="FFFFFF"/>
        </w:rPr>
        <w:t xml:space="preserve">Cutri, J., Abraham, A., Karlina, Y., </w:t>
      </w:r>
      <w:r w:rsidR="002E356A">
        <w:rPr>
          <w:rFonts w:cs="Times New Roman"/>
          <w:color w:val="222222"/>
          <w:szCs w:val="24"/>
          <w:shd w:val="clear" w:color="auto" w:fill="FFFFFF"/>
        </w:rPr>
        <w:t>(</w:t>
      </w:r>
      <w:r w:rsidRPr="004A22AD">
        <w:rPr>
          <w:rFonts w:cs="Times New Roman"/>
          <w:color w:val="222222"/>
          <w:szCs w:val="24"/>
          <w:shd w:val="clear" w:color="auto" w:fill="FFFFFF"/>
        </w:rPr>
        <w:t>2021</w:t>
      </w:r>
      <w:r w:rsidR="002E356A">
        <w:rPr>
          <w:rFonts w:cs="Times New Roman"/>
          <w:color w:val="222222"/>
          <w:szCs w:val="24"/>
          <w:shd w:val="clear" w:color="auto" w:fill="FFFFFF"/>
        </w:rPr>
        <w:t>)</w:t>
      </w:r>
      <w:r w:rsidRPr="004A22AD">
        <w:rPr>
          <w:rFonts w:cs="Times New Roman"/>
          <w:color w:val="222222"/>
          <w:szCs w:val="24"/>
          <w:shd w:val="clear" w:color="auto" w:fill="FFFFFF"/>
        </w:rPr>
        <w:t xml:space="preserve"> Academic integrity at doctoral level: the influence of the imposter phenomenon and cultural differences on academic writing. </w:t>
      </w:r>
      <w:r w:rsidRPr="004A22AD">
        <w:rPr>
          <w:rFonts w:cs="Times New Roman"/>
          <w:i/>
          <w:iCs/>
          <w:color w:val="222222"/>
          <w:szCs w:val="24"/>
          <w:shd w:val="clear" w:color="auto" w:fill="FFFFFF"/>
        </w:rPr>
        <w:t>International Journal for Educational Integrity</w:t>
      </w:r>
      <w:r w:rsidRPr="004A22AD">
        <w:rPr>
          <w:rFonts w:cs="Times New Roman"/>
          <w:color w:val="222222"/>
          <w:szCs w:val="24"/>
          <w:shd w:val="clear" w:color="auto" w:fill="FFFFFF"/>
        </w:rPr>
        <w:t>, </w:t>
      </w:r>
      <w:r w:rsidRPr="004A22AD">
        <w:rPr>
          <w:rFonts w:cs="Times New Roman"/>
          <w:i/>
          <w:iCs/>
          <w:color w:val="222222"/>
          <w:szCs w:val="24"/>
          <w:shd w:val="clear" w:color="auto" w:fill="FFFFFF"/>
        </w:rPr>
        <w:t>17</w:t>
      </w:r>
      <w:r w:rsidRPr="004A22AD">
        <w:rPr>
          <w:rFonts w:cs="Times New Roman"/>
          <w:color w:val="222222"/>
          <w:szCs w:val="24"/>
          <w:shd w:val="clear" w:color="auto" w:fill="FFFFFF"/>
        </w:rPr>
        <w:t>(1), pp.1-16.</w:t>
      </w:r>
    </w:p>
    <w:p w14:paraId="12416945" w14:textId="5FC3A9DC" w:rsidR="00A36C96" w:rsidRDefault="00B411C7">
      <w:pPr>
        <w:rPr>
          <w:rFonts w:cs="Times New Roman"/>
          <w:color w:val="222222"/>
          <w:szCs w:val="24"/>
          <w:shd w:val="clear" w:color="auto" w:fill="FFFFFF"/>
        </w:rPr>
      </w:pPr>
      <w:r w:rsidRPr="004A22AD">
        <w:rPr>
          <w:rFonts w:cs="Times New Roman"/>
          <w:color w:val="222222"/>
          <w:szCs w:val="24"/>
          <w:shd w:val="clear" w:color="auto" w:fill="FFFFFF"/>
        </w:rPr>
        <w:t xml:space="preserve">Iermolenko, O., Aleksandrov, E., </w:t>
      </w:r>
      <w:r w:rsidR="002E356A">
        <w:rPr>
          <w:rFonts w:cs="Times New Roman"/>
          <w:color w:val="222222"/>
          <w:szCs w:val="24"/>
          <w:shd w:val="clear" w:color="auto" w:fill="FFFFFF"/>
        </w:rPr>
        <w:t xml:space="preserve">et at., </w:t>
      </w:r>
      <w:r w:rsidR="002E356A" w:rsidRPr="004A22AD">
        <w:rPr>
          <w:rFonts w:cs="Times New Roman"/>
          <w:color w:val="222222"/>
          <w:szCs w:val="24"/>
          <w:shd w:val="clear" w:color="auto" w:fill="FFFFFF"/>
        </w:rPr>
        <w:t>(</w:t>
      </w:r>
      <w:r w:rsidRPr="004A22AD">
        <w:rPr>
          <w:rFonts w:cs="Times New Roman"/>
          <w:color w:val="222222"/>
          <w:szCs w:val="24"/>
          <w:shd w:val="clear" w:color="auto" w:fill="FFFFFF"/>
        </w:rPr>
        <w:t>2021</w:t>
      </w:r>
      <w:r w:rsidR="002E356A">
        <w:rPr>
          <w:rFonts w:cs="Times New Roman"/>
          <w:color w:val="222222"/>
          <w:szCs w:val="24"/>
          <w:shd w:val="clear" w:color="auto" w:fill="FFFFFF"/>
        </w:rPr>
        <w:t>)</w:t>
      </w:r>
      <w:r w:rsidRPr="004A22AD">
        <w:rPr>
          <w:rFonts w:cs="Times New Roman"/>
          <w:color w:val="222222"/>
          <w:szCs w:val="24"/>
          <w:shd w:val="clear" w:color="auto" w:fill="FFFFFF"/>
        </w:rPr>
        <w:t xml:space="preserve"> The “Bermuda triangle” of academic writing. </w:t>
      </w:r>
      <w:r w:rsidRPr="004A22AD">
        <w:rPr>
          <w:rFonts w:cs="Times New Roman"/>
          <w:i/>
          <w:iCs/>
          <w:color w:val="222222"/>
          <w:szCs w:val="24"/>
          <w:shd w:val="clear" w:color="auto" w:fill="FFFFFF"/>
        </w:rPr>
        <w:t>The International Journal of Management Education</w:t>
      </w:r>
      <w:r w:rsidRPr="004A22AD">
        <w:rPr>
          <w:rFonts w:cs="Times New Roman"/>
          <w:color w:val="222222"/>
          <w:szCs w:val="24"/>
          <w:shd w:val="clear" w:color="auto" w:fill="FFFFFF"/>
        </w:rPr>
        <w:t>, </w:t>
      </w:r>
      <w:r w:rsidRPr="004A22AD">
        <w:rPr>
          <w:rFonts w:cs="Times New Roman"/>
          <w:i/>
          <w:iCs/>
          <w:color w:val="222222"/>
          <w:szCs w:val="24"/>
          <w:shd w:val="clear" w:color="auto" w:fill="FFFFFF"/>
        </w:rPr>
        <w:t>19</w:t>
      </w:r>
      <w:r w:rsidRPr="004A22AD">
        <w:rPr>
          <w:rFonts w:cs="Times New Roman"/>
          <w:color w:val="222222"/>
          <w:szCs w:val="24"/>
          <w:shd w:val="clear" w:color="auto" w:fill="FFFFFF"/>
        </w:rPr>
        <w:t xml:space="preserve">(2), </w:t>
      </w:r>
      <w:r w:rsidR="002E356A">
        <w:rPr>
          <w:rFonts w:cs="Times New Roman"/>
          <w:color w:val="222222"/>
          <w:szCs w:val="24"/>
          <w:shd w:val="clear" w:color="auto" w:fill="FFFFFF"/>
        </w:rPr>
        <w:t>p</w:t>
      </w:r>
      <w:r w:rsidRPr="004A22AD">
        <w:rPr>
          <w:rFonts w:cs="Times New Roman"/>
          <w:color w:val="222222"/>
          <w:szCs w:val="24"/>
          <w:shd w:val="clear" w:color="auto" w:fill="FFFFFF"/>
        </w:rPr>
        <w:t>p.100</w:t>
      </w:r>
      <w:r w:rsidR="002E356A">
        <w:rPr>
          <w:rFonts w:cs="Times New Roman"/>
          <w:color w:val="222222"/>
          <w:szCs w:val="24"/>
          <w:shd w:val="clear" w:color="auto" w:fill="FFFFFF"/>
        </w:rPr>
        <w:t>-</w:t>
      </w:r>
      <w:r w:rsidRPr="004A22AD">
        <w:rPr>
          <w:rFonts w:cs="Times New Roman"/>
          <w:color w:val="222222"/>
          <w:szCs w:val="24"/>
          <w:shd w:val="clear" w:color="auto" w:fill="FFFFFF"/>
        </w:rPr>
        <w:t>511.</w:t>
      </w:r>
    </w:p>
    <w:p w14:paraId="72704139" w14:textId="24A19BFB" w:rsidR="00A36C96" w:rsidRDefault="00B411C7">
      <w:pPr>
        <w:rPr>
          <w:rFonts w:cs="Times New Roman"/>
          <w:color w:val="222222"/>
          <w:szCs w:val="24"/>
          <w:shd w:val="clear" w:color="auto" w:fill="FFFFFF"/>
        </w:rPr>
      </w:pPr>
      <w:r w:rsidRPr="004A22AD">
        <w:rPr>
          <w:rFonts w:cs="Times New Roman"/>
          <w:color w:val="222222"/>
          <w:szCs w:val="24"/>
          <w:shd w:val="clear" w:color="auto" w:fill="FFFFFF"/>
        </w:rPr>
        <w:t xml:space="preserve">Sanches, T., Antunes, M.D.L. and Lopes, C., </w:t>
      </w:r>
      <w:r w:rsidR="002E356A">
        <w:rPr>
          <w:rFonts w:cs="Times New Roman"/>
          <w:color w:val="222222"/>
          <w:szCs w:val="24"/>
          <w:shd w:val="clear" w:color="auto" w:fill="FFFFFF"/>
        </w:rPr>
        <w:t>(</w:t>
      </w:r>
      <w:r w:rsidRPr="004A22AD">
        <w:rPr>
          <w:rFonts w:cs="Times New Roman"/>
          <w:color w:val="222222"/>
          <w:szCs w:val="24"/>
          <w:shd w:val="clear" w:color="auto" w:fill="FFFFFF"/>
        </w:rPr>
        <w:t>2019</w:t>
      </w:r>
      <w:r w:rsidR="002E356A">
        <w:rPr>
          <w:rFonts w:cs="Times New Roman"/>
          <w:color w:val="222222"/>
          <w:szCs w:val="24"/>
          <w:shd w:val="clear" w:color="auto" w:fill="FFFFFF"/>
        </w:rPr>
        <w:t xml:space="preserve">), </w:t>
      </w:r>
      <w:r w:rsidRPr="004A22AD">
        <w:rPr>
          <w:rFonts w:cs="Times New Roman"/>
          <w:i/>
          <w:iCs/>
          <w:color w:val="222222"/>
          <w:szCs w:val="24"/>
          <w:shd w:val="clear" w:color="auto" w:fill="FFFFFF"/>
        </w:rPr>
        <w:t>Improving the academic writing experience in higher education</w:t>
      </w:r>
      <w:r w:rsidRPr="004A22AD">
        <w:rPr>
          <w:rFonts w:cs="Times New Roman"/>
          <w:color w:val="222222"/>
          <w:szCs w:val="24"/>
          <w:shd w:val="clear" w:color="auto" w:fill="FFFFFF"/>
        </w:rPr>
        <w:t>. Nova Science Publishers.</w:t>
      </w:r>
    </w:p>
    <w:p w14:paraId="57831AA5" w14:textId="76EDCEE9" w:rsidR="00DA5B71" w:rsidRPr="004A22AD" w:rsidRDefault="00B411C7" w:rsidP="00DA5B71">
      <w:pPr>
        <w:rPr>
          <w:rFonts w:cs="Times New Roman"/>
          <w:szCs w:val="24"/>
        </w:rPr>
      </w:pPr>
      <w:r w:rsidRPr="004A22AD">
        <w:rPr>
          <w:rFonts w:cs="Times New Roman"/>
          <w:szCs w:val="24"/>
        </w:rPr>
        <w:t xml:space="preserve">Charness, G. and Chen, Y., </w:t>
      </w:r>
      <w:r w:rsidR="002E356A">
        <w:rPr>
          <w:rFonts w:cs="Times New Roman"/>
          <w:szCs w:val="24"/>
        </w:rPr>
        <w:t>(</w:t>
      </w:r>
      <w:r w:rsidRPr="004A22AD">
        <w:rPr>
          <w:rFonts w:cs="Times New Roman"/>
          <w:szCs w:val="24"/>
        </w:rPr>
        <w:t>2020</w:t>
      </w:r>
      <w:r w:rsidR="002E356A">
        <w:rPr>
          <w:rFonts w:cs="Times New Roman"/>
          <w:szCs w:val="24"/>
        </w:rPr>
        <w:t>)</w:t>
      </w:r>
      <w:r w:rsidRPr="004A22AD">
        <w:rPr>
          <w:rFonts w:cs="Times New Roman"/>
          <w:szCs w:val="24"/>
        </w:rPr>
        <w:t xml:space="preserve"> Social identity, group behavior, and teams. </w:t>
      </w:r>
      <w:r w:rsidRPr="004A22AD">
        <w:rPr>
          <w:rFonts w:cs="Times New Roman"/>
          <w:i/>
          <w:iCs/>
          <w:szCs w:val="24"/>
        </w:rPr>
        <w:t>Annual Review of Economics</w:t>
      </w:r>
      <w:r w:rsidRPr="004A22AD">
        <w:rPr>
          <w:rFonts w:cs="Times New Roman"/>
          <w:szCs w:val="24"/>
        </w:rPr>
        <w:t>, pp.691-713.</w:t>
      </w:r>
    </w:p>
    <w:p w14:paraId="5BA21E5B" w14:textId="6307CCD8" w:rsidR="00DA5B71" w:rsidRPr="004A22AD" w:rsidRDefault="00B411C7" w:rsidP="00DA5B71">
      <w:pPr>
        <w:rPr>
          <w:rFonts w:cs="Times New Roman"/>
          <w:szCs w:val="24"/>
        </w:rPr>
      </w:pPr>
      <w:r w:rsidRPr="004A22AD">
        <w:rPr>
          <w:rFonts w:cs="Times New Roman"/>
          <w:szCs w:val="24"/>
        </w:rPr>
        <w:t xml:space="preserve">Lin, Y.T., </w:t>
      </w:r>
      <w:r w:rsidR="002E356A">
        <w:rPr>
          <w:rFonts w:cs="Times New Roman"/>
          <w:szCs w:val="24"/>
        </w:rPr>
        <w:t>(</w:t>
      </w:r>
      <w:r w:rsidRPr="004A22AD">
        <w:rPr>
          <w:rFonts w:cs="Times New Roman"/>
          <w:szCs w:val="24"/>
        </w:rPr>
        <w:t>2020</w:t>
      </w:r>
      <w:r w:rsidR="002E356A">
        <w:rPr>
          <w:rFonts w:cs="Times New Roman"/>
          <w:szCs w:val="24"/>
        </w:rPr>
        <w:t xml:space="preserve">) </w:t>
      </w:r>
      <w:r w:rsidRPr="004A22AD">
        <w:rPr>
          <w:rFonts w:cs="Times New Roman"/>
          <w:szCs w:val="24"/>
        </w:rPr>
        <w:t>The experience of being oneself in memory: Exploring sense of identity via observer memory. </w:t>
      </w:r>
      <w:r w:rsidRPr="004A22AD">
        <w:rPr>
          <w:rFonts w:cs="Times New Roman"/>
          <w:i/>
          <w:iCs/>
          <w:szCs w:val="24"/>
        </w:rPr>
        <w:t>Review of Philosophy and Psychology</w:t>
      </w:r>
      <w:r w:rsidRPr="004A22AD">
        <w:rPr>
          <w:rFonts w:cs="Times New Roman"/>
          <w:szCs w:val="24"/>
        </w:rPr>
        <w:t>, </w:t>
      </w:r>
      <w:r w:rsidRPr="004A22AD">
        <w:rPr>
          <w:rFonts w:cs="Times New Roman"/>
          <w:i/>
          <w:iCs/>
          <w:szCs w:val="24"/>
        </w:rPr>
        <w:t>11</w:t>
      </w:r>
      <w:r w:rsidRPr="004A22AD">
        <w:rPr>
          <w:rFonts w:cs="Times New Roman"/>
          <w:szCs w:val="24"/>
        </w:rPr>
        <w:t>(2), pp.405-422.</w:t>
      </w:r>
    </w:p>
    <w:p w14:paraId="757370E8" w14:textId="7585029E" w:rsidR="00DA5B71" w:rsidRPr="004A22AD" w:rsidRDefault="00B411C7" w:rsidP="00DA5B71">
      <w:pPr>
        <w:rPr>
          <w:rFonts w:cs="Times New Roman"/>
          <w:szCs w:val="24"/>
        </w:rPr>
      </w:pPr>
      <w:r w:rsidRPr="004A22AD">
        <w:rPr>
          <w:rFonts w:cs="Times New Roman"/>
          <w:szCs w:val="24"/>
        </w:rPr>
        <w:t xml:space="preserve">Walker, K. and Moscardo, G., </w:t>
      </w:r>
      <w:r w:rsidR="002E356A">
        <w:rPr>
          <w:rFonts w:cs="Times New Roman"/>
          <w:szCs w:val="24"/>
        </w:rPr>
        <w:t>(</w:t>
      </w:r>
      <w:r w:rsidRPr="004A22AD">
        <w:rPr>
          <w:rFonts w:cs="Times New Roman"/>
          <w:szCs w:val="24"/>
        </w:rPr>
        <w:t>2019</w:t>
      </w:r>
      <w:r w:rsidR="002E356A">
        <w:rPr>
          <w:rFonts w:cs="Times New Roman"/>
          <w:szCs w:val="24"/>
        </w:rPr>
        <w:t>),</w:t>
      </w:r>
      <w:r w:rsidRPr="004A22AD">
        <w:rPr>
          <w:rFonts w:cs="Times New Roman"/>
          <w:szCs w:val="24"/>
        </w:rPr>
        <w:t xml:space="preserve"> Moving beyond the sense of place to care of place: the role of Indigenous values and interpretation in promoting transformative change in tourists' place images and personal values. In </w:t>
      </w:r>
      <w:r w:rsidRPr="004A22AD">
        <w:rPr>
          <w:rFonts w:cs="Times New Roman"/>
          <w:i/>
          <w:iCs/>
          <w:szCs w:val="24"/>
        </w:rPr>
        <w:t>Sustainable Tourism and Indigenous Peoples</w:t>
      </w:r>
      <w:r w:rsidRPr="004A22AD">
        <w:rPr>
          <w:rFonts w:cs="Times New Roman"/>
          <w:szCs w:val="24"/>
        </w:rPr>
        <w:t> (pp. 177-195). Routledge.</w:t>
      </w:r>
    </w:p>
    <w:p w14:paraId="68BF6B0A" w14:textId="4994CB7B" w:rsidR="00DA5B71" w:rsidRDefault="00B411C7" w:rsidP="00DA5B71">
      <w:pPr>
        <w:rPr>
          <w:rFonts w:cs="Times New Roman"/>
          <w:szCs w:val="24"/>
        </w:rPr>
      </w:pPr>
      <w:r w:rsidRPr="004A22AD">
        <w:rPr>
          <w:rFonts w:cs="Times New Roman"/>
          <w:szCs w:val="24"/>
        </w:rPr>
        <w:t xml:space="preserve">West, S., Haider, </w:t>
      </w:r>
      <w:r w:rsidR="002E356A" w:rsidRPr="004A22AD">
        <w:rPr>
          <w:rFonts w:cs="Times New Roman"/>
          <w:szCs w:val="24"/>
        </w:rPr>
        <w:t>Tango</w:t>
      </w:r>
      <w:r w:rsidRPr="004A22AD">
        <w:rPr>
          <w:rFonts w:cs="Times New Roman"/>
          <w:szCs w:val="24"/>
        </w:rPr>
        <w:t xml:space="preserve">, M., </w:t>
      </w:r>
      <w:r w:rsidR="002E356A">
        <w:rPr>
          <w:rFonts w:cs="Times New Roman"/>
          <w:szCs w:val="24"/>
        </w:rPr>
        <w:t>et at., (</w:t>
      </w:r>
      <w:r w:rsidRPr="004A22AD">
        <w:rPr>
          <w:rFonts w:cs="Times New Roman"/>
          <w:szCs w:val="24"/>
        </w:rPr>
        <w:t>2018</w:t>
      </w:r>
      <w:r w:rsidR="002E356A">
        <w:rPr>
          <w:rFonts w:cs="Times New Roman"/>
          <w:szCs w:val="24"/>
        </w:rPr>
        <w:t xml:space="preserve">) </w:t>
      </w:r>
      <w:r w:rsidRPr="004A22AD">
        <w:rPr>
          <w:rFonts w:cs="Times New Roman"/>
          <w:szCs w:val="24"/>
        </w:rPr>
        <w:t>Stewardship, care, and relational values. </w:t>
      </w:r>
      <w:r w:rsidRPr="004A22AD">
        <w:rPr>
          <w:rFonts w:cs="Times New Roman"/>
          <w:i/>
          <w:iCs/>
          <w:szCs w:val="24"/>
        </w:rPr>
        <w:t>Current opinion in environmental sustainability</w:t>
      </w:r>
      <w:r w:rsidRPr="004A22AD">
        <w:rPr>
          <w:rFonts w:cs="Times New Roman"/>
          <w:szCs w:val="24"/>
        </w:rPr>
        <w:t>, </w:t>
      </w:r>
      <w:r w:rsidRPr="004A22AD">
        <w:rPr>
          <w:rFonts w:cs="Times New Roman"/>
          <w:i/>
          <w:iCs/>
          <w:szCs w:val="24"/>
        </w:rPr>
        <w:t>35</w:t>
      </w:r>
      <w:r w:rsidRPr="004A22AD">
        <w:rPr>
          <w:rFonts w:cs="Times New Roman"/>
          <w:szCs w:val="24"/>
        </w:rPr>
        <w:t>, pp.30-38.</w:t>
      </w:r>
    </w:p>
    <w:p w14:paraId="127A5B18" w14:textId="1D421824" w:rsidR="008261D6" w:rsidRPr="004F0D3C" w:rsidRDefault="008261D6" w:rsidP="00DA5B71">
      <w:pPr>
        <w:rPr>
          <w:rFonts w:cs="Times New Roman"/>
          <w:color w:val="222222"/>
          <w:szCs w:val="24"/>
          <w:shd w:val="clear" w:color="auto" w:fill="FFFFFF"/>
        </w:rPr>
      </w:pPr>
      <w:r w:rsidRPr="004F0D3C">
        <w:rPr>
          <w:rFonts w:cs="Times New Roman"/>
          <w:color w:val="222222"/>
          <w:szCs w:val="24"/>
          <w:shd w:val="clear" w:color="auto" w:fill="FFFFFF"/>
        </w:rPr>
        <w:t xml:space="preserve">Schneider, W.J., Lichtenberger, E.O., Mather, </w:t>
      </w:r>
      <w:r w:rsidR="002E356A" w:rsidRPr="004F0D3C">
        <w:rPr>
          <w:rFonts w:cs="Times New Roman"/>
          <w:color w:val="222222"/>
          <w:szCs w:val="24"/>
          <w:shd w:val="clear" w:color="auto" w:fill="FFFFFF"/>
        </w:rPr>
        <w:t>N.,</w:t>
      </w:r>
      <w:r w:rsidRPr="004F0D3C">
        <w:rPr>
          <w:rFonts w:cs="Times New Roman"/>
          <w:color w:val="222222"/>
          <w:szCs w:val="24"/>
          <w:shd w:val="clear" w:color="auto" w:fill="FFFFFF"/>
        </w:rPr>
        <w:t xml:space="preserve"> and Kaufman, N.L., </w:t>
      </w:r>
      <w:r w:rsidR="002E356A">
        <w:rPr>
          <w:rFonts w:cs="Times New Roman"/>
          <w:color w:val="222222"/>
          <w:szCs w:val="24"/>
          <w:shd w:val="clear" w:color="auto" w:fill="FFFFFF"/>
        </w:rPr>
        <w:t>(</w:t>
      </w:r>
      <w:r w:rsidRPr="004F0D3C">
        <w:rPr>
          <w:rFonts w:cs="Times New Roman"/>
          <w:color w:val="222222"/>
          <w:szCs w:val="24"/>
          <w:shd w:val="clear" w:color="auto" w:fill="FFFFFF"/>
        </w:rPr>
        <w:t>2018</w:t>
      </w:r>
      <w:r w:rsidR="002E356A">
        <w:rPr>
          <w:rFonts w:cs="Times New Roman"/>
          <w:color w:val="222222"/>
          <w:szCs w:val="24"/>
          <w:shd w:val="clear" w:color="auto" w:fill="FFFFFF"/>
        </w:rPr>
        <w:t xml:space="preserve">), </w:t>
      </w:r>
      <w:r w:rsidRPr="004F0D3C">
        <w:rPr>
          <w:rFonts w:cs="Times New Roman"/>
          <w:i/>
          <w:iCs/>
          <w:color w:val="222222"/>
          <w:szCs w:val="24"/>
          <w:shd w:val="clear" w:color="auto" w:fill="FFFFFF"/>
        </w:rPr>
        <w:t>Essentials of assessment report writing</w:t>
      </w:r>
      <w:r w:rsidRPr="004F0D3C">
        <w:rPr>
          <w:rFonts w:cs="Times New Roman"/>
          <w:color w:val="222222"/>
          <w:szCs w:val="24"/>
          <w:shd w:val="clear" w:color="auto" w:fill="FFFFFF"/>
        </w:rPr>
        <w:t>. John Wiley &amp; Sons.</w:t>
      </w:r>
    </w:p>
    <w:p w14:paraId="7B054FE1" w14:textId="3B3A8F14" w:rsidR="004F0D3C" w:rsidRDefault="004F0D3C" w:rsidP="00DA5B71">
      <w:pPr>
        <w:rPr>
          <w:rFonts w:cs="Times New Roman"/>
          <w:color w:val="222222"/>
          <w:szCs w:val="24"/>
          <w:shd w:val="clear" w:color="auto" w:fill="FFFFFF"/>
        </w:rPr>
      </w:pPr>
      <w:r w:rsidRPr="004F0D3C">
        <w:rPr>
          <w:rFonts w:cs="Times New Roman"/>
          <w:color w:val="222222"/>
          <w:szCs w:val="24"/>
          <w:shd w:val="clear" w:color="auto" w:fill="FFFFFF"/>
        </w:rPr>
        <w:t xml:space="preserve">GAUR, M., </w:t>
      </w:r>
      <w:r w:rsidR="002E356A">
        <w:rPr>
          <w:rFonts w:cs="Times New Roman"/>
          <w:color w:val="222222"/>
          <w:szCs w:val="24"/>
          <w:shd w:val="clear" w:color="auto" w:fill="FFFFFF"/>
        </w:rPr>
        <w:t>(</w:t>
      </w:r>
      <w:r w:rsidRPr="004F0D3C">
        <w:rPr>
          <w:rFonts w:cs="Times New Roman"/>
          <w:color w:val="222222"/>
          <w:szCs w:val="24"/>
          <w:shd w:val="clear" w:color="auto" w:fill="FFFFFF"/>
        </w:rPr>
        <w:t>2019</w:t>
      </w:r>
      <w:r w:rsidR="002E356A">
        <w:rPr>
          <w:rFonts w:cs="Times New Roman"/>
          <w:color w:val="222222"/>
          <w:szCs w:val="24"/>
          <w:shd w:val="clear" w:color="auto" w:fill="FFFFFF"/>
        </w:rPr>
        <w:t>)</w:t>
      </w:r>
      <w:r w:rsidRPr="004F0D3C">
        <w:rPr>
          <w:rFonts w:cs="Times New Roman"/>
          <w:color w:val="222222"/>
          <w:szCs w:val="24"/>
          <w:shd w:val="clear" w:color="auto" w:fill="FFFFFF"/>
        </w:rPr>
        <w:t xml:space="preserve"> </w:t>
      </w:r>
      <w:r w:rsidR="002E356A" w:rsidRPr="004F0D3C">
        <w:rPr>
          <w:rFonts w:cs="Times New Roman"/>
          <w:color w:val="222222"/>
          <w:szCs w:val="24"/>
          <w:shd w:val="clear" w:color="auto" w:fill="FFFFFF"/>
        </w:rPr>
        <w:t>one</w:t>
      </w:r>
      <w:r w:rsidRPr="004F0D3C">
        <w:rPr>
          <w:rFonts w:cs="Times New Roman"/>
          <w:color w:val="222222"/>
          <w:szCs w:val="24"/>
          <w:shd w:val="clear" w:color="auto" w:fill="FFFFFF"/>
        </w:rPr>
        <w:t>. REPORTING 2. TYPES AND FORMS OF HR REPORTS.</w:t>
      </w:r>
    </w:p>
    <w:p w14:paraId="15D6525E" w14:textId="01090050" w:rsidR="001776FA" w:rsidRDefault="001776FA" w:rsidP="00DA5B71">
      <w:pPr>
        <w:rPr>
          <w:rFonts w:cs="Times New Roman"/>
          <w:color w:val="222222"/>
          <w:szCs w:val="24"/>
          <w:shd w:val="clear" w:color="auto" w:fill="FFFFFF"/>
        </w:rPr>
      </w:pPr>
      <w:r w:rsidRPr="00CC4A17">
        <w:rPr>
          <w:rFonts w:cs="Times New Roman"/>
          <w:color w:val="222222"/>
          <w:szCs w:val="24"/>
          <w:shd w:val="clear" w:color="auto" w:fill="FFFFFF"/>
        </w:rPr>
        <w:t xml:space="preserve">Hanna, M., </w:t>
      </w:r>
      <w:r w:rsidR="002E356A">
        <w:rPr>
          <w:rFonts w:cs="Times New Roman"/>
          <w:color w:val="222222"/>
          <w:szCs w:val="24"/>
          <w:shd w:val="clear" w:color="auto" w:fill="FFFFFF"/>
        </w:rPr>
        <w:t>(</w:t>
      </w:r>
      <w:r w:rsidRPr="00CC4A17">
        <w:rPr>
          <w:rFonts w:cs="Times New Roman"/>
          <w:color w:val="222222"/>
          <w:szCs w:val="24"/>
          <w:shd w:val="clear" w:color="auto" w:fill="FFFFFF"/>
        </w:rPr>
        <w:t>2019</w:t>
      </w:r>
      <w:r w:rsidR="002E356A">
        <w:rPr>
          <w:rFonts w:cs="Times New Roman"/>
          <w:color w:val="222222"/>
          <w:szCs w:val="24"/>
          <w:shd w:val="clear" w:color="auto" w:fill="FFFFFF"/>
        </w:rPr>
        <w:t>)</w:t>
      </w:r>
      <w:r w:rsidRPr="00CC4A17">
        <w:rPr>
          <w:rFonts w:cs="Times New Roman"/>
          <w:color w:val="222222"/>
          <w:szCs w:val="24"/>
          <w:shd w:val="clear" w:color="auto" w:fill="FFFFFF"/>
        </w:rPr>
        <w:t xml:space="preserve"> Ethics of Scientific Writing. In </w:t>
      </w:r>
      <w:r w:rsidRPr="00CC4A17">
        <w:rPr>
          <w:rFonts w:cs="Times New Roman"/>
          <w:i/>
          <w:iCs/>
          <w:color w:val="222222"/>
          <w:szCs w:val="24"/>
          <w:shd w:val="clear" w:color="auto" w:fill="FFFFFF"/>
        </w:rPr>
        <w:t>How to Write Better Medical Papers</w:t>
      </w:r>
      <w:r w:rsidRPr="00CC4A17">
        <w:rPr>
          <w:rFonts w:cs="Times New Roman"/>
          <w:color w:val="222222"/>
          <w:szCs w:val="24"/>
          <w:shd w:val="clear" w:color="auto" w:fill="FFFFFF"/>
        </w:rPr>
        <w:t> (pp. 117-124). Springer, Cham.</w:t>
      </w:r>
    </w:p>
    <w:p w14:paraId="5A229BB7" w14:textId="77777777" w:rsidR="001776FA" w:rsidRDefault="001776FA" w:rsidP="00DA5B71">
      <w:pPr>
        <w:rPr>
          <w:rFonts w:cs="Times New Roman"/>
          <w:color w:val="222222"/>
          <w:szCs w:val="24"/>
          <w:shd w:val="clear" w:color="auto" w:fill="FFFFFF"/>
        </w:rPr>
      </w:pPr>
      <w:r w:rsidRPr="00CC4A17">
        <w:rPr>
          <w:rFonts w:cs="Times New Roman"/>
          <w:color w:val="222222"/>
          <w:szCs w:val="24"/>
          <w:shd w:val="clear" w:color="auto" w:fill="FFFFFF"/>
        </w:rPr>
        <w:t>Graham, S., 2022. Creating a Classroom Vision for Teaching Writing. </w:t>
      </w:r>
      <w:r w:rsidRPr="00CC4A17">
        <w:rPr>
          <w:rFonts w:cs="Times New Roman"/>
          <w:i/>
          <w:iCs/>
          <w:color w:val="222222"/>
          <w:szCs w:val="24"/>
          <w:shd w:val="clear" w:color="auto" w:fill="FFFFFF"/>
        </w:rPr>
        <w:t>The Reading Teacher</w:t>
      </w:r>
      <w:r w:rsidRPr="00CC4A17">
        <w:rPr>
          <w:rFonts w:cs="Times New Roman"/>
          <w:color w:val="222222"/>
          <w:szCs w:val="24"/>
          <w:shd w:val="clear" w:color="auto" w:fill="FFFFFF"/>
        </w:rPr>
        <w:t>, </w:t>
      </w:r>
      <w:r w:rsidRPr="00CC4A17">
        <w:rPr>
          <w:rFonts w:cs="Times New Roman"/>
          <w:i/>
          <w:iCs/>
          <w:color w:val="222222"/>
          <w:szCs w:val="24"/>
          <w:shd w:val="clear" w:color="auto" w:fill="FFFFFF"/>
        </w:rPr>
        <w:t>75</w:t>
      </w:r>
      <w:r w:rsidRPr="00CC4A17">
        <w:rPr>
          <w:rFonts w:cs="Times New Roman"/>
          <w:color w:val="222222"/>
          <w:szCs w:val="24"/>
          <w:shd w:val="clear" w:color="auto" w:fill="FFFFFF"/>
        </w:rPr>
        <w:t>(4), pp.475-484.</w:t>
      </w:r>
    </w:p>
    <w:p w14:paraId="7CBCA4D4" w14:textId="61607384" w:rsidR="004F0D3C" w:rsidRDefault="00CC4A17" w:rsidP="00DA5B71">
      <w:pPr>
        <w:rPr>
          <w:rFonts w:cs="Times New Roman"/>
          <w:color w:val="222222"/>
          <w:szCs w:val="24"/>
          <w:shd w:val="clear" w:color="auto" w:fill="FFFFFF"/>
        </w:rPr>
      </w:pPr>
      <w:r w:rsidRPr="00CC4A17">
        <w:rPr>
          <w:rFonts w:cs="Times New Roman"/>
          <w:color w:val="222222"/>
          <w:szCs w:val="24"/>
          <w:shd w:val="clear" w:color="auto" w:fill="FFFFFF"/>
        </w:rPr>
        <w:t xml:space="preserve">Putra, G.B.S. and Tang, K.S., </w:t>
      </w:r>
      <w:r w:rsidR="002E356A">
        <w:rPr>
          <w:rFonts w:cs="Times New Roman"/>
          <w:color w:val="222222"/>
          <w:szCs w:val="24"/>
          <w:shd w:val="clear" w:color="auto" w:fill="FFFFFF"/>
        </w:rPr>
        <w:t>(</w:t>
      </w:r>
      <w:r w:rsidRPr="00CC4A17">
        <w:rPr>
          <w:rFonts w:cs="Times New Roman"/>
          <w:color w:val="222222"/>
          <w:szCs w:val="24"/>
          <w:shd w:val="clear" w:color="auto" w:fill="FFFFFF"/>
        </w:rPr>
        <w:t>2018</w:t>
      </w:r>
      <w:r w:rsidR="002E356A">
        <w:rPr>
          <w:rFonts w:cs="Times New Roman"/>
          <w:color w:val="222222"/>
          <w:szCs w:val="24"/>
          <w:shd w:val="clear" w:color="auto" w:fill="FFFFFF"/>
        </w:rPr>
        <w:t>),</w:t>
      </w:r>
      <w:r w:rsidRPr="00CC4A17">
        <w:rPr>
          <w:rFonts w:cs="Times New Roman"/>
          <w:color w:val="222222"/>
          <w:szCs w:val="24"/>
          <w:shd w:val="clear" w:color="auto" w:fill="FFFFFF"/>
        </w:rPr>
        <w:t xml:space="preserve"> Supporting scientific report writing in a chemistry classroom. In </w:t>
      </w:r>
      <w:r w:rsidRPr="00CC4A17">
        <w:rPr>
          <w:rFonts w:cs="Times New Roman"/>
          <w:i/>
          <w:iCs/>
          <w:color w:val="222222"/>
          <w:szCs w:val="24"/>
          <w:shd w:val="clear" w:color="auto" w:fill="FFFFFF"/>
        </w:rPr>
        <w:t>Science education research and practice in Asia-Pacific and beyond</w:t>
      </w:r>
      <w:r w:rsidRPr="00CC4A17">
        <w:rPr>
          <w:rFonts w:cs="Times New Roman"/>
          <w:color w:val="222222"/>
          <w:szCs w:val="24"/>
          <w:shd w:val="clear" w:color="auto" w:fill="FFFFFF"/>
        </w:rPr>
        <w:t> (pp. 53-67). Spring</w:t>
      </w:r>
      <w:r w:rsidR="002E356A">
        <w:rPr>
          <w:rFonts w:cs="Times New Roman"/>
          <w:color w:val="222222"/>
          <w:szCs w:val="24"/>
          <w:shd w:val="clear" w:color="auto" w:fill="FFFFFF"/>
        </w:rPr>
        <w:t>e</w:t>
      </w:r>
      <w:r w:rsidRPr="00CC4A17">
        <w:rPr>
          <w:rFonts w:cs="Times New Roman"/>
          <w:color w:val="222222"/>
          <w:szCs w:val="24"/>
          <w:shd w:val="clear" w:color="auto" w:fill="FFFFFF"/>
        </w:rPr>
        <w:t>r, Singapore</w:t>
      </w:r>
      <w:r w:rsidR="002E356A">
        <w:rPr>
          <w:rFonts w:cs="Times New Roman"/>
          <w:color w:val="222222"/>
          <w:szCs w:val="24"/>
          <w:shd w:val="clear" w:color="auto" w:fill="FFFFFF"/>
        </w:rPr>
        <w:t xml:space="preserve">. </w:t>
      </w:r>
    </w:p>
    <w:p w14:paraId="6C0C41B0" w14:textId="3C9B200C" w:rsidR="00B411C7" w:rsidRDefault="00B411C7" w:rsidP="00B411C7">
      <w:pPr>
        <w:pStyle w:val="NormalWeb"/>
      </w:pPr>
      <w:r w:rsidRPr="00B411C7">
        <w:rPr>
          <w:i/>
          <w:iCs/>
        </w:rPr>
        <w:lastRenderedPageBreak/>
        <w:t>CRITICAL ANALYSIS</w:t>
      </w:r>
      <w:r w:rsidRPr="00B411C7">
        <w:t> (no date) </w:t>
      </w:r>
      <w:r w:rsidRPr="00B411C7">
        <w:rPr>
          <w:i/>
          <w:iCs/>
        </w:rPr>
        <w:t>Southeastern.edu</w:t>
      </w:r>
      <w:r w:rsidRPr="00B411C7">
        <w:t xml:space="preserve">. Available at: </w:t>
      </w:r>
      <w:hyperlink r:id="rId9" w:history="1">
        <w:r w:rsidR="002E356A" w:rsidRPr="00D82A05">
          <w:rPr>
            <w:rStyle w:val="Hyperlink"/>
          </w:rPr>
          <w:t>https://www2.southeastern.edu/Academics/Faculty/elejeune/critique.htm</w:t>
        </w:r>
      </w:hyperlink>
      <w:r w:rsidR="002E356A">
        <w:t xml:space="preserve"> </w:t>
      </w:r>
      <w:r w:rsidRPr="00B411C7">
        <w:t xml:space="preserve"> (Accessed: November 21, 2022).</w:t>
      </w:r>
    </w:p>
    <w:p w14:paraId="2D40F3B3" w14:textId="35F6736A" w:rsidR="00B411C7" w:rsidRDefault="00B411C7" w:rsidP="00B411C7">
      <w:pPr>
        <w:pStyle w:val="NormalWeb"/>
      </w:pPr>
      <w:r w:rsidRPr="00B411C7">
        <w:rPr>
          <w:i/>
          <w:iCs/>
        </w:rPr>
        <w:t>Critical analysis</w:t>
      </w:r>
      <w:r w:rsidRPr="00B411C7">
        <w:t> (no date) </w:t>
      </w:r>
      <w:r w:rsidRPr="00B411C7">
        <w:rPr>
          <w:i/>
          <w:iCs/>
        </w:rPr>
        <w:t>Edu.au</w:t>
      </w:r>
      <w:r w:rsidRPr="00B411C7">
        <w:t xml:space="preserve">. Available at: </w:t>
      </w:r>
      <w:hyperlink r:id="rId10" w:history="1">
        <w:r w:rsidR="002E356A" w:rsidRPr="00D82A05">
          <w:rPr>
            <w:rStyle w:val="Hyperlink"/>
          </w:rPr>
          <w:t>https://www.uow.edu.au/student/learning-co-op/assessments/critical-analysis/</w:t>
        </w:r>
      </w:hyperlink>
      <w:r w:rsidR="002E356A">
        <w:t xml:space="preserve"> </w:t>
      </w:r>
      <w:r w:rsidRPr="00B411C7">
        <w:t>(Accessed: November 21, 2022)</w:t>
      </w:r>
      <w:r w:rsidR="002E356A">
        <w:t xml:space="preserve">. </w:t>
      </w:r>
    </w:p>
    <w:p w14:paraId="2FD1F01F" w14:textId="7563AEF4" w:rsidR="00B411C7" w:rsidRDefault="00B411C7" w:rsidP="00B411C7">
      <w:pPr>
        <w:pStyle w:val="NormalWeb"/>
      </w:pPr>
      <w:r w:rsidRPr="00B411C7">
        <w:t>Library (no date) </w:t>
      </w:r>
      <w:r w:rsidRPr="00B411C7">
        <w:rPr>
          <w:i/>
          <w:iCs/>
        </w:rPr>
        <w:t>Critical thinking</w:t>
      </w:r>
      <w:r w:rsidRPr="00B411C7">
        <w:t>, </w:t>
      </w:r>
      <w:r w:rsidRPr="00B411C7">
        <w:rPr>
          <w:i/>
          <w:iCs/>
        </w:rPr>
        <w:t>University of Leeds</w:t>
      </w:r>
      <w:r w:rsidRPr="00B411C7">
        <w:t xml:space="preserve">. Available at: </w:t>
      </w:r>
      <w:r w:rsidR="002E356A">
        <w:t xml:space="preserve">h </w:t>
      </w:r>
      <w:hyperlink r:id="rId11" w:history="1">
        <w:r w:rsidR="002E356A" w:rsidRPr="00D82A05">
          <w:rPr>
            <w:rStyle w:val="Hyperlink"/>
          </w:rPr>
          <w:t>https://library.leeds.ac.uk/info/1401/academic_skills/105/critical_thinking/5</w:t>
        </w:r>
      </w:hyperlink>
      <w:r w:rsidR="002E356A">
        <w:t xml:space="preserve"> </w:t>
      </w:r>
      <w:r w:rsidRPr="00B411C7">
        <w:t>(Accessed: November 21, 2022).</w:t>
      </w:r>
    </w:p>
    <w:p w14:paraId="23F5A3CA" w14:textId="77777777" w:rsidR="00B411C7" w:rsidRDefault="00B411C7" w:rsidP="00DA5B71">
      <w:pPr>
        <w:rPr>
          <w:rFonts w:cs="Times New Roman"/>
          <w:color w:val="222222"/>
          <w:szCs w:val="24"/>
          <w:shd w:val="clear" w:color="auto" w:fill="FFFFFF"/>
        </w:rPr>
      </w:pPr>
    </w:p>
    <w:p w14:paraId="21993DA6" w14:textId="77777777" w:rsidR="00DA5B71" w:rsidRDefault="00DA5B71"/>
    <w:sectPr w:rsidR="00DA5B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altName w:val="Mangal"/>
    <w:panose1 w:val="00000400000000000000"/>
    <w:charset w:val="01"/>
    <w:family w:val="roman"/>
    <w:pitch w:val="variable"/>
    <w:sig w:usb0="00002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E0A1F"/>
    <w:multiLevelType w:val="hybridMultilevel"/>
    <w:tmpl w:val="FBEA0532"/>
    <w:lvl w:ilvl="0" w:tplc="C6CC000E">
      <w:start w:val="1"/>
      <w:numFmt w:val="decimal"/>
      <w:lvlText w:val="%1."/>
      <w:lvlJc w:val="left"/>
      <w:pPr>
        <w:ind w:left="720" w:hanging="360"/>
      </w:pPr>
    </w:lvl>
    <w:lvl w:ilvl="1" w:tplc="52DE8B80" w:tentative="1">
      <w:start w:val="1"/>
      <w:numFmt w:val="lowerLetter"/>
      <w:lvlText w:val="%2."/>
      <w:lvlJc w:val="left"/>
      <w:pPr>
        <w:ind w:left="1440" w:hanging="360"/>
      </w:pPr>
    </w:lvl>
    <w:lvl w:ilvl="2" w:tplc="3FD8D5BA" w:tentative="1">
      <w:start w:val="1"/>
      <w:numFmt w:val="lowerRoman"/>
      <w:lvlText w:val="%3."/>
      <w:lvlJc w:val="right"/>
      <w:pPr>
        <w:ind w:left="2160" w:hanging="180"/>
      </w:pPr>
    </w:lvl>
    <w:lvl w:ilvl="3" w:tplc="003AECC2" w:tentative="1">
      <w:start w:val="1"/>
      <w:numFmt w:val="decimal"/>
      <w:lvlText w:val="%4."/>
      <w:lvlJc w:val="left"/>
      <w:pPr>
        <w:ind w:left="2880" w:hanging="360"/>
      </w:pPr>
    </w:lvl>
    <w:lvl w:ilvl="4" w:tplc="8BCA6C5E" w:tentative="1">
      <w:start w:val="1"/>
      <w:numFmt w:val="lowerLetter"/>
      <w:lvlText w:val="%5."/>
      <w:lvlJc w:val="left"/>
      <w:pPr>
        <w:ind w:left="3600" w:hanging="360"/>
      </w:pPr>
    </w:lvl>
    <w:lvl w:ilvl="5" w:tplc="CFB00FC6" w:tentative="1">
      <w:start w:val="1"/>
      <w:numFmt w:val="lowerRoman"/>
      <w:lvlText w:val="%6."/>
      <w:lvlJc w:val="right"/>
      <w:pPr>
        <w:ind w:left="4320" w:hanging="180"/>
      </w:pPr>
    </w:lvl>
    <w:lvl w:ilvl="6" w:tplc="99B8C9CE" w:tentative="1">
      <w:start w:val="1"/>
      <w:numFmt w:val="decimal"/>
      <w:lvlText w:val="%7."/>
      <w:lvlJc w:val="left"/>
      <w:pPr>
        <w:ind w:left="5040" w:hanging="360"/>
      </w:pPr>
    </w:lvl>
    <w:lvl w:ilvl="7" w:tplc="8250DA5C" w:tentative="1">
      <w:start w:val="1"/>
      <w:numFmt w:val="lowerLetter"/>
      <w:lvlText w:val="%8."/>
      <w:lvlJc w:val="left"/>
      <w:pPr>
        <w:ind w:left="5760" w:hanging="360"/>
      </w:pPr>
    </w:lvl>
    <w:lvl w:ilvl="8" w:tplc="B68A6C68" w:tentative="1">
      <w:start w:val="1"/>
      <w:numFmt w:val="lowerRoman"/>
      <w:lvlText w:val="%9."/>
      <w:lvlJc w:val="right"/>
      <w:pPr>
        <w:ind w:left="6480" w:hanging="180"/>
      </w:pPr>
    </w:lvl>
  </w:abstractNum>
  <w:abstractNum w:abstractNumId="1" w15:restartNumberingAfterBreak="0">
    <w:nsid w:val="091473BF"/>
    <w:multiLevelType w:val="hybridMultilevel"/>
    <w:tmpl w:val="709CA1F8"/>
    <w:lvl w:ilvl="0" w:tplc="7DB290FE">
      <w:start w:val="1"/>
      <w:numFmt w:val="bullet"/>
      <w:lvlText w:val=""/>
      <w:lvlJc w:val="left"/>
      <w:pPr>
        <w:ind w:left="720" w:hanging="360"/>
      </w:pPr>
      <w:rPr>
        <w:rFonts w:ascii="Symbol" w:hAnsi="Symbol" w:hint="default"/>
      </w:rPr>
    </w:lvl>
    <w:lvl w:ilvl="1" w:tplc="CE7C0558" w:tentative="1">
      <w:start w:val="1"/>
      <w:numFmt w:val="bullet"/>
      <w:lvlText w:val="o"/>
      <w:lvlJc w:val="left"/>
      <w:pPr>
        <w:ind w:left="1440" w:hanging="360"/>
      </w:pPr>
      <w:rPr>
        <w:rFonts w:ascii="Courier New" w:hAnsi="Courier New" w:cs="Courier New" w:hint="default"/>
      </w:rPr>
    </w:lvl>
    <w:lvl w:ilvl="2" w:tplc="7B002D94" w:tentative="1">
      <w:start w:val="1"/>
      <w:numFmt w:val="bullet"/>
      <w:lvlText w:val=""/>
      <w:lvlJc w:val="left"/>
      <w:pPr>
        <w:ind w:left="2160" w:hanging="360"/>
      </w:pPr>
      <w:rPr>
        <w:rFonts w:ascii="Wingdings" w:hAnsi="Wingdings" w:hint="default"/>
      </w:rPr>
    </w:lvl>
    <w:lvl w:ilvl="3" w:tplc="FC644202" w:tentative="1">
      <w:start w:val="1"/>
      <w:numFmt w:val="bullet"/>
      <w:lvlText w:val=""/>
      <w:lvlJc w:val="left"/>
      <w:pPr>
        <w:ind w:left="2880" w:hanging="360"/>
      </w:pPr>
      <w:rPr>
        <w:rFonts w:ascii="Symbol" w:hAnsi="Symbol" w:hint="default"/>
      </w:rPr>
    </w:lvl>
    <w:lvl w:ilvl="4" w:tplc="96862496" w:tentative="1">
      <w:start w:val="1"/>
      <w:numFmt w:val="bullet"/>
      <w:lvlText w:val="o"/>
      <w:lvlJc w:val="left"/>
      <w:pPr>
        <w:ind w:left="3600" w:hanging="360"/>
      </w:pPr>
      <w:rPr>
        <w:rFonts w:ascii="Courier New" w:hAnsi="Courier New" w:cs="Courier New" w:hint="default"/>
      </w:rPr>
    </w:lvl>
    <w:lvl w:ilvl="5" w:tplc="D7B25500" w:tentative="1">
      <w:start w:val="1"/>
      <w:numFmt w:val="bullet"/>
      <w:lvlText w:val=""/>
      <w:lvlJc w:val="left"/>
      <w:pPr>
        <w:ind w:left="4320" w:hanging="360"/>
      </w:pPr>
      <w:rPr>
        <w:rFonts w:ascii="Wingdings" w:hAnsi="Wingdings" w:hint="default"/>
      </w:rPr>
    </w:lvl>
    <w:lvl w:ilvl="6" w:tplc="57B05CDC" w:tentative="1">
      <w:start w:val="1"/>
      <w:numFmt w:val="bullet"/>
      <w:lvlText w:val=""/>
      <w:lvlJc w:val="left"/>
      <w:pPr>
        <w:ind w:left="5040" w:hanging="360"/>
      </w:pPr>
      <w:rPr>
        <w:rFonts w:ascii="Symbol" w:hAnsi="Symbol" w:hint="default"/>
      </w:rPr>
    </w:lvl>
    <w:lvl w:ilvl="7" w:tplc="D936A5CA" w:tentative="1">
      <w:start w:val="1"/>
      <w:numFmt w:val="bullet"/>
      <w:lvlText w:val="o"/>
      <w:lvlJc w:val="left"/>
      <w:pPr>
        <w:ind w:left="5760" w:hanging="360"/>
      </w:pPr>
      <w:rPr>
        <w:rFonts w:ascii="Courier New" w:hAnsi="Courier New" w:cs="Courier New" w:hint="default"/>
      </w:rPr>
    </w:lvl>
    <w:lvl w:ilvl="8" w:tplc="E47AB378" w:tentative="1">
      <w:start w:val="1"/>
      <w:numFmt w:val="bullet"/>
      <w:lvlText w:val=""/>
      <w:lvlJc w:val="left"/>
      <w:pPr>
        <w:ind w:left="6480" w:hanging="360"/>
      </w:pPr>
      <w:rPr>
        <w:rFonts w:ascii="Wingdings" w:hAnsi="Wingdings" w:hint="default"/>
      </w:rPr>
    </w:lvl>
  </w:abstractNum>
  <w:abstractNum w:abstractNumId="2" w15:restartNumberingAfterBreak="0">
    <w:nsid w:val="0ABB5D3F"/>
    <w:multiLevelType w:val="hybridMultilevel"/>
    <w:tmpl w:val="1B62C380"/>
    <w:lvl w:ilvl="0" w:tplc="CD4A4BDC">
      <w:start w:val="1"/>
      <w:numFmt w:val="lowerLetter"/>
      <w:lvlText w:val="%1)"/>
      <w:lvlJc w:val="left"/>
      <w:pPr>
        <w:ind w:left="720" w:hanging="360"/>
      </w:pPr>
    </w:lvl>
    <w:lvl w:ilvl="1" w:tplc="B93018B8" w:tentative="1">
      <w:start w:val="1"/>
      <w:numFmt w:val="lowerLetter"/>
      <w:lvlText w:val="%2."/>
      <w:lvlJc w:val="left"/>
      <w:pPr>
        <w:ind w:left="1440" w:hanging="360"/>
      </w:pPr>
    </w:lvl>
    <w:lvl w:ilvl="2" w:tplc="AE4884B0" w:tentative="1">
      <w:start w:val="1"/>
      <w:numFmt w:val="lowerRoman"/>
      <w:lvlText w:val="%3."/>
      <w:lvlJc w:val="right"/>
      <w:pPr>
        <w:ind w:left="2160" w:hanging="180"/>
      </w:pPr>
    </w:lvl>
    <w:lvl w:ilvl="3" w:tplc="E214AE84" w:tentative="1">
      <w:start w:val="1"/>
      <w:numFmt w:val="decimal"/>
      <w:lvlText w:val="%4."/>
      <w:lvlJc w:val="left"/>
      <w:pPr>
        <w:ind w:left="2880" w:hanging="360"/>
      </w:pPr>
    </w:lvl>
    <w:lvl w:ilvl="4" w:tplc="9280CBF2" w:tentative="1">
      <w:start w:val="1"/>
      <w:numFmt w:val="lowerLetter"/>
      <w:lvlText w:val="%5."/>
      <w:lvlJc w:val="left"/>
      <w:pPr>
        <w:ind w:left="3600" w:hanging="360"/>
      </w:pPr>
    </w:lvl>
    <w:lvl w:ilvl="5" w:tplc="A8AEA09E" w:tentative="1">
      <w:start w:val="1"/>
      <w:numFmt w:val="lowerRoman"/>
      <w:lvlText w:val="%6."/>
      <w:lvlJc w:val="right"/>
      <w:pPr>
        <w:ind w:left="4320" w:hanging="180"/>
      </w:pPr>
    </w:lvl>
    <w:lvl w:ilvl="6" w:tplc="7108982C" w:tentative="1">
      <w:start w:val="1"/>
      <w:numFmt w:val="decimal"/>
      <w:lvlText w:val="%7."/>
      <w:lvlJc w:val="left"/>
      <w:pPr>
        <w:ind w:left="5040" w:hanging="360"/>
      </w:pPr>
    </w:lvl>
    <w:lvl w:ilvl="7" w:tplc="70B67DAA" w:tentative="1">
      <w:start w:val="1"/>
      <w:numFmt w:val="lowerLetter"/>
      <w:lvlText w:val="%8."/>
      <w:lvlJc w:val="left"/>
      <w:pPr>
        <w:ind w:left="5760" w:hanging="360"/>
      </w:pPr>
    </w:lvl>
    <w:lvl w:ilvl="8" w:tplc="70D2855A" w:tentative="1">
      <w:start w:val="1"/>
      <w:numFmt w:val="lowerRoman"/>
      <w:lvlText w:val="%9."/>
      <w:lvlJc w:val="right"/>
      <w:pPr>
        <w:ind w:left="6480" w:hanging="180"/>
      </w:pPr>
    </w:lvl>
  </w:abstractNum>
  <w:abstractNum w:abstractNumId="3" w15:restartNumberingAfterBreak="0">
    <w:nsid w:val="271E59A0"/>
    <w:multiLevelType w:val="multilevel"/>
    <w:tmpl w:val="A1FA7084"/>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8405BB8"/>
    <w:multiLevelType w:val="hybridMultilevel"/>
    <w:tmpl w:val="BEC2C534"/>
    <w:lvl w:ilvl="0" w:tplc="DECE373E">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5C917AD"/>
    <w:multiLevelType w:val="hybridMultilevel"/>
    <w:tmpl w:val="D864F5AA"/>
    <w:lvl w:ilvl="0" w:tplc="08A625D2">
      <w:start w:val="1"/>
      <w:numFmt w:val="bullet"/>
      <w:lvlText w:val="§"/>
      <w:lvlJc w:val="left"/>
      <w:pPr>
        <w:tabs>
          <w:tab w:val="num" w:pos="720"/>
        </w:tabs>
        <w:ind w:left="720" w:hanging="360"/>
      </w:pPr>
      <w:rPr>
        <w:rFonts w:ascii="Wingdings" w:hAnsi="Wingdings" w:hint="default"/>
      </w:rPr>
    </w:lvl>
    <w:lvl w:ilvl="1" w:tplc="58C86DC0">
      <w:start w:val="1"/>
      <w:numFmt w:val="bullet"/>
      <w:lvlText w:val="§"/>
      <w:lvlJc w:val="left"/>
      <w:pPr>
        <w:tabs>
          <w:tab w:val="num" w:pos="1440"/>
        </w:tabs>
        <w:ind w:left="1440" w:hanging="360"/>
      </w:pPr>
      <w:rPr>
        <w:rFonts w:ascii="Wingdings" w:hAnsi="Wingdings" w:hint="default"/>
      </w:rPr>
    </w:lvl>
    <w:lvl w:ilvl="2" w:tplc="CCCAF63A">
      <w:start w:val="1"/>
      <w:numFmt w:val="bullet"/>
      <w:lvlText w:val="§"/>
      <w:lvlJc w:val="left"/>
      <w:pPr>
        <w:tabs>
          <w:tab w:val="num" w:pos="2160"/>
        </w:tabs>
        <w:ind w:left="2160" w:hanging="360"/>
      </w:pPr>
      <w:rPr>
        <w:rFonts w:ascii="Wingdings" w:hAnsi="Wingdings" w:hint="default"/>
      </w:rPr>
    </w:lvl>
    <w:lvl w:ilvl="3" w:tplc="905A77E4">
      <w:start w:val="1"/>
      <w:numFmt w:val="bullet"/>
      <w:lvlText w:val="§"/>
      <w:lvlJc w:val="left"/>
      <w:pPr>
        <w:tabs>
          <w:tab w:val="num" w:pos="2880"/>
        </w:tabs>
        <w:ind w:left="2880" w:hanging="360"/>
      </w:pPr>
      <w:rPr>
        <w:rFonts w:ascii="Wingdings" w:hAnsi="Wingdings" w:hint="default"/>
      </w:rPr>
    </w:lvl>
    <w:lvl w:ilvl="4" w:tplc="F0601556">
      <w:start w:val="1"/>
      <w:numFmt w:val="bullet"/>
      <w:lvlText w:val="§"/>
      <w:lvlJc w:val="left"/>
      <w:pPr>
        <w:tabs>
          <w:tab w:val="num" w:pos="3600"/>
        </w:tabs>
        <w:ind w:left="3600" w:hanging="360"/>
      </w:pPr>
      <w:rPr>
        <w:rFonts w:ascii="Wingdings" w:hAnsi="Wingdings" w:hint="default"/>
      </w:rPr>
    </w:lvl>
    <w:lvl w:ilvl="5" w:tplc="F2DA4EC2">
      <w:start w:val="1"/>
      <w:numFmt w:val="bullet"/>
      <w:lvlText w:val="§"/>
      <w:lvlJc w:val="left"/>
      <w:pPr>
        <w:tabs>
          <w:tab w:val="num" w:pos="4320"/>
        </w:tabs>
        <w:ind w:left="4320" w:hanging="360"/>
      </w:pPr>
      <w:rPr>
        <w:rFonts w:ascii="Wingdings" w:hAnsi="Wingdings" w:hint="default"/>
      </w:rPr>
    </w:lvl>
    <w:lvl w:ilvl="6" w:tplc="00E236F8">
      <w:start w:val="1"/>
      <w:numFmt w:val="bullet"/>
      <w:lvlText w:val="§"/>
      <w:lvlJc w:val="left"/>
      <w:pPr>
        <w:tabs>
          <w:tab w:val="num" w:pos="5040"/>
        </w:tabs>
        <w:ind w:left="5040" w:hanging="360"/>
      </w:pPr>
      <w:rPr>
        <w:rFonts w:ascii="Wingdings" w:hAnsi="Wingdings" w:hint="default"/>
      </w:rPr>
    </w:lvl>
    <w:lvl w:ilvl="7" w:tplc="5502B8A8">
      <w:start w:val="1"/>
      <w:numFmt w:val="bullet"/>
      <w:lvlText w:val="§"/>
      <w:lvlJc w:val="left"/>
      <w:pPr>
        <w:tabs>
          <w:tab w:val="num" w:pos="5760"/>
        </w:tabs>
        <w:ind w:left="5760" w:hanging="360"/>
      </w:pPr>
      <w:rPr>
        <w:rFonts w:ascii="Wingdings" w:hAnsi="Wingdings" w:hint="default"/>
      </w:rPr>
    </w:lvl>
    <w:lvl w:ilvl="8" w:tplc="73DE74E8">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6E966F0"/>
    <w:multiLevelType w:val="hybridMultilevel"/>
    <w:tmpl w:val="5B46183A"/>
    <w:lvl w:ilvl="0" w:tplc="DECE373E">
      <w:start w:val="1"/>
      <w:numFmt w:val="bullet"/>
      <w:lvlText w:val=""/>
      <w:lvlJc w:val="left"/>
      <w:pPr>
        <w:ind w:left="720" w:hanging="360"/>
      </w:pPr>
      <w:rPr>
        <w:rFonts w:ascii="Symbol" w:hAnsi="Symbol" w:hint="default"/>
      </w:rPr>
    </w:lvl>
    <w:lvl w:ilvl="1" w:tplc="B854092C" w:tentative="1">
      <w:start w:val="1"/>
      <w:numFmt w:val="bullet"/>
      <w:lvlText w:val="o"/>
      <w:lvlJc w:val="left"/>
      <w:pPr>
        <w:ind w:left="1440" w:hanging="360"/>
      </w:pPr>
      <w:rPr>
        <w:rFonts w:ascii="Courier New" w:hAnsi="Courier New" w:cs="Courier New" w:hint="default"/>
      </w:rPr>
    </w:lvl>
    <w:lvl w:ilvl="2" w:tplc="559CC114" w:tentative="1">
      <w:start w:val="1"/>
      <w:numFmt w:val="bullet"/>
      <w:lvlText w:val=""/>
      <w:lvlJc w:val="left"/>
      <w:pPr>
        <w:ind w:left="2160" w:hanging="360"/>
      </w:pPr>
      <w:rPr>
        <w:rFonts w:ascii="Wingdings" w:hAnsi="Wingdings" w:hint="default"/>
      </w:rPr>
    </w:lvl>
    <w:lvl w:ilvl="3" w:tplc="BAFA94E2" w:tentative="1">
      <w:start w:val="1"/>
      <w:numFmt w:val="bullet"/>
      <w:lvlText w:val=""/>
      <w:lvlJc w:val="left"/>
      <w:pPr>
        <w:ind w:left="2880" w:hanging="360"/>
      </w:pPr>
      <w:rPr>
        <w:rFonts w:ascii="Symbol" w:hAnsi="Symbol" w:hint="default"/>
      </w:rPr>
    </w:lvl>
    <w:lvl w:ilvl="4" w:tplc="0660CC8C" w:tentative="1">
      <w:start w:val="1"/>
      <w:numFmt w:val="bullet"/>
      <w:lvlText w:val="o"/>
      <w:lvlJc w:val="left"/>
      <w:pPr>
        <w:ind w:left="3600" w:hanging="360"/>
      </w:pPr>
      <w:rPr>
        <w:rFonts w:ascii="Courier New" w:hAnsi="Courier New" w:cs="Courier New" w:hint="default"/>
      </w:rPr>
    </w:lvl>
    <w:lvl w:ilvl="5" w:tplc="C818F046" w:tentative="1">
      <w:start w:val="1"/>
      <w:numFmt w:val="bullet"/>
      <w:lvlText w:val=""/>
      <w:lvlJc w:val="left"/>
      <w:pPr>
        <w:ind w:left="4320" w:hanging="360"/>
      </w:pPr>
      <w:rPr>
        <w:rFonts w:ascii="Wingdings" w:hAnsi="Wingdings" w:hint="default"/>
      </w:rPr>
    </w:lvl>
    <w:lvl w:ilvl="6" w:tplc="34BA0A06" w:tentative="1">
      <w:start w:val="1"/>
      <w:numFmt w:val="bullet"/>
      <w:lvlText w:val=""/>
      <w:lvlJc w:val="left"/>
      <w:pPr>
        <w:ind w:left="5040" w:hanging="360"/>
      </w:pPr>
      <w:rPr>
        <w:rFonts w:ascii="Symbol" w:hAnsi="Symbol" w:hint="default"/>
      </w:rPr>
    </w:lvl>
    <w:lvl w:ilvl="7" w:tplc="D92E3C7E" w:tentative="1">
      <w:start w:val="1"/>
      <w:numFmt w:val="bullet"/>
      <w:lvlText w:val="o"/>
      <w:lvlJc w:val="left"/>
      <w:pPr>
        <w:ind w:left="5760" w:hanging="360"/>
      </w:pPr>
      <w:rPr>
        <w:rFonts w:ascii="Courier New" w:hAnsi="Courier New" w:cs="Courier New" w:hint="default"/>
      </w:rPr>
    </w:lvl>
    <w:lvl w:ilvl="8" w:tplc="036809FE" w:tentative="1">
      <w:start w:val="1"/>
      <w:numFmt w:val="bullet"/>
      <w:lvlText w:val=""/>
      <w:lvlJc w:val="left"/>
      <w:pPr>
        <w:ind w:left="6480" w:hanging="360"/>
      </w:pPr>
      <w:rPr>
        <w:rFonts w:ascii="Wingdings" w:hAnsi="Wingdings" w:hint="default"/>
      </w:rPr>
    </w:lvl>
  </w:abstractNum>
  <w:abstractNum w:abstractNumId="7" w15:restartNumberingAfterBreak="0">
    <w:nsid w:val="783C72A5"/>
    <w:multiLevelType w:val="hybridMultilevel"/>
    <w:tmpl w:val="D1183E84"/>
    <w:lvl w:ilvl="0" w:tplc="A7E45588">
      <w:start w:val="1"/>
      <w:numFmt w:val="decimal"/>
      <w:lvlText w:val="%1."/>
      <w:lvlJc w:val="left"/>
      <w:pPr>
        <w:ind w:left="720" w:hanging="360"/>
      </w:pPr>
    </w:lvl>
    <w:lvl w:ilvl="1" w:tplc="AA26EE80" w:tentative="1">
      <w:start w:val="1"/>
      <w:numFmt w:val="lowerLetter"/>
      <w:lvlText w:val="%2."/>
      <w:lvlJc w:val="left"/>
      <w:pPr>
        <w:ind w:left="1440" w:hanging="360"/>
      </w:pPr>
    </w:lvl>
    <w:lvl w:ilvl="2" w:tplc="5E962F30" w:tentative="1">
      <w:start w:val="1"/>
      <w:numFmt w:val="lowerRoman"/>
      <w:lvlText w:val="%3."/>
      <w:lvlJc w:val="right"/>
      <w:pPr>
        <w:ind w:left="2160" w:hanging="180"/>
      </w:pPr>
    </w:lvl>
    <w:lvl w:ilvl="3" w:tplc="C98CACC2" w:tentative="1">
      <w:start w:val="1"/>
      <w:numFmt w:val="decimal"/>
      <w:lvlText w:val="%4."/>
      <w:lvlJc w:val="left"/>
      <w:pPr>
        <w:ind w:left="2880" w:hanging="360"/>
      </w:pPr>
    </w:lvl>
    <w:lvl w:ilvl="4" w:tplc="1708EC24" w:tentative="1">
      <w:start w:val="1"/>
      <w:numFmt w:val="lowerLetter"/>
      <w:lvlText w:val="%5."/>
      <w:lvlJc w:val="left"/>
      <w:pPr>
        <w:ind w:left="3600" w:hanging="360"/>
      </w:pPr>
    </w:lvl>
    <w:lvl w:ilvl="5" w:tplc="C4E8B14A" w:tentative="1">
      <w:start w:val="1"/>
      <w:numFmt w:val="lowerRoman"/>
      <w:lvlText w:val="%6."/>
      <w:lvlJc w:val="right"/>
      <w:pPr>
        <w:ind w:left="4320" w:hanging="180"/>
      </w:pPr>
    </w:lvl>
    <w:lvl w:ilvl="6" w:tplc="1B969FCC" w:tentative="1">
      <w:start w:val="1"/>
      <w:numFmt w:val="decimal"/>
      <w:lvlText w:val="%7."/>
      <w:lvlJc w:val="left"/>
      <w:pPr>
        <w:ind w:left="5040" w:hanging="360"/>
      </w:pPr>
    </w:lvl>
    <w:lvl w:ilvl="7" w:tplc="FC84112C" w:tentative="1">
      <w:start w:val="1"/>
      <w:numFmt w:val="lowerLetter"/>
      <w:lvlText w:val="%8."/>
      <w:lvlJc w:val="left"/>
      <w:pPr>
        <w:ind w:left="5760" w:hanging="360"/>
      </w:pPr>
    </w:lvl>
    <w:lvl w:ilvl="8" w:tplc="15085228" w:tentative="1">
      <w:start w:val="1"/>
      <w:numFmt w:val="lowerRoman"/>
      <w:lvlText w:val="%9."/>
      <w:lvlJc w:val="right"/>
      <w:pPr>
        <w:ind w:left="6480" w:hanging="180"/>
      </w:pPr>
    </w:lvl>
  </w:abstractNum>
  <w:num w:numId="1" w16cid:durableId="1972175669">
    <w:abstractNumId w:val="7"/>
  </w:num>
  <w:num w:numId="2" w16cid:durableId="874537270">
    <w:abstractNumId w:val="0"/>
  </w:num>
  <w:num w:numId="3" w16cid:durableId="1432125180">
    <w:abstractNumId w:val="3"/>
  </w:num>
  <w:num w:numId="4" w16cid:durableId="1242179682">
    <w:abstractNumId w:val="2"/>
  </w:num>
  <w:num w:numId="5" w16cid:durableId="363751903">
    <w:abstractNumId w:val="6"/>
  </w:num>
  <w:num w:numId="6" w16cid:durableId="815072050">
    <w:abstractNumId w:val="1"/>
  </w:num>
  <w:num w:numId="7" w16cid:durableId="60400425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74240046">
    <w:abstractNumId w:val="5"/>
  </w:num>
  <w:num w:numId="9" w16cid:durableId="8877649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B00A4"/>
    <w:rsid w:val="000050C1"/>
    <w:rsid w:val="0001691D"/>
    <w:rsid w:val="000470BD"/>
    <w:rsid w:val="00062CC1"/>
    <w:rsid w:val="000729A3"/>
    <w:rsid w:val="000A580D"/>
    <w:rsid w:val="001428D2"/>
    <w:rsid w:val="001776FA"/>
    <w:rsid w:val="00235ADF"/>
    <w:rsid w:val="0029025B"/>
    <w:rsid w:val="002D3E8B"/>
    <w:rsid w:val="002E356A"/>
    <w:rsid w:val="002F67C7"/>
    <w:rsid w:val="00303AFF"/>
    <w:rsid w:val="003500FD"/>
    <w:rsid w:val="00351D10"/>
    <w:rsid w:val="00434793"/>
    <w:rsid w:val="00476BD9"/>
    <w:rsid w:val="004A22AD"/>
    <w:rsid w:val="004F0D3C"/>
    <w:rsid w:val="005838DB"/>
    <w:rsid w:val="005B34C7"/>
    <w:rsid w:val="00610F9B"/>
    <w:rsid w:val="00651177"/>
    <w:rsid w:val="00731C62"/>
    <w:rsid w:val="007F0BD7"/>
    <w:rsid w:val="008261D6"/>
    <w:rsid w:val="008532CF"/>
    <w:rsid w:val="008853A7"/>
    <w:rsid w:val="00887570"/>
    <w:rsid w:val="008B3B9D"/>
    <w:rsid w:val="008B6314"/>
    <w:rsid w:val="008D5651"/>
    <w:rsid w:val="009012A8"/>
    <w:rsid w:val="00915FE2"/>
    <w:rsid w:val="0096379C"/>
    <w:rsid w:val="00966FC2"/>
    <w:rsid w:val="009934E7"/>
    <w:rsid w:val="009A5741"/>
    <w:rsid w:val="009B00A4"/>
    <w:rsid w:val="00A36971"/>
    <w:rsid w:val="00A36C96"/>
    <w:rsid w:val="00A94C7E"/>
    <w:rsid w:val="00AA2322"/>
    <w:rsid w:val="00AB4C64"/>
    <w:rsid w:val="00AF00FF"/>
    <w:rsid w:val="00B0190B"/>
    <w:rsid w:val="00B24C3D"/>
    <w:rsid w:val="00B338F5"/>
    <w:rsid w:val="00B411C7"/>
    <w:rsid w:val="00B96234"/>
    <w:rsid w:val="00BD1466"/>
    <w:rsid w:val="00BD733F"/>
    <w:rsid w:val="00C072E6"/>
    <w:rsid w:val="00C67FEB"/>
    <w:rsid w:val="00C70E2F"/>
    <w:rsid w:val="00C876B9"/>
    <w:rsid w:val="00CC4A17"/>
    <w:rsid w:val="00CE1799"/>
    <w:rsid w:val="00D2236D"/>
    <w:rsid w:val="00D824CC"/>
    <w:rsid w:val="00D85449"/>
    <w:rsid w:val="00D96912"/>
    <w:rsid w:val="00DA5B71"/>
    <w:rsid w:val="00DC383F"/>
    <w:rsid w:val="00E11784"/>
    <w:rsid w:val="00E80C0E"/>
    <w:rsid w:val="00F070BF"/>
    <w:rsid w:val="00F26ED0"/>
    <w:rsid w:val="00F73A3F"/>
    <w:rsid w:val="00FA3C3C"/>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17C5D"/>
  <w15:docId w15:val="{11B7EC73-5538-4358-82B7-B060EBCB0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00FD"/>
    <w:pPr>
      <w:suppressAutoHyphens/>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B3B9D"/>
    <w:pPr>
      <w:keepNext/>
      <w:keepLines/>
      <w:spacing w:before="480" w:after="0"/>
      <w:outlineLvl w:val="0"/>
    </w:pPr>
    <w:rPr>
      <w:rFonts w:eastAsiaTheme="majorEastAsia" w:cstheme="majorBidi"/>
      <w:b/>
      <w:bCs/>
      <w:szCs w:val="25"/>
    </w:rPr>
  </w:style>
  <w:style w:type="paragraph" w:styleId="Heading2">
    <w:name w:val="heading 2"/>
    <w:basedOn w:val="Normal"/>
    <w:next w:val="Normal"/>
    <w:link w:val="Heading2Char"/>
    <w:uiPriority w:val="9"/>
    <w:unhideWhenUsed/>
    <w:qFormat/>
    <w:rsid w:val="008B3B9D"/>
    <w:pPr>
      <w:keepNext/>
      <w:keepLines/>
      <w:spacing w:before="200" w:after="0"/>
      <w:outlineLvl w:val="1"/>
    </w:pPr>
    <w:rPr>
      <w:rFonts w:eastAsiaTheme="majorEastAsia" w:cstheme="majorBidi"/>
      <w:b/>
      <w:bCs/>
      <w:szCs w:val="23"/>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3B9D"/>
    <w:rPr>
      <w:rFonts w:ascii="Times New Roman" w:eastAsiaTheme="majorEastAsia" w:hAnsi="Times New Roman" w:cstheme="majorBidi"/>
      <w:b/>
      <w:bCs/>
      <w:sz w:val="24"/>
      <w:szCs w:val="25"/>
    </w:rPr>
  </w:style>
  <w:style w:type="character" w:customStyle="1" w:styleId="Heading2Char">
    <w:name w:val="Heading 2 Char"/>
    <w:basedOn w:val="DefaultParagraphFont"/>
    <w:link w:val="Heading2"/>
    <w:uiPriority w:val="9"/>
    <w:rsid w:val="008B3B9D"/>
    <w:rPr>
      <w:rFonts w:ascii="Times New Roman" w:eastAsiaTheme="majorEastAsia" w:hAnsi="Times New Roman" w:cstheme="majorBidi"/>
      <w:b/>
      <w:bCs/>
      <w:sz w:val="24"/>
      <w:szCs w:val="23"/>
    </w:rPr>
  </w:style>
  <w:style w:type="paragraph" w:styleId="ListParagraph">
    <w:name w:val="List Paragraph"/>
    <w:basedOn w:val="Normal"/>
    <w:uiPriority w:val="34"/>
    <w:qFormat/>
    <w:rsid w:val="008B6314"/>
    <w:pPr>
      <w:ind w:left="720"/>
      <w:contextualSpacing/>
    </w:pPr>
  </w:style>
  <w:style w:type="paragraph" w:styleId="BalloonText">
    <w:name w:val="Balloon Text"/>
    <w:basedOn w:val="Normal"/>
    <w:link w:val="BalloonTextChar"/>
    <w:uiPriority w:val="99"/>
    <w:semiHidden/>
    <w:unhideWhenUsed/>
    <w:rsid w:val="00DA5B71"/>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DA5B71"/>
    <w:rPr>
      <w:rFonts w:ascii="Tahoma" w:hAnsi="Tahoma" w:cs="Mangal"/>
      <w:sz w:val="16"/>
      <w:szCs w:val="14"/>
    </w:rPr>
  </w:style>
  <w:style w:type="paragraph" w:styleId="NormalWeb">
    <w:name w:val="Normal (Web)"/>
    <w:basedOn w:val="Normal"/>
    <w:uiPriority w:val="99"/>
    <w:unhideWhenUsed/>
    <w:rsid w:val="00B411C7"/>
    <w:pPr>
      <w:suppressAutoHyphens w:val="0"/>
      <w:spacing w:before="100" w:beforeAutospacing="1" w:after="100" w:afterAutospacing="1" w:line="240" w:lineRule="auto"/>
      <w:jc w:val="left"/>
    </w:pPr>
    <w:rPr>
      <w:rFonts w:eastAsia="Times New Roman" w:cs="Times New Roman"/>
      <w:szCs w:val="24"/>
      <w:lang w:eastAsia="en-IN"/>
    </w:rPr>
  </w:style>
  <w:style w:type="character" w:styleId="Hyperlink">
    <w:name w:val="Hyperlink"/>
    <w:basedOn w:val="DefaultParagraphFont"/>
    <w:uiPriority w:val="99"/>
    <w:unhideWhenUsed/>
    <w:rsid w:val="002E356A"/>
    <w:rPr>
      <w:color w:val="0000FF" w:themeColor="hyperlink"/>
      <w:u w:val="single"/>
    </w:rPr>
  </w:style>
  <w:style w:type="character" w:styleId="UnresolvedMention">
    <w:name w:val="Unresolved Mention"/>
    <w:basedOn w:val="DefaultParagraphFont"/>
    <w:uiPriority w:val="99"/>
    <w:semiHidden/>
    <w:unhideWhenUsed/>
    <w:rsid w:val="002E35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593214">
      <w:bodyDiv w:val="1"/>
      <w:marLeft w:val="0"/>
      <w:marRight w:val="0"/>
      <w:marTop w:val="0"/>
      <w:marBottom w:val="0"/>
      <w:divBdr>
        <w:top w:val="none" w:sz="0" w:space="0" w:color="auto"/>
        <w:left w:val="none" w:sz="0" w:space="0" w:color="auto"/>
        <w:bottom w:val="none" w:sz="0" w:space="0" w:color="auto"/>
        <w:right w:val="none" w:sz="0" w:space="0" w:color="auto"/>
      </w:divBdr>
    </w:div>
    <w:div w:id="1604993371">
      <w:bodyDiv w:val="1"/>
      <w:marLeft w:val="0"/>
      <w:marRight w:val="0"/>
      <w:marTop w:val="0"/>
      <w:marBottom w:val="0"/>
      <w:divBdr>
        <w:top w:val="none" w:sz="0" w:space="0" w:color="auto"/>
        <w:left w:val="none" w:sz="0" w:space="0" w:color="auto"/>
        <w:bottom w:val="none" w:sz="0" w:space="0" w:color="auto"/>
        <w:right w:val="none" w:sz="0" w:space="0" w:color="auto"/>
      </w:divBdr>
    </w:div>
    <w:div w:id="1897037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emf"/><Relationship Id="rId11" Type="http://schemas.openxmlformats.org/officeDocument/2006/relationships/hyperlink" Target="https://library.leeds.ac.uk/info/1401/academic_skills/105/critical_thinking/5" TargetMode="External"/><Relationship Id="rId5" Type="http://schemas.openxmlformats.org/officeDocument/2006/relationships/hyperlink" Target="https://1drv.ms/p/s!AnDOSt0AyWLAgRc_uSEk61aS3H_2?e=9amQYX" TargetMode="External"/><Relationship Id="rId10" Type="http://schemas.openxmlformats.org/officeDocument/2006/relationships/hyperlink" Target="https://www.uow.edu.au/student/learning-co-op/assessments/critical-analysis/" TargetMode="External"/><Relationship Id="rId4" Type="http://schemas.openxmlformats.org/officeDocument/2006/relationships/webSettings" Target="webSettings.xml"/><Relationship Id="rId9" Type="http://schemas.openxmlformats.org/officeDocument/2006/relationships/hyperlink" Target="https://www2.southeastern.edu/Academics/Faculty/elejeune/critiqu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9</Pages>
  <Words>2002</Words>
  <Characters>11415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rodica dobre</cp:lastModifiedBy>
  <cp:revision>3</cp:revision>
  <dcterms:created xsi:type="dcterms:W3CDTF">2022-11-23T20:47:00Z</dcterms:created>
  <dcterms:modified xsi:type="dcterms:W3CDTF">2022-11-25T14:24:00Z</dcterms:modified>
</cp:coreProperties>
</file>