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033AE" w14:textId="77777777" w:rsidR="00690018" w:rsidRDefault="0020184D">
      <w:pPr>
        <w:jc w:val="center"/>
      </w:pPr>
      <w:r>
        <w:rPr>
          <w:b/>
          <w:color w:val="1F4E79"/>
          <w:sz w:val="36"/>
        </w:rPr>
        <w:t>Mindfulness and Emotional Intelligence in Contemporary Organisations</w:t>
      </w:r>
    </w:p>
    <w:p w14:paraId="185B879C" w14:textId="77777777" w:rsidR="00690018" w:rsidRDefault="0020184D">
      <w:pPr>
        <w:jc w:val="center"/>
      </w:pPr>
      <w:r>
        <w:rPr>
          <w:b/>
          <w:sz w:val="28"/>
        </w:rPr>
        <w:t>Individual Academic Report</w:t>
      </w:r>
    </w:p>
    <w:p w14:paraId="0A6E3448" w14:textId="77777777" w:rsidR="00690018" w:rsidRDefault="0020184D">
      <w:pPr>
        <w:jc w:val="center"/>
      </w:pPr>
      <w:r>
        <w:t>Assessment Component 2</w:t>
      </w:r>
    </w:p>
    <w:p w14:paraId="40D86202" w14:textId="77777777" w:rsidR="00690018" w:rsidRDefault="0020184D">
      <w:pPr>
        <w:jc w:val="center"/>
      </w:pPr>
      <w:r>
        <w:t>Student Name: Toshko Trifonov</w:t>
      </w:r>
    </w:p>
    <w:p w14:paraId="4834B4E0" w14:textId="77777777" w:rsidR="00690018" w:rsidRDefault="0020184D">
      <w:pPr>
        <w:jc w:val="center"/>
      </w:pPr>
      <w:r>
        <w:t>Student ID: 2407602</w:t>
      </w:r>
    </w:p>
    <w:p w14:paraId="290BE086" w14:textId="77777777" w:rsidR="00690018" w:rsidRDefault="0020184D">
      <w:pPr>
        <w:jc w:val="center"/>
      </w:pPr>
      <w:r>
        <w:t>Module: LCLM5006 - Developing Emotional Intelligence Skills</w:t>
      </w:r>
    </w:p>
    <w:p w14:paraId="47B144C7" w14:textId="77777777" w:rsidR="00690018" w:rsidRDefault="0020184D">
      <w:pPr>
        <w:jc w:val="center"/>
      </w:pPr>
      <w:r>
        <w:t>Lecturer: Abdallah Naser</w:t>
      </w:r>
    </w:p>
    <w:p w14:paraId="08D9F1EB" w14:textId="77777777" w:rsidR="00690018" w:rsidRDefault="00690018"/>
    <w:p w14:paraId="2C226E2F" w14:textId="77777777" w:rsidR="00690018" w:rsidRDefault="00690018"/>
    <w:p w14:paraId="3FE9C230" w14:textId="77777777" w:rsidR="00690018" w:rsidRDefault="00690018"/>
    <w:p w14:paraId="05CB7F5C" w14:textId="77777777" w:rsidR="00690018" w:rsidRDefault="00690018"/>
    <w:p w14:paraId="6AE1B0AE" w14:textId="77777777" w:rsidR="00690018" w:rsidRDefault="00690018"/>
    <w:p w14:paraId="6F43EF41" w14:textId="77777777" w:rsidR="00690018" w:rsidRDefault="00690018"/>
    <w:p w14:paraId="1C3E8E1F" w14:textId="77777777" w:rsidR="00690018" w:rsidRDefault="00690018"/>
    <w:p w14:paraId="26DEF855" w14:textId="77777777" w:rsidR="00690018" w:rsidRDefault="0020184D">
      <w:r>
        <w:br w:type="page"/>
      </w:r>
    </w:p>
    <w:p w14:paraId="52E989C7" w14:textId="77777777" w:rsidR="00690018" w:rsidRDefault="0020184D">
      <w:pPr>
        <w:pStyle w:val="Heading1"/>
        <w:jc w:val="left"/>
      </w:pPr>
      <w:r>
        <w:lastRenderedPageBreak/>
        <w:t>Table of Contents</w:t>
      </w:r>
    </w:p>
    <w:p w14:paraId="64577A45" w14:textId="77777777" w:rsidR="00690018" w:rsidRDefault="0020184D">
      <w:r>
        <w:t>1. Introduction..................................................................................................................4</w:t>
      </w:r>
    </w:p>
    <w:p w14:paraId="0AFAA740" w14:textId="77777777" w:rsidR="00690018" w:rsidRDefault="0020184D">
      <w:r>
        <w:t>2. Task 1: Emotional Intelligence in the Workplace.........................................................4</w:t>
      </w:r>
    </w:p>
    <w:p w14:paraId="4CEEF13B" w14:textId="77777777" w:rsidR="00690018" w:rsidRDefault="0020184D">
      <w:r>
        <w:t>2.1 Emotional Intelligence, Mindfulness and Workplace Behaviour.............................4</w:t>
      </w:r>
    </w:p>
    <w:p w14:paraId="05A93A01" w14:textId="77777777" w:rsidR="00690018" w:rsidRDefault="0020184D">
      <w:r>
        <w:t>2.2 Emotional Intelligence Models and Critical Application........................................5</w:t>
      </w:r>
    </w:p>
    <w:p w14:paraId="4822FC79" w14:textId="77777777" w:rsidR="00690018" w:rsidRDefault="0020184D">
      <w:r>
        <w:t>2.3 Performance, Collaboration and Well-being..........................................................6</w:t>
      </w:r>
    </w:p>
    <w:p w14:paraId="013C8C12" w14:textId="77777777" w:rsidR="00690018" w:rsidRDefault="0020184D">
      <w:r>
        <w:t>2.4 Communication, Conflict Management and Decision-Making...............................7</w:t>
      </w:r>
    </w:p>
    <w:p w14:paraId="0AD6476A" w14:textId="77777777" w:rsidR="00690018" w:rsidRDefault="0020184D">
      <w:r>
        <w:t>2.5 Leadership, Psychological Safety and Limitations................................................8</w:t>
      </w:r>
    </w:p>
    <w:p w14:paraId="597E5BD0" w14:textId="77777777" w:rsidR="00690018" w:rsidRDefault="0020184D">
      <w:r>
        <w:t>3. Task 2: Managing a Multigenerational Workforce.....................................................9</w:t>
      </w:r>
    </w:p>
    <w:p w14:paraId="5F9529A4" w14:textId="77777777" w:rsidR="00690018" w:rsidRDefault="0020184D">
      <w:r>
        <w:t>3.1 Generational Diversity and Critical Caution.........................................................9</w:t>
      </w:r>
    </w:p>
    <w:p w14:paraId="786B7076" w14:textId="77777777" w:rsidR="00690018" w:rsidRDefault="0020184D">
      <w:r>
        <w:t>3.2 Generation X, Generation Y and Generation Z.....................................................9</w:t>
      </w:r>
    </w:p>
    <w:p w14:paraId="4CC650AF" w14:textId="77777777" w:rsidR="00690018" w:rsidRDefault="0020184D">
      <w:r>
        <w:t>3.3 Recruitment, Management and Retention Strategies............................................10</w:t>
      </w:r>
    </w:p>
    <w:p w14:paraId="6F12201D" w14:textId="77777777" w:rsidR="00690018" w:rsidRDefault="0020184D">
      <w:r>
        <w:t>3.4 Inclusive Leadership and Organisational Effectiveness.........................................12</w:t>
      </w:r>
    </w:p>
    <w:p w14:paraId="2566F0DF" w14:textId="77777777" w:rsidR="00690018" w:rsidRDefault="0020184D">
      <w:r>
        <w:t>4. Task 3: Personal Reflection.........................................................................................12</w:t>
      </w:r>
    </w:p>
    <w:p w14:paraId="79336A0F" w14:textId="77777777" w:rsidR="00690018" w:rsidRDefault="0020184D">
      <w:r>
        <w:t>5. Conclusion...................................................................................................................13</w:t>
      </w:r>
    </w:p>
    <w:p w14:paraId="4478B37D" w14:textId="77777777" w:rsidR="00690018" w:rsidRDefault="0020184D">
      <w:r>
        <w:t>6. References....................................................................................................................14</w:t>
      </w:r>
    </w:p>
    <w:p w14:paraId="658AADEE" w14:textId="77777777" w:rsidR="00690018" w:rsidRDefault="0020184D">
      <w:r>
        <w:t>7. Appendix.....................................................................................................................16</w:t>
      </w:r>
    </w:p>
    <w:p w14:paraId="143F7667" w14:textId="77777777" w:rsidR="00690018" w:rsidRDefault="0020184D">
      <w:r>
        <w:br w:type="page"/>
      </w:r>
    </w:p>
    <w:p w14:paraId="61AE1952" w14:textId="77777777" w:rsidR="00690018" w:rsidRDefault="0020184D">
      <w:pPr>
        <w:pStyle w:val="Heading1"/>
        <w:jc w:val="left"/>
      </w:pPr>
      <w:r>
        <w:lastRenderedPageBreak/>
        <w:t>List of Tables</w:t>
      </w:r>
    </w:p>
    <w:p w14:paraId="6F0E38B3" w14:textId="77777777" w:rsidR="00690018" w:rsidRDefault="0020184D">
      <w:r>
        <w:t>Table 1: Emotional Intelligence Model Comparison.......................................................6</w:t>
      </w:r>
    </w:p>
    <w:p w14:paraId="0FA22A09" w14:textId="77777777" w:rsidR="00690018" w:rsidRDefault="0020184D">
      <w:r>
        <w:t>Table 2: EI Application in Workplace Functions.............................................................7</w:t>
      </w:r>
    </w:p>
    <w:p w14:paraId="5B334A40" w14:textId="77777777" w:rsidR="00690018" w:rsidRDefault="0020184D">
      <w:r>
        <w:t>Table 3: Generational Workforce Characteristics and Management Implications...........10</w:t>
      </w:r>
    </w:p>
    <w:p w14:paraId="59B44ED1" w14:textId="77777777" w:rsidR="00690018" w:rsidRDefault="0020184D">
      <w:r>
        <w:t>Table 4: Recruitment, Management and Retention Strategies........................................11</w:t>
      </w:r>
    </w:p>
    <w:p w14:paraId="75409265" w14:textId="77777777" w:rsidR="00690018" w:rsidRDefault="0020184D">
      <w:r>
        <w:t>Table 5: Personal Development Action Plan...................................................................16</w:t>
      </w:r>
    </w:p>
    <w:p w14:paraId="493D312A" w14:textId="77777777" w:rsidR="00690018" w:rsidRDefault="0020184D">
      <w:r>
        <w:br w:type="page"/>
      </w:r>
    </w:p>
    <w:p w14:paraId="4B93F77E" w14:textId="77777777" w:rsidR="00690018" w:rsidRDefault="0020184D">
      <w:pPr>
        <w:pStyle w:val="Heading1"/>
        <w:jc w:val="left"/>
      </w:pPr>
      <w:r>
        <w:lastRenderedPageBreak/>
        <w:t>1. Introduction</w:t>
      </w:r>
    </w:p>
    <w:p w14:paraId="068A7172" w14:textId="77777777" w:rsidR="00690018" w:rsidRDefault="0020184D">
      <w:r>
        <w:t>Contemporary organisations are expected to achieve performance outcomes while also maintaining employee well-being, inclusion and psychological safety. The scenario presented in this report is concerned with a department where morale, communication and conflict resolution have improved following the use of mindfulness practices and emotional intelligence (EI) principles. This is a relevant organisational issue because workplace performance is not produced only by technical skill, but also by how employees u</w:t>
      </w:r>
      <w:r>
        <w:t>nderstand emotions, regulate behaviour, communicate under pressure and respond to conflict.</w:t>
      </w:r>
    </w:p>
    <w:p w14:paraId="082EDFA2" w14:textId="77777777" w:rsidR="00690018" w:rsidRDefault="0020184D">
      <w:r>
        <w:t>This report critically analyses the role of EI and mindfulness in modern organisations. First, it evaluates how employees and leaders can apply the core components of EI to improve performance, collaboration, decision-making and well-being. The analysis uses Goleman’s competency framework, Mayer, Salovey and Caruso’s Ability Model and Bar-On’s Emotional-Social Intelligence Model. Secondly, it examines the management of a multigenerational workforce, with reference to Generation X, Generation Y (Millennials)</w:t>
      </w:r>
      <w:r>
        <w:t xml:space="preserve"> and Generation Z. The report argues that generational differences can influence workplace expectations, but they should not be treated as fixed stereotypes. Finally, the report provides a personal reflection on how EI and mindfulness can improve my own leadership practice. The central argument is that EI and mindfulness can strengthen communication, conflict management and inclusive leadership; however, they are most effective when supported by fair organisational systems, clear expectations and psychologi</w:t>
      </w:r>
      <w:r>
        <w:t>cally safe workplace cultures.</w:t>
      </w:r>
    </w:p>
    <w:p w14:paraId="09460CB1" w14:textId="77777777" w:rsidR="00690018" w:rsidRDefault="0020184D">
      <w:pPr>
        <w:pStyle w:val="Heading1"/>
        <w:jc w:val="left"/>
      </w:pPr>
      <w:r>
        <w:t>2. Task 1: Emotional Intelligence in the Workplace</w:t>
      </w:r>
    </w:p>
    <w:p w14:paraId="5F6196AD" w14:textId="77777777" w:rsidR="00690018" w:rsidRDefault="0020184D">
      <w:pPr>
        <w:pStyle w:val="Heading2"/>
        <w:jc w:val="left"/>
      </w:pPr>
      <w:r>
        <w:t>2.1 Emotional Intelligence, Mindfulness and Workplace Behaviour</w:t>
      </w:r>
    </w:p>
    <w:p w14:paraId="3DDE436A" w14:textId="77777777" w:rsidR="00690018" w:rsidRDefault="0020184D">
      <w:r>
        <w:t>Emotional intelligence can be understood as the ability to recognise, understand, use and manage emotions in the self and in relationships with other people (Salovey and Mayer, 1990; Mayer, Salovey and Caruso, 2004). In the workplace, EI is important because emotions influence communication, motivation, conflict, trust and decision-making. It should not be confused with being pleasant all the time, avoiding disagreement or making decisions based only on feelings. Rather, EI involves using emotional informat</w:t>
      </w:r>
      <w:r>
        <w:t>ion in a disciplined and socially appropriate way. For example, an employee who notices frustration before responding to a colleague can prevent an unnecessary conflict and protect the quality of the working relationship.</w:t>
      </w:r>
    </w:p>
    <w:p w14:paraId="12CD07D0" w14:textId="77777777" w:rsidR="00690018" w:rsidRDefault="0020184D">
      <w:r>
        <w:lastRenderedPageBreak/>
        <w:t>Mindfulness supports EI because it improves attention, awareness and emotional regulation. Kabat-Zinn (2003) defines mindfulness as paying attention to the present moment in an intentional and non-judgemental way, while Bishop et al. (2004) describe it as involving self-regulation of attention and an open orientation to experience. In organisations, this is valuable because many conflicts are intensified by automatic reactions, assumptions and defensive communication. Mindfulness gives employees a short men</w:t>
      </w:r>
      <w:r>
        <w:t>tal space between stimulus and response. This can be seen when a team member pauses before replying to criticism, listens carefully to the concern and then responds with evidence rather than emotion. Good et al. (2016) argue that mindfulness influences attention and has downstream effects on cognition, emotion, behaviour and well-being, and Michaelsen et al. (2023) show that workplace mindfulness interventions can support employee outcomes when implementation is appropriate. Therefore, mindfulness can be vi</w:t>
      </w:r>
      <w:r>
        <w:t>ewed as a practical support for EI rather than a separate management fashion.</w:t>
      </w:r>
    </w:p>
    <w:p w14:paraId="5EB162EB" w14:textId="77777777" w:rsidR="00690018" w:rsidRDefault="0020184D">
      <w:pPr>
        <w:pStyle w:val="Heading2"/>
        <w:jc w:val="left"/>
      </w:pPr>
      <w:r>
        <w:t>2.2 Emotional Intelligence Models and Critical Application</w:t>
      </w:r>
    </w:p>
    <w:p w14:paraId="562CBF97" w14:textId="77777777" w:rsidR="00690018" w:rsidRDefault="0020184D">
      <w:r>
        <w:t xml:space="preserve">Goleman’s framework is one of the most accessible models for workplace leadership because it translates EI into observable competencies: self-awareness, self-regulation, motivation, empathy and social skills (Goleman, 1998). Self-awareness helps employees identify emotional triggers and recognise how their behaviour affects others. Self-regulation enables them to control impulsive responses, especially during disagreements or stressful deadlines. Motivation supports persistence and positive work attitudes. </w:t>
      </w:r>
      <w:r>
        <w:t>Empathy helps employees understand different perspectives, while social skills support collaboration, negotiation and constructive feedback.</w:t>
      </w:r>
    </w:p>
    <w:p w14:paraId="0DBEE51E" w14:textId="77777777" w:rsidR="00690018" w:rsidRDefault="0020184D">
      <w:r>
        <w:t>However, Goleman’s model is also criticised for being very broad. Some of its dimensions overlap with personality, motivation and leadership style, which means that it can become difficult to separate EI from general workplace competence. Mayer, Salovey and Caruso’s Ability Model is more theoretically precise because it defines EI as a set of mental abilities: perceiving emotions, using emotions to facilitate thinking, understanding emotions and managing emotions (Mayer, Salovey and Caruso, 2004). This mode</w:t>
      </w:r>
      <w:r>
        <w:t>l is useful because it presents EI as a form of information processing. Its limitation is that it is less directly translated into everyday leadership behaviour than Goleman’s model.</w:t>
      </w:r>
    </w:p>
    <w:p w14:paraId="6F685A88" w14:textId="77777777" w:rsidR="00690018" w:rsidRDefault="0020184D">
      <w:r>
        <w:t xml:space="preserve">Bar-On’s Emotional-Social Intelligence Model takes a wider view by linking emotional and social abilities to adaptability, stress management and well-being (Bar-On, 2006). This is valuable in organisations because performance depends not only on communication skills but also on resilience, problem solving and the ability to cope with pressure. Its limitation is conceptual breadth; if EI includes too many personal and social qualities, it risks becoming a general label for positive behaviour. Therefore, the </w:t>
      </w:r>
      <w:r>
        <w:t xml:space="preserve">three models are best used together. Goleman is useful for leadership </w:t>
      </w:r>
      <w:r>
        <w:lastRenderedPageBreak/>
        <w:t>behaviour, Mayer and Salovey provide theoretical discipline, and Bar-On links EI to adaptation and well-being.</w:t>
      </w:r>
    </w:p>
    <w:p w14:paraId="1165FACF" w14:textId="77777777" w:rsidR="00690018" w:rsidRDefault="0020184D">
      <w:pPr>
        <w:jc w:val="center"/>
      </w:pPr>
      <w:r>
        <w:rPr>
          <w:i/>
          <w:sz w:val="22"/>
        </w:rPr>
        <w:t>Table 1: Emotional Intelligence Model Comparison</w:t>
      </w:r>
    </w:p>
    <w:tbl>
      <w:tblPr>
        <w:tblStyle w:val="TableGrid"/>
        <w:tblW w:w="0" w:type="auto"/>
        <w:jc w:val="center"/>
        <w:tblLook w:val="04A0" w:firstRow="1" w:lastRow="0" w:firstColumn="1" w:lastColumn="0" w:noHBand="0" w:noVBand="1"/>
      </w:tblPr>
      <w:tblGrid>
        <w:gridCol w:w="1930"/>
        <w:gridCol w:w="1930"/>
        <w:gridCol w:w="1930"/>
        <w:gridCol w:w="1930"/>
        <w:gridCol w:w="1930"/>
      </w:tblGrid>
      <w:tr w:rsidR="00690018" w14:paraId="1937A93F" w14:textId="77777777">
        <w:trPr>
          <w:jc w:val="center"/>
        </w:trPr>
        <w:tc>
          <w:tcPr>
            <w:tcW w:w="1930" w:type="dxa"/>
            <w:shd w:val="clear" w:color="auto" w:fill="D9EAF7"/>
          </w:tcPr>
          <w:p w14:paraId="1053A427" w14:textId="77777777" w:rsidR="00690018" w:rsidRDefault="0020184D">
            <w:pPr>
              <w:spacing w:after="40"/>
              <w:jc w:val="left"/>
            </w:pPr>
            <w:r>
              <w:rPr>
                <w:b/>
                <w:sz w:val="20"/>
              </w:rPr>
              <w:t>Model</w:t>
            </w:r>
          </w:p>
        </w:tc>
        <w:tc>
          <w:tcPr>
            <w:tcW w:w="1930" w:type="dxa"/>
            <w:shd w:val="clear" w:color="auto" w:fill="D9EAF7"/>
          </w:tcPr>
          <w:p w14:paraId="73CD348C" w14:textId="77777777" w:rsidR="00690018" w:rsidRDefault="0020184D">
            <w:pPr>
              <w:spacing w:after="40"/>
              <w:jc w:val="left"/>
            </w:pPr>
            <w:r>
              <w:rPr>
                <w:b/>
                <w:sz w:val="20"/>
              </w:rPr>
              <w:t>Core Focus</w:t>
            </w:r>
          </w:p>
        </w:tc>
        <w:tc>
          <w:tcPr>
            <w:tcW w:w="1930" w:type="dxa"/>
            <w:shd w:val="clear" w:color="auto" w:fill="D9EAF7"/>
          </w:tcPr>
          <w:p w14:paraId="2265CA89" w14:textId="77777777" w:rsidR="00690018" w:rsidRDefault="0020184D">
            <w:pPr>
              <w:spacing w:after="40"/>
              <w:jc w:val="left"/>
            </w:pPr>
            <w:r>
              <w:rPr>
                <w:b/>
                <w:sz w:val="20"/>
              </w:rPr>
              <w:t>Workplace Strength</w:t>
            </w:r>
          </w:p>
        </w:tc>
        <w:tc>
          <w:tcPr>
            <w:tcW w:w="1930" w:type="dxa"/>
            <w:shd w:val="clear" w:color="auto" w:fill="D9EAF7"/>
          </w:tcPr>
          <w:p w14:paraId="36179DFF" w14:textId="77777777" w:rsidR="00690018" w:rsidRDefault="0020184D">
            <w:pPr>
              <w:spacing w:after="40"/>
              <w:jc w:val="left"/>
            </w:pPr>
            <w:r>
              <w:rPr>
                <w:b/>
                <w:sz w:val="20"/>
              </w:rPr>
              <w:t>Main Limitation</w:t>
            </w:r>
          </w:p>
        </w:tc>
        <w:tc>
          <w:tcPr>
            <w:tcW w:w="1930" w:type="dxa"/>
            <w:shd w:val="clear" w:color="auto" w:fill="D9EAF7"/>
          </w:tcPr>
          <w:p w14:paraId="43150A44" w14:textId="77777777" w:rsidR="00690018" w:rsidRDefault="0020184D">
            <w:pPr>
              <w:spacing w:after="40"/>
              <w:jc w:val="left"/>
            </w:pPr>
            <w:r>
              <w:rPr>
                <w:b/>
                <w:sz w:val="20"/>
              </w:rPr>
              <w:t>Best Use</w:t>
            </w:r>
          </w:p>
        </w:tc>
      </w:tr>
      <w:tr w:rsidR="00690018" w14:paraId="1F1CAAE6" w14:textId="77777777">
        <w:trPr>
          <w:jc w:val="center"/>
        </w:trPr>
        <w:tc>
          <w:tcPr>
            <w:tcW w:w="1930" w:type="dxa"/>
          </w:tcPr>
          <w:p w14:paraId="0764A7DD" w14:textId="77777777" w:rsidR="00690018" w:rsidRDefault="0020184D">
            <w:pPr>
              <w:spacing w:after="40"/>
              <w:jc w:val="left"/>
            </w:pPr>
            <w:r>
              <w:rPr>
                <w:sz w:val="20"/>
              </w:rPr>
              <w:t>Goleman</w:t>
            </w:r>
          </w:p>
        </w:tc>
        <w:tc>
          <w:tcPr>
            <w:tcW w:w="1930" w:type="dxa"/>
          </w:tcPr>
          <w:p w14:paraId="3B8871D2" w14:textId="77777777" w:rsidR="00690018" w:rsidRDefault="0020184D">
            <w:pPr>
              <w:spacing w:after="40"/>
              <w:jc w:val="left"/>
            </w:pPr>
            <w:r>
              <w:rPr>
                <w:sz w:val="20"/>
              </w:rPr>
              <w:t>Competency-based EI: self-awareness, self-regulation, motivation, empathy and social skills.</w:t>
            </w:r>
          </w:p>
        </w:tc>
        <w:tc>
          <w:tcPr>
            <w:tcW w:w="1930" w:type="dxa"/>
          </w:tcPr>
          <w:p w14:paraId="7C836964" w14:textId="77777777" w:rsidR="00690018" w:rsidRDefault="0020184D">
            <w:pPr>
              <w:spacing w:after="40"/>
              <w:jc w:val="left"/>
            </w:pPr>
            <w:r>
              <w:rPr>
                <w:sz w:val="20"/>
              </w:rPr>
              <w:t>Easy to apply to leadership, teamwork and development.</w:t>
            </w:r>
          </w:p>
        </w:tc>
        <w:tc>
          <w:tcPr>
            <w:tcW w:w="1930" w:type="dxa"/>
          </w:tcPr>
          <w:p w14:paraId="586F14F1" w14:textId="77777777" w:rsidR="00690018" w:rsidRDefault="0020184D">
            <w:pPr>
              <w:spacing w:after="40"/>
              <w:jc w:val="left"/>
            </w:pPr>
            <w:r>
              <w:rPr>
                <w:sz w:val="20"/>
              </w:rPr>
              <w:t>Can overlap with personality and leadership traits.</w:t>
            </w:r>
          </w:p>
        </w:tc>
        <w:tc>
          <w:tcPr>
            <w:tcW w:w="1930" w:type="dxa"/>
          </w:tcPr>
          <w:p w14:paraId="388345E1" w14:textId="77777777" w:rsidR="00690018" w:rsidRDefault="0020184D">
            <w:pPr>
              <w:spacing w:after="40"/>
              <w:jc w:val="left"/>
            </w:pPr>
            <w:r>
              <w:rPr>
                <w:sz w:val="20"/>
              </w:rPr>
              <w:t>Leadership development and everyday management.</w:t>
            </w:r>
          </w:p>
        </w:tc>
      </w:tr>
      <w:tr w:rsidR="00690018" w14:paraId="3E9A79D8" w14:textId="77777777">
        <w:trPr>
          <w:jc w:val="center"/>
        </w:trPr>
        <w:tc>
          <w:tcPr>
            <w:tcW w:w="1930" w:type="dxa"/>
          </w:tcPr>
          <w:p w14:paraId="29D4EB15" w14:textId="77777777" w:rsidR="00690018" w:rsidRDefault="0020184D">
            <w:pPr>
              <w:spacing w:after="40"/>
              <w:jc w:val="left"/>
            </w:pPr>
            <w:r>
              <w:rPr>
                <w:sz w:val="20"/>
              </w:rPr>
              <w:t>Mayer, Salovey and Caruso</w:t>
            </w:r>
          </w:p>
        </w:tc>
        <w:tc>
          <w:tcPr>
            <w:tcW w:w="1930" w:type="dxa"/>
          </w:tcPr>
          <w:p w14:paraId="684B60F0" w14:textId="77777777" w:rsidR="00690018" w:rsidRDefault="0020184D">
            <w:pPr>
              <w:spacing w:after="40"/>
              <w:jc w:val="left"/>
            </w:pPr>
            <w:r>
              <w:rPr>
                <w:sz w:val="20"/>
              </w:rPr>
              <w:t>Ability-based EI: perceiving, using, understanding and managing emotions.</w:t>
            </w:r>
          </w:p>
        </w:tc>
        <w:tc>
          <w:tcPr>
            <w:tcW w:w="1930" w:type="dxa"/>
          </w:tcPr>
          <w:p w14:paraId="2ED2CF00" w14:textId="77777777" w:rsidR="00690018" w:rsidRDefault="0020184D">
            <w:pPr>
              <w:spacing w:after="40"/>
              <w:jc w:val="left"/>
            </w:pPr>
            <w:r>
              <w:rPr>
                <w:sz w:val="20"/>
              </w:rPr>
              <w:t>Strong theoretical clarity and scientific structure.</w:t>
            </w:r>
          </w:p>
        </w:tc>
        <w:tc>
          <w:tcPr>
            <w:tcW w:w="1930" w:type="dxa"/>
          </w:tcPr>
          <w:p w14:paraId="685BF77B" w14:textId="77777777" w:rsidR="00690018" w:rsidRDefault="0020184D">
            <w:pPr>
              <w:spacing w:after="40"/>
              <w:jc w:val="left"/>
            </w:pPr>
            <w:r>
              <w:rPr>
                <w:sz w:val="20"/>
              </w:rPr>
              <w:t>Less direct for practical workplace training.</w:t>
            </w:r>
          </w:p>
        </w:tc>
        <w:tc>
          <w:tcPr>
            <w:tcW w:w="1930" w:type="dxa"/>
          </w:tcPr>
          <w:p w14:paraId="2B322AA3" w14:textId="77777777" w:rsidR="00690018" w:rsidRDefault="0020184D">
            <w:pPr>
              <w:spacing w:after="40"/>
              <w:jc w:val="left"/>
            </w:pPr>
            <w:r>
              <w:rPr>
                <w:sz w:val="20"/>
              </w:rPr>
              <w:t>Understanding emotional reasoning and decision-making.</w:t>
            </w:r>
          </w:p>
        </w:tc>
      </w:tr>
      <w:tr w:rsidR="00690018" w14:paraId="1B176B43" w14:textId="77777777">
        <w:trPr>
          <w:jc w:val="center"/>
        </w:trPr>
        <w:tc>
          <w:tcPr>
            <w:tcW w:w="1930" w:type="dxa"/>
          </w:tcPr>
          <w:p w14:paraId="47412A03" w14:textId="77777777" w:rsidR="00690018" w:rsidRDefault="0020184D">
            <w:pPr>
              <w:spacing w:after="40"/>
              <w:jc w:val="left"/>
            </w:pPr>
            <w:r>
              <w:rPr>
                <w:sz w:val="20"/>
              </w:rPr>
              <w:t>Bar-On</w:t>
            </w:r>
          </w:p>
        </w:tc>
        <w:tc>
          <w:tcPr>
            <w:tcW w:w="1930" w:type="dxa"/>
          </w:tcPr>
          <w:p w14:paraId="29F58710" w14:textId="77777777" w:rsidR="00690018" w:rsidRDefault="0020184D">
            <w:pPr>
              <w:spacing w:after="40"/>
              <w:jc w:val="left"/>
            </w:pPr>
            <w:r>
              <w:rPr>
                <w:sz w:val="20"/>
              </w:rPr>
              <w:t>Emotional-social intelligence, adaptability, stress management and well-being.</w:t>
            </w:r>
          </w:p>
        </w:tc>
        <w:tc>
          <w:tcPr>
            <w:tcW w:w="1930" w:type="dxa"/>
          </w:tcPr>
          <w:p w14:paraId="4B4B3FB6" w14:textId="77777777" w:rsidR="00690018" w:rsidRDefault="0020184D">
            <w:pPr>
              <w:spacing w:after="40"/>
              <w:jc w:val="left"/>
            </w:pPr>
            <w:r>
              <w:rPr>
                <w:sz w:val="20"/>
              </w:rPr>
              <w:t>Useful for resilience, HR and employee well-being.</w:t>
            </w:r>
          </w:p>
        </w:tc>
        <w:tc>
          <w:tcPr>
            <w:tcW w:w="1930" w:type="dxa"/>
          </w:tcPr>
          <w:p w14:paraId="20D80D39" w14:textId="77777777" w:rsidR="00690018" w:rsidRDefault="0020184D">
            <w:pPr>
              <w:spacing w:after="40"/>
              <w:jc w:val="left"/>
            </w:pPr>
            <w:r>
              <w:rPr>
                <w:sz w:val="20"/>
              </w:rPr>
              <w:t>Broad scope can create conceptual ambiguity.</w:t>
            </w:r>
          </w:p>
        </w:tc>
        <w:tc>
          <w:tcPr>
            <w:tcW w:w="1930" w:type="dxa"/>
          </w:tcPr>
          <w:p w14:paraId="1B8010F6" w14:textId="77777777" w:rsidR="00690018" w:rsidRDefault="0020184D">
            <w:pPr>
              <w:spacing w:after="40"/>
              <w:jc w:val="left"/>
            </w:pPr>
            <w:r>
              <w:rPr>
                <w:sz w:val="20"/>
              </w:rPr>
              <w:t>Well-being, adaptability and interpersonal effectiveness.</w:t>
            </w:r>
          </w:p>
        </w:tc>
      </w:tr>
    </w:tbl>
    <w:p w14:paraId="6C7A9E29" w14:textId="77777777" w:rsidR="00690018" w:rsidRDefault="0020184D">
      <w:pPr>
        <w:jc w:val="center"/>
      </w:pPr>
      <w:r>
        <w:rPr>
          <w:i/>
          <w:sz w:val="18"/>
        </w:rPr>
        <w:t>Source: Author’s own analysis based on Goleman (1998), Mayer, Salovey and Caruso (2004) and Bar-On (2006).</w:t>
      </w:r>
    </w:p>
    <w:p w14:paraId="37128D45" w14:textId="77777777" w:rsidR="00690018" w:rsidRDefault="0020184D">
      <w:pPr>
        <w:pStyle w:val="Heading2"/>
        <w:jc w:val="left"/>
      </w:pPr>
      <w:r>
        <w:t>2.3 Performance, Collaboration and Well-being</w:t>
      </w:r>
    </w:p>
    <w:p w14:paraId="5DC26C00" w14:textId="77777777" w:rsidR="00690018" w:rsidRDefault="0020184D">
      <w:r>
        <w:t>Employees can apply EI to improve performance by becoming more aware of how emotions shape work behaviour. Self-awareness allows individuals to recognise when stress, tiredness or frustration may distort their judgement. In practical terms, this can improve task performance because employees become less likely to make careless decisions, blame colleagues or ignore feedback. Self-regulation then converts awareness into controlled behaviour. For instance, an employee facing criticism from a supervisor may fee</w:t>
      </w:r>
      <w:r>
        <w:t>l defensive, but self-regulation supports a more professional response: asking clarifying questions, identifying the facts and agreeing an action plan.</w:t>
      </w:r>
    </w:p>
    <w:p w14:paraId="06B63756" w14:textId="77777777" w:rsidR="00690018" w:rsidRDefault="0020184D">
      <w:r>
        <w:t>EI also supports collaboration because teamwork depends on trust and the ability to interpret social signals. Empathy helps employees understand the pressures affecting colleagues, while social skills enable them to coordinate work, negotiate priorities and give feedback without damaging relationships. Côté (2014) explains that EI can affect organisations through interpersonal relationships, social influence and work behaviour. This is important because many workplace problems are not caused by technical in</w:t>
      </w:r>
      <w:r>
        <w:t>capability but by poor interaction, miscommunication and weak trust.</w:t>
      </w:r>
    </w:p>
    <w:p w14:paraId="177590F9" w14:textId="77777777" w:rsidR="00690018" w:rsidRDefault="0020184D">
      <w:r>
        <w:lastRenderedPageBreak/>
        <w:t>Well-being is also connected to EI, but the relationship should be treated critically. Bar-On’s model is useful because it connects EI with stress tolerance, adaptability and general mood (Bar-On, 2006). Employees who recognise emotional overload earlier may ask for support, prioritise work or use coping strategies before stress becomes destructive. Mindfulness can also reduce reactivity and support psychological resilience. Nevertheless, EI and mindfulness should not be used by organisations to shift respo</w:t>
      </w:r>
      <w:r>
        <w:t>nsibility for stress entirely onto employees. If workload, staffing levels, pay, safety or management practices are unfair, mindfulness training alone cannot solve the problem. Therefore, EI improves well-being only when it is connected to supportive organisational practices.</w:t>
      </w:r>
    </w:p>
    <w:p w14:paraId="144752D0" w14:textId="77777777" w:rsidR="00690018" w:rsidRDefault="0020184D">
      <w:pPr>
        <w:jc w:val="center"/>
      </w:pPr>
      <w:r>
        <w:rPr>
          <w:i/>
          <w:sz w:val="22"/>
        </w:rPr>
        <w:t>Table 2: EI Application in Workplace Functions</w:t>
      </w:r>
    </w:p>
    <w:tbl>
      <w:tblPr>
        <w:tblStyle w:val="TableGrid"/>
        <w:tblW w:w="0" w:type="auto"/>
        <w:jc w:val="center"/>
        <w:tblLook w:val="04A0" w:firstRow="1" w:lastRow="0" w:firstColumn="1" w:lastColumn="0" w:noHBand="0" w:noVBand="1"/>
      </w:tblPr>
      <w:tblGrid>
        <w:gridCol w:w="2412"/>
        <w:gridCol w:w="2412"/>
        <w:gridCol w:w="2412"/>
        <w:gridCol w:w="2412"/>
      </w:tblGrid>
      <w:tr w:rsidR="00690018" w14:paraId="027C41AC" w14:textId="77777777">
        <w:trPr>
          <w:jc w:val="center"/>
        </w:trPr>
        <w:tc>
          <w:tcPr>
            <w:tcW w:w="2412" w:type="dxa"/>
            <w:shd w:val="clear" w:color="auto" w:fill="E2F0D9"/>
          </w:tcPr>
          <w:p w14:paraId="0F40AB70" w14:textId="77777777" w:rsidR="00690018" w:rsidRDefault="0020184D">
            <w:pPr>
              <w:spacing w:after="40"/>
              <w:jc w:val="left"/>
            </w:pPr>
            <w:r>
              <w:rPr>
                <w:b/>
                <w:sz w:val="20"/>
              </w:rPr>
              <w:t>EI Component</w:t>
            </w:r>
          </w:p>
        </w:tc>
        <w:tc>
          <w:tcPr>
            <w:tcW w:w="2412" w:type="dxa"/>
            <w:shd w:val="clear" w:color="auto" w:fill="E2F0D9"/>
          </w:tcPr>
          <w:p w14:paraId="3EFDB22B" w14:textId="77777777" w:rsidR="00690018" w:rsidRDefault="0020184D">
            <w:pPr>
              <w:spacing w:after="40"/>
              <w:jc w:val="left"/>
            </w:pPr>
            <w:r>
              <w:rPr>
                <w:b/>
                <w:sz w:val="20"/>
              </w:rPr>
              <w:t>Employee Behaviour</w:t>
            </w:r>
          </w:p>
        </w:tc>
        <w:tc>
          <w:tcPr>
            <w:tcW w:w="2412" w:type="dxa"/>
            <w:shd w:val="clear" w:color="auto" w:fill="E2F0D9"/>
          </w:tcPr>
          <w:p w14:paraId="25A8E43B" w14:textId="77777777" w:rsidR="00690018" w:rsidRDefault="0020184D">
            <w:pPr>
              <w:spacing w:after="40"/>
              <w:jc w:val="left"/>
            </w:pPr>
            <w:r>
              <w:rPr>
                <w:b/>
                <w:sz w:val="20"/>
              </w:rPr>
              <w:t>Workplace Application</w:t>
            </w:r>
          </w:p>
        </w:tc>
        <w:tc>
          <w:tcPr>
            <w:tcW w:w="2412" w:type="dxa"/>
            <w:shd w:val="clear" w:color="auto" w:fill="E2F0D9"/>
          </w:tcPr>
          <w:p w14:paraId="5B485F48" w14:textId="77777777" w:rsidR="00690018" w:rsidRDefault="0020184D">
            <w:pPr>
              <w:spacing w:after="40"/>
              <w:jc w:val="left"/>
            </w:pPr>
            <w:r>
              <w:rPr>
                <w:b/>
                <w:sz w:val="20"/>
              </w:rPr>
              <w:t>Likely Outcome</w:t>
            </w:r>
          </w:p>
        </w:tc>
      </w:tr>
      <w:tr w:rsidR="00690018" w14:paraId="03E75A36" w14:textId="77777777">
        <w:trPr>
          <w:jc w:val="center"/>
        </w:trPr>
        <w:tc>
          <w:tcPr>
            <w:tcW w:w="2412" w:type="dxa"/>
          </w:tcPr>
          <w:p w14:paraId="73F02844" w14:textId="77777777" w:rsidR="00690018" w:rsidRDefault="0020184D">
            <w:pPr>
              <w:spacing w:after="40"/>
              <w:jc w:val="left"/>
            </w:pPr>
            <w:r>
              <w:rPr>
                <w:sz w:val="20"/>
              </w:rPr>
              <w:t>Self-awareness</w:t>
            </w:r>
          </w:p>
        </w:tc>
        <w:tc>
          <w:tcPr>
            <w:tcW w:w="2412" w:type="dxa"/>
          </w:tcPr>
          <w:p w14:paraId="5F45AF2A" w14:textId="77777777" w:rsidR="00690018" w:rsidRDefault="0020184D">
            <w:pPr>
              <w:spacing w:after="40"/>
              <w:jc w:val="left"/>
            </w:pPr>
            <w:r>
              <w:rPr>
                <w:sz w:val="20"/>
              </w:rPr>
              <w:t>Recognising emotions, bias and triggers.</w:t>
            </w:r>
          </w:p>
        </w:tc>
        <w:tc>
          <w:tcPr>
            <w:tcW w:w="2412" w:type="dxa"/>
          </w:tcPr>
          <w:p w14:paraId="0F5DD5C6" w14:textId="77777777" w:rsidR="00690018" w:rsidRDefault="0020184D">
            <w:pPr>
              <w:spacing w:after="40"/>
              <w:jc w:val="left"/>
            </w:pPr>
            <w:r>
              <w:rPr>
                <w:sz w:val="20"/>
              </w:rPr>
              <w:t>Identifying stress before responding to feedback or pressure.</w:t>
            </w:r>
          </w:p>
        </w:tc>
        <w:tc>
          <w:tcPr>
            <w:tcW w:w="2412" w:type="dxa"/>
          </w:tcPr>
          <w:p w14:paraId="1DDEB58B" w14:textId="77777777" w:rsidR="00690018" w:rsidRDefault="0020184D">
            <w:pPr>
              <w:spacing w:after="40"/>
              <w:jc w:val="left"/>
            </w:pPr>
            <w:r>
              <w:rPr>
                <w:sz w:val="20"/>
              </w:rPr>
              <w:t>Better judgement and fewer defensive reactions.</w:t>
            </w:r>
          </w:p>
        </w:tc>
      </w:tr>
      <w:tr w:rsidR="00690018" w14:paraId="322F7C02" w14:textId="77777777">
        <w:trPr>
          <w:jc w:val="center"/>
        </w:trPr>
        <w:tc>
          <w:tcPr>
            <w:tcW w:w="2412" w:type="dxa"/>
          </w:tcPr>
          <w:p w14:paraId="5D7C6C62" w14:textId="77777777" w:rsidR="00690018" w:rsidRDefault="0020184D">
            <w:pPr>
              <w:spacing w:after="40"/>
              <w:jc w:val="left"/>
            </w:pPr>
            <w:r>
              <w:rPr>
                <w:sz w:val="20"/>
              </w:rPr>
              <w:t>Self-regulation</w:t>
            </w:r>
          </w:p>
        </w:tc>
        <w:tc>
          <w:tcPr>
            <w:tcW w:w="2412" w:type="dxa"/>
          </w:tcPr>
          <w:p w14:paraId="0956D03C" w14:textId="77777777" w:rsidR="00690018" w:rsidRDefault="0020184D">
            <w:pPr>
              <w:spacing w:after="40"/>
              <w:jc w:val="left"/>
            </w:pPr>
            <w:r>
              <w:rPr>
                <w:sz w:val="20"/>
              </w:rPr>
              <w:t>Controlling impulsive responses.</w:t>
            </w:r>
          </w:p>
        </w:tc>
        <w:tc>
          <w:tcPr>
            <w:tcW w:w="2412" w:type="dxa"/>
          </w:tcPr>
          <w:p w14:paraId="627F3F19" w14:textId="77777777" w:rsidR="00690018" w:rsidRDefault="0020184D">
            <w:pPr>
              <w:spacing w:after="40"/>
              <w:jc w:val="left"/>
            </w:pPr>
            <w:r>
              <w:rPr>
                <w:sz w:val="20"/>
              </w:rPr>
              <w:t>Pausing before replying to conflict or difficult communication.</w:t>
            </w:r>
          </w:p>
        </w:tc>
        <w:tc>
          <w:tcPr>
            <w:tcW w:w="2412" w:type="dxa"/>
          </w:tcPr>
          <w:p w14:paraId="46A48FDA" w14:textId="77777777" w:rsidR="00690018" w:rsidRDefault="0020184D">
            <w:pPr>
              <w:spacing w:after="40"/>
              <w:jc w:val="left"/>
            </w:pPr>
            <w:r>
              <w:rPr>
                <w:sz w:val="20"/>
              </w:rPr>
              <w:t>Reduced conflict and more professional behaviour.</w:t>
            </w:r>
          </w:p>
        </w:tc>
      </w:tr>
      <w:tr w:rsidR="00690018" w14:paraId="0BBE8B62" w14:textId="77777777">
        <w:trPr>
          <w:jc w:val="center"/>
        </w:trPr>
        <w:tc>
          <w:tcPr>
            <w:tcW w:w="2412" w:type="dxa"/>
          </w:tcPr>
          <w:p w14:paraId="62B51C16" w14:textId="77777777" w:rsidR="00690018" w:rsidRDefault="0020184D">
            <w:pPr>
              <w:spacing w:after="40"/>
              <w:jc w:val="left"/>
            </w:pPr>
            <w:r>
              <w:rPr>
                <w:sz w:val="20"/>
              </w:rPr>
              <w:t>Motivation</w:t>
            </w:r>
          </w:p>
        </w:tc>
        <w:tc>
          <w:tcPr>
            <w:tcW w:w="2412" w:type="dxa"/>
          </w:tcPr>
          <w:p w14:paraId="59035D25" w14:textId="77777777" w:rsidR="00690018" w:rsidRDefault="0020184D">
            <w:pPr>
              <w:spacing w:after="40"/>
              <w:jc w:val="left"/>
            </w:pPr>
            <w:r>
              <w:rPr>
                <w:sz w:val="20"/>
              </w:rPr>
              <w:t>Maintaining commitment and purpose.</w:t>
            </w:r>
          </w:p>
        </w:tc>
        <w:tc>
          <w:tcPr>
            <w:tcW w:w="2412" w:type="dxa"/>
          </w:tcPr>
          <w:p w14:paraId="71193685" w14:textId="77777777" w:rsidR="00690018" w:rsidRDefault="0020184D">
            <w:pPr>
              <w:spacing w:after="40"/>
              <w:jc w:val="left"/>
            </w:pPr>
            <w:r>
              <w:rPr>
                <w:sz w:val="20"/>
              </w:rPr>
              <w:t>Persisting with development and team goals despite obstacles.</w:t>
            </w:r>
          </w:p>
        </w:tc>
        <w:tc>
          <w:tcPr>
            <w:tcW w:w="2412" w:type="dxa"/>
          </w:tcPr>
          <w:p w14:paraId="6F4D839A" w14:textId="77777777" w:rsidR="00690018" w:rsidRDefault="0020184D">
            <w:pPr>
              <w:spacing w:after="40"/>
              <w:jc w:val="left"/>
            </w:pPr>
            <w:r>
              <w:rPr>
                <w:sz w:val="20"/>
              </w:rPr>
              <w:t>Higher resilience and performance consistency.</w:t>
            </w:r>
          </w:p>
        </w:tc>
      </w:tr>
      <w:tr w:rsidR="00690018" w14:paraId="59A65639" w14:textId="77777777">
        <w:trPr>
          <w:jc w:val="center"/>
        </w:trPr>
        <w:tc>
          <w:tcPr>
            <w:tcW w:w="2412" w:type="dxa"/>
          </w:tcPr>
          <w:p w14:paraId="27F5D963" w14:textId="77777777" w:rsidR="00690018" w:rsidRDefault="0020184D">
            <w:pPr>
              <w:spacing w:after="40"/>
              <w:jc w:val="left"/>
            </w:pPr>
            <w:r>
              <w:rPr>
                <w:sz w:val="20"/>
              </w:rPr>
              <w:t>Empathy</w:t>
            </w:r>
          </w:p>
        </w:tc>
        <w:tc>
          <w:tcPr>
            <w:tcW w:w="2412" w:type="dxa"/>
          </w:tcPr>
          <w:p w14:paraId="1DA179F1" w14:textId="77777777" w:rsidR="00690018" w:rsidRDefault="0020184D">
            <w:pPr>
              <w:spacing w:after="40"/>
              <w:jc w:val="left"/>
            </w:pPr>
            <w:r>
              <w:rPr>
                <w:sz w:val="20"/>
              </w:rPr>
              <w:t>Understanding other perspectives.</w:t>
            </w:r>
          </w:p>
        </w:tc>
        <w:tc>
          <w:tcPr>
            <w:tcW w:w="2412" w:type="dxa"/>
          </w:tcPr>
          <w:p w14:paraId="56CFD742" w14:textId="77777777" w:rsidR="00690018" w:rsidRDefault="0020184D">
            <w:pPr>
              <w:spacing w:after="40"/>
              <w:jc w:val="left"/>
            </w:pPr>
            <w:r>
              <w:rPr>
                <w:sz w:val="20"/>
              </w:rPr>
              <w:t>Listening to colleague concerns and customer needs.</w:t>
            </w:r>
          </w:p>
        </w:tc>
        <w:tc>
          <w:tcPr>
            <w:tcW w:w="2412" w:type="dxa"/>
          </w:tcPr>
          <w:p w14:paraId="7E81EE77" w14:textId="77777777" w:rsidR="00690018" w:rsidRDefault="0020184D">
            <w:pPr>
              <w:spacing w:after="40"/>
              <w:jc w:val="left"/>
            </w:pPr>
            <w:r>
              <w:rPr>
                <w:sz w:val="20"/>
              </w:rPr>
              <w:t>Higher trust, inclusion and engagement.</w:t>
            </w:r>
          </w:p>
        </w:tc>
      </w:tr>
      <w:tr w:rsidR="00690018" w14:paraId="3050A889" w14:textId="77777777">
        <w:trPr>
          <w:jc w:val="center"/>
        </w:trPr>
        <w:tc>
          <w:tcPr>
            <w:tcW w:w="2412" w:type="dxa"/>
          </w:tcPr>
          <w:p w14:paraId="5D46A072" w14:textId="77777777" w:rsidR="00690018" w:rsidRDefault="0020184D">
            <w:pPr>
              <w:spacing w:after="40"/>
              <w:jc w:val="left"/>
            </w:pPr>
            <w:r>
              <w:rPr>
                <w:sz w:val="20"/>
              </w:rPr>
              <w:t>Social skills</w:t>
            </w:r>
          </w:p>
        </w:tc>
        <w:tc>
          <w:tcPr>
            <w:tcW w:w="2412" w:type="dxa"/>
          </w:tcPr>
          <w:p w14:paraId="79862A26" w14:textId="77777777" w:rsidR="00690018" w:rsidRDefault="0020184D">
            <w:pPr>
              <w:spacing w:after="40"/>
              <w:jc w:val="left"/>
            </w:pPr>
            <w:r>
              <w:rPr>
                <w:sz w:val="20"/>
              </w:rPr>
              <w:t>Building relationships and coordinating work.</w:t>
            </w:r>
          </w:p>
        </w:tc>
        <w:tc>
          <w:tcPr>
            <w:tcW w:w="2412" w:type="dxa"/>
          </w:tcPr>
          <w:p w14:paraId="2B0BF3DC" w14:textId="77777777" w:rsidR="00690018" w:rsidRDefault="0020184D">
            <w:pPr>
              <w:spacing w:after="40"/>
              <w:jc w:val="left"/>
            </w:pPr>
            <w:r>
              <w:rPr>
                <w:sz w:val="20"/>
              </w:rPr>
              <w:t>Giving feedback, negotiating and solving problems collaboratively.</w:t>
            </w:r>
          </w:p>
        </w:tc>
        <w:tc>
          <w:tcPr>
            <w:tcW w:w="2412" w:type="dxa"/>
          </w:tcPr>
          <w:p w14:paraId="049702BC" w14:textId="77777777" w:rsidR="00690018" w:rsidRDefault="0020184D">
            <w:pPr>
              <w:spacing w:after="40"/>
              <w:jc w:val="left"/>
            </w:pPr>
            <w:r>
              <w:rPr>
                <w:sz w:val="20"/>
              </w:rPr>
              <w:t>Stronger teamwork and productivity.</w:t>
            </w:r>
          </w:p>
        </w:tc>
      </w:tr>
    </w:tbl>
    <w:p w14:paraId="215E5920" w14:textId="77777777" w:rsidR="00690018" w:rsidRDefault="0020184D">
      <w:pPr>
        <w:jc w:val="center"/>
      </w:pPr>
      <w:r>
        <w:rPr>
          <w:i/>
          <w:sz w:val="18"/>
        </w:rPr>
        <w:t>Source: Author’s own analysis based on Goleman (1998), Côté (2014) and Bar-On (2006).</w:t>
      </w:r>
    </w:p>
    <w:p w14:paraId="3B8DF3CC" w14:textId="77777777" w:rsidR="00690018" w:rsidRDefault="0020184D">
      <w:pPr>
        <w:pStyle w:val="Heading2"/>
        <w:jc w:val="left"/>
      </w:pPr>
      <w:r>
        <w:t>2.4 Communication, Conflict Management and Decision-Making</w:t>
      </w:r>
    </w:p>
    <w:p w14:paraId="4FCEA469" w14:textId="77777777" w:rsidR="00690018" w:rsidRDefault="0020184D">
      <w:r>
        <w:t>Effective communication requires emotional accuracy as well as clear information. Mayer, Salovey and Caruso’s Ability Model is useful here because employees must perceive emotional cues, understand what those cues may mean and manage their own responses (Mayer, Salovey and Caruso, 2004). In meetings, an emotionally intelligent employee does not only speak clearly; they also notice confusion, irritation or silence in the group and adjust the conversation. This may involve asking open questions, summarising a</w:t>
      </w:r>
      <w:r>
        <w:t>greement or checking whether a colleague has been misunderstood. Such behaviour improves the accuracy and fairness of communication.</w:t>
      </w:r>
    </w:p>
    <w:p w14:paraId="45863F0A" w14:textId="77777777" w:rsidR="00690018" w:rsidRDefault="0020184D">
      <w:r>
        <w:lastRenderedPageBreak/>
        <w:t>Conflict management is another major workplace application of EI. Conflict is not always negative, because disagreement can reveal problems and generate better ideas. The risk is that task disagreement becomes personal conflict. Self-regulation helps employees avoid aggressive responses, while empathy helps them understand the interest behind another person’s position. Social skills then support negotiation and collaborative problem solving. Sharma, Dhanta and Sharma (2024) link EI with workplace conflict r</w:t>
      </w:r>
      <w:r>
        <w:t>esolution because emotionally skilled employees are more able to control reactions and preserve relationships. However, EI should not mean avoiding difficult issues. A psychologically safe organisation still needs honest discussion, accountability and clear standards.</w:t>
      </w:r>
    </w:p>
    <w:p w14:paraId="4A2D35E1" w14:textId="77777777" w:rsidR="00690018" w:rsidRDefault="0020184D">
      <w:r>
        <w:t>EI and mindfulness also contribute to decision-making. Mindfulness can reduce automatic judgement and cognitive bias by allowing employees and managers to examine information more calmly. For example, a manager dealing with a performance issue may use mindfulness to separate facts from irritation and then make a fairer decision. However, mindfulness does not make decisions automatically objective. Good decision-making still requires evidence, consultation, consistent rules and awareness of power relationshi</w:t>
      </w:r>
      <w:r>
        <w:t>ps. Therefore, EI should be treated as a decision-support capability rather than a replacement for formal organisational processes.</w:t>
      </w:r>
    </w:p>
    <w:p w14:paraId="4378CB02" w14:textId="77777777" w:rsidR="00690018" w:rsidRDefault="0020184D">
      <w:pPr>
        <w:pStyle w:val="Heading2"/>
        <w:jc w:val="left"/>
      </w:pPr>
      <w:r>
        <w:t>2.5 Leadership, Psychological Safety and Limitations</w:t>
      </w:r>
    </w:p>
    <w:p w14:paraId="0C10F681" w14:textId="77777777" w:rsidR="00690018" w:rsidRDefault="0020184D">
      <w:r>
        <w:t>Leadership is one of the strongest areas of EI application. Emotionally intelligent leaders shape team climate through their communication, reactions to mistakes and fairness in decision-making. Goleman’s model is particularly useful because self-awareness and self-regulation prevent leaders from transferring pressure onto their teams, while empathy and social skills support trust and motivation (Goleman, 1998). Recent reviews also connect EI with leadership effectiveness and team functioning because emotio</w:t>
      </w:r>
      <w:r>
        <w:t>nally skilled leaders are better able to manage relationships and influence group climate (Maldonado and Márquez, 2023). Leaders who practise mindfulness are more likely to respond thoughtfully during pressure and less likely to create fear through unpredictable reactions.</w:t>
      </w:r>
    </w:p>
    <w:p w14:paraId="01CD6020" w14:textId="77777777" w:rsidR="00690018" w:rsidRDefault="0020184D">
      <w:r>
        <w:t>This connects directly to psychological safety. Edmondson (1999) defines team psychological safety as a shared belief that a team is safe for interpersonal risk taking. In practice, this means employees can ask questions, admit errors, challenge assumptions and contribute ideas without fear of humiliation or punishment. EI supports this environment because leaders and employees become more capable of listening, regulating emotions and responding constructively to disagreement. Psychological safety is especi</w:t>
      </w:r>
      <w:r>
        <w:t>ally important in modern organisations because innovation, learning and problem-solving require people to speak up.</w:t>
      </w:r>
    </w:p>
    <w:p w14:paraId="3EED5403" w14:textId="77777777" w:rsidR="00690018" w:rsidRDefault="0020184D">
      <w:r>
        <w:lastRenderedPageBreak/>
        <w:t xml:space="preserve">The limitation is that EI can be misused if organisations treat it as an individual cure for structural problems. A leader may be empathetic, but if staffing is too low or targets are unrealistic, employee well-being will still suffer. Similarly, mindfulness may help employees manage stress, but it should not be used to normalise excessive pressure. The strongest organisational approach is therefore integrated: develop EI and mindfulness while also improving communication systems, fair workload allocation, </w:t>
      </w:r>
      <w:r>
        <w:t>inclusive leadership training and employee voice mechanisms.</w:t>
      </w:r>
    </w:p>
    <w:p w14:paraId="31BCCD43" w14:textId="77777777" w:rsidR="00690018" w:rsidRDefault="0020184D">
      <w:pPr>
        <w:pStyle w:val="Heading1"/>
        <w:jc w:val="left"/>
      </w:pPr>
      <w:r>
        <w:t>3. Task 2: Managing a Multigenerational Workforce</w:t>
      </w:r>
    </w:p>
    <w:p w14:paraId="331B4979" w14:textId="77777777" w:rsidR="00690018" w:rsidRDefault="0020184D">
      <w:pPr>
        <w:pStyle w:val="Heading2"/>
        <w:jc w:val="left"/>
      </w:pPr>
      <w:r>
        <w:t>3.1 Generational Diversity and Critical Caution</w:t>
      </w:r>
    </w:p>
    <w:p w14:paraId="38DE8165" w14:textId="77777777" w:rsidR="00690018" w:rsidRDefault="0020184D">
      <w:r>
        <w:t>Modern organisations often employ members of Generation X, Generation Y (Millennials) and Generation Z at the same time. This creates opportunities for learning, innovation and knowledge transfer, but it can also create tension around communication, technology, motivation and expectations of leadership. Generational analysis can therefore be a useful starting point for managers. However, it should be used carefully. Costanza et al. (2012) found that many generational differences in work attitudes are smalle</w:t>
      </w:r>
      <w:r>
        <w:t>r than popular management discussions suggest. Rudolph et al. (2021) also argue that organisational practice often exaggerates generational differences and turns them into stereotypes.</w:t>
      </w:r>
    </w:p>
    <w:p w14:paraId="4B16E2BF" w14:textId="77777777" w:rsidR="00690018" w:rsidRDefault="0020184D">
      <w:r>
        <w:t>This critical caution is important because age group does not determine an employee’s behaviour. Personality, occupation, education, culture, family responsibilities, career stage and organisational experience can be just as important. Therefore, managers should not assume that all Gen X employees resist change, all Millennials need constant praise or all Gen Z employees only want digital communication. EI is important because it helps managers notice individual needs instead of relying only on generational</w:t>
      </w:r>
      <w:r>
        <w:t xml:space="preserve"> labels. Mindfulness supports this by reducing automatic assumptions and encouraging more reflective judgement.</w:t>
      </w:r>
    </w:p>
    <w:p w14:paraId="4805982C" w14:textId="77777777" w:rsidR="00690018" w:rsidRDefault="0020184D">
      <w:pPr>
        <w:pStyle w:val="Heading2"/>
        <w:jc w:val="left"/>
      </w:pPr>
      <w:r>
        <w:t>3.2 Generation X, Generation Y and Generation Z</w:t>
      </w:r>
    </w:p>
    <w:p w14:paraId="19ABA136" w14:textId="77777777" w:rsidR="00690018" w:rsidRDefault="0020184D">
      <w:r>
        <w:t>Generation X is often associated with independence, practical problem solving and a preference for autonomy. Many Gen X employees entered work during periods of restructuring and economic uncertainty, which may explain why stability, competence and self-reliance are commonly emphasised. In the workplace, they may value clear expectations, respect for experience and freedom to complete work without excessive supervision. However, it would be inaccurate to describe this generation simply as resistant to chang</w:t>
      </w:r>
      <w:r>
        <w:t>e. Many experienced workers adapt effectively when change is well explained, properly resourced and linked to operational logic.</w:t>
      </w:r>
    </w:p>
    <w:p w14:paraId="68544432" w14:textId="77777777" w:rsidR="00690018" w:rsidRDefault="0020184D">
      <w:r>
        <w:lastRenderedPageBreak/>
        <w:t>Generation Y, usually described as Millennials, is commonly linked with development, meaningful work, teamwork and regular feedback. Many Millennials experienced a labour market where employability depended on continuous skill development rather than a single long-term career path. They may therefore value coaching, career progression, flexibility and organisational values. From a management perspective, this can increase engagement and innovation. The risk is that if organisations provide limited developme</w:t>
      </w:r>
      <w:r>
        <w:t>nt opportunities, Millennials may become disengaged. However, lower loyalty should not be interpreted as a personality weakness; it may reflect poor progression, weak leadership or a mismatch between expectations and organisational reality.</w:t>
      </w:r>
    </w:p>
    <w:p w14:paraId="03C9191F" w14:textId="77777777" w:rsidR="00690018" w:rsidRDefault="0020184D">
      <w:r>
        <w:t>Generation Z is usually described as digitally fluent, fast-moving and highly aware of inclusion, flexibility and technology. Many Gen Z employees have grown up with constant access to information and may expect rapid feedback and efficient digital systems. This can add value because digital confidence can improve communication, learning and problem solving. However, Gen Z employees may also need support in adapting to formal workplace expectations, complex face-to-face conflict and long-term career resilie</w:t>
      </w:r>
      <w:r>
        <w:t>nce. Managers should therefore combine digital tools with coaching, psychological safety and clear professional standards.</w:t>
      </w:r>
    </w:p>
    <w:p w14:paraId="54D55D67" w14:textId="77777777" w:rsidR="00690018" w:rsidRDefault="0020184D">
      <w:pPr>
        <w:jc w:val="center"/>
      </w:pPr>
      <w:r>
        <w:rPr>
          <w:i/>
          <w:sz w:val="22"/>
        </w:rPr>
        <w:t>Table 3: Generational Workforce Characteristics and Management Implications</w:t>
      </w:r>
    </w:p>
    <w:tbl>
      <w:tblPr>
        <w:tblStyle w:val="TableGrid"/>
        <w:tblW w:w="0" w:type="auto"/>
        <w:jc w:val="center"/>
        <w:tblLook w:val="04A0" w:firstRow="1" w:lastRow="0" w:firstColumn="1" w:lastColumn="0" w:noHBand="0" w:noVBand="1"/>
      </w:tblPr>
      <w:tblGrid>
        <w:gridCol w:w="1930"/>
        <w:gridCol w:w="1930"/>
        <w:gridCol w:w="1930"/>
        <w:gridCol w:w="1930"/>
        <w:gridCol w:w="1930"/>
      </w:tblGrid>
      <w:tr w:rsidR="00690018" w14:paraId="2D59AE08" w14:textId="77777777">
        <w:trPr>
          <w:jc w:val="center"/>
        </w:trPr>
        <w:tc>
          <w:tcPr>
            <w:tcW w:w="1930" w:type="dxa"/>
            <w:shd w:val="clear" w:color="auto" w:fill="D9EAD3"/>
          </w:tcPr>
          <w:p w14:paraId="186D1987" w14:textId="77777777" w:rsidR="00690018" w:rsidRDefault="0020184D">
            <w:pPr>
              <w:spacing w:after="40"/>
              <w:jc w:val="left"/>
            </w:pPr>
            <w:r>
              <w:rPr>
                <w:b/>
                <w:sz w:val="20"/>
              </w:rPr>
              <w:t>Generation</w:t>
            </w:r>
          </w:p>
        </w:tc>
        <w:tc>
          <w:tcPr>
            <w:tcW w:w="1930" w:type="dxa"/>
            <w:shd w:val="clear" w:color="auto" w:fill="D9EAD3"/>
          </w:tcPr>
          <w:p w14:paraId="2C79131B" w14:textId="77777777" w:rsidR="00690018" w:rsidRDefault="0020184D">
            <w:pPr>
              <w:spacing w:after="40"/>
              <w:jc w:val="left"/>
            </w:pPr>
            <w:r>
              <w:rPr>
                <w:b/>
                <w:sz w:val="20"/>
              </w:rPr>
              <w:t>Common Expectations</w:t>
            </w:r>
          </w:p>
        </w:tc>
        <w:tc>
          <w:tcPr>
            <w:tcW w:w="1930" w:type="dxa"/>
            <w:shd w:val="clear" w:color="auto" w:fill="D9EAD3"/>
          </w:tcPr>
          <w:p w14:paraId="3BDEBC17" w14:textId="77777777" w:rsidR="00690018" w:rsidRDefault="0020184D">
            <w:pPr>
              <w:spacing w:after="40"/>
              <w:jc w:val="left"/>
            </w:pPr>
            <w:r>
              <w:rPr>
                <w:b/>
                <w:sz w:val="20"/>
              </w:rPr>
              <w:t>Communication Tendency</w:t>
            </w:r>
          </w:p>
        </w:tc>
        <w:tc>
          <w:tcPr>
            <w:tcW w:w="1930" w:type="dxa"/>
            <w:shd w:val="clear" w:color="auto" w:fill="D9EAD3"/>
          </w:tcPr>
          <w:p w14:paraId="6AE28A8E" w14:textId="77777777" w:rsidR="00690018" w:rsidRDefault="0020184D">
            <w:pPr>
              <w:spacing w:after="40"/>
              <w:jc w:val="left"/>
            </w:pPr>
            <w:r>
              <w:rPr>
                <w:b/>
                <w:sz w:val="20"/>
              </w:rPr>
              <w:t>Risk if Mismanaged</w:t>
            </w:r>
          </w:p>
        </w:tc>
        <w:tc>
          <w:tcPr>
            <w:tcW w:w="1930" w:type="dxa"/>
            <w:shd w:val="clear" w:color="auto" w:fill="D9EAD3"/>
          </w:tcPr>
          <w:p w14:paraId="0FEA5F60" w14:textId="77777777" w:rsidR="00690018" w:rsidRDefault="0020184D">
            <w:pPr>
              <w:spacing w:after="40"/>
              <w:jc w:val="left"/>
            </w:pPr>
            <w:r>
              <w:rPr>
                <w:b/>
                <w:sz w:val="20"/>
              </w:rPr>
              <w:t>EI-Based Management Response</w:t>
            </w:r>
          </w:p>
        </w:tc>
      </w:tr>
      <w:tr w:rsidR="00690018" w14:paraId="7C4D4CA9" w14:textId="77777777">
        <w:trPr>
          <w:jc w:val="center"/>
        </w:trPr>
        <w:tc>
          <w:tcPr>
            <w:tcW w:w="1930" w:type="dxa"/>
          </w:tcPr>
          <w:p w14:paraId="64763FAC" w14:textId="77777777" w:rsidR="00690018" w:rsidRDefault="0020184D">
            <w:pPr>
              <w:spacing w:after="40"/>
              <w:jc w:val="left"/>
            </w:pPr>
            <w:r>
              <w:rPr>
                <w:sz w:val="20"/>
              </w:rPr>
              <w:t>Generation X</w:t>
            </w:r>
          </w:p>
        </w:tc>
        <w:tc>
          <w:tcPr>
            <w:tcW w:w="1930" w:type="dxa"/>
          </w:tcPr>
          <w:p w14:paraId="2775905D" w14:textId="77777777" w:rsidR="00690018" w:rsidRDefault="0020184D">
            <w:pPr>
              <w:spacing w:after="40"/>
              <w:jc w:val="left"/>
            </w:pPr>
            <w:r>
              <w:rPr>
                <w:sz w:val="20"/>
              </w:rPr>
              <w:t>Autonomy, stability, respect for experience and clear structure.</w:t>
            </w:r>
          </w:p>
        </w:tc>
        <w:tc>
          <w:tcPr>
            <w:tcW w:w="1930" w:type="dxa"/>
          </w:tcPr>
          <w:p w14:paraId="64300252" w14:textId="77777777" w:rsidR="00690018" w:rsidRDefault="0020184D">
            <w:pPr>
              <w:spacing w:after="40"/>
              <w:jc w:val="left"/>
            </w:pPr>
            <w:r>
              <w:rPr>
                <w:sz w:val="20"/>
              </w:rPr>
              <w:t>Often values direct, clear and practical communication.</w:t>
            </w:r>
          </w:p>
        </w:tc>
        <w:tc>
          <w:tcPr>
            <w:tcW w:w="1930" w:type="dxa"/>
          </w:tcPr>
          <w:p w14:paraId="20D5E905" w14:textId="77777777" w:rsidR="00690018" w:rsidRDefault="0020184D">
            <w:pPr>
              <w:spacing w:after="40"/>
              <w:jc w:val="left"/>
            </w:pPr>
            <w:r>
              <w:rPr>
                <w:sz w:val="20"/>
              </w:rPr>
              <w:t>May feel ignored if experience is undervalued or change lacks explanation.</w:t>
            </w:r>
          </w:p>
        </w:tc>
        <w:tc>
          <w:tcPr>
            <w:tcW w:w="1930" w:type="dxa"/>
          </w:tcPr>
          <w:p w14:paraId="49592781" w14:textId="77777777" w:rsidR="00690018" w:rsidRDefault="0020184D">
            <w:pPr>
              <w:spacing w:after="40"/>
              <w:jc w:val="left"/>
            </w:pPr>
            <w:r>
              <w:rPr>
                <w:sz w:val="20"/>
              </w:rPr>
              <w:t>Use respect, rational communication and involvement in change.</w:t>
            </w:r>
          </w:p>
        </w:tc>
      </w:tr>
      <w:tr w:rsidR="00690018" w14:paraId="0AAC6FF4" w14:textId="77777777">
        <w:trPr>
          <w:jc w:val="center"/>
        </w:trPr>
        <w:tc>
          <w:tcPr>
            <w:tcW w:w="1930" w:type="dxa"/>
          </w:tcPr>
          <w:p w14:paraId="3C82F691" w14:textId="77777777" w:rsidR="00690018" w:rsidRDefault="0020184D">
            <w:pPr>
              <w:spacing w:after="40"/>
              <w:jc w:val="left"/>
            </w:pPr>
            <w:r>
              <w:rPr>
                <w:sz w:val="20"/>
              </w:rPr>
              <w:t>Generation Y / Millennials</w:t>
            </w:r>
          </w:p>
        </w:tc>
        <w:tc>
          <w:tcPr>
            <w:tcW w:w="1930" w:type="dxa"/>
          </w:tcPr>
          <w:p w14:paraId="0739E63B" w14:textId="77777777" w:rsidR="00690018" w:rsidRDefault="0020184D">
            <w:pPr>
              <w:spacing w:after="40"/>
              <w:jc w:val="left"/>
            </w:pPr>
            <w:r>
              <w:rPr>
                <w:sz w:val="20"/>
              </w:rPr>
              <w:t>Growth, purpose, feedback, teamwork and flexibility.</w:t>
            </w:r>
          </w:p>
        </w:tc>
        <w:tc>
          <w:tcPr>
            <w:tcW w:w="1930" w:type="dxa"/>
          </w:tcPr>
          <w:p w14:paraId="534218D5" w14:textId="77777777" w:rsidR="00690018" w:rsidRDefault="0020184D">
            <w:pPr>
              <w:spacing w:after="40"/>
              <w:jc w:val="left"/>
            </w:pPr>
            <w:r>
              <w:rPr>
                <w:sz w:val="20"/>
              </w:rPr>
              <w:t>Often comfortable with collaborative and regular communication.</w:t>
            </w:r>
          </w:p>
        </w:tc>
        <w:tc>
          <w:tcPr>
            <w:tcW w:w="1930" w:type="dxa"/>
          </w:tcPr>
          <w:p w14:paraId="29BF9473" w14:textId="77777777" w:rsidR="00690018" w:rsidRDefault="0020184D">
            <w:pPr>
              <w:spacing w:after="40"/>
              <w:jc w:val="left"/>
            </w:pPr>
            <w:r>
              <w:rPr>
                <w:sz w:val="20"/>
              </w:rPr>
              <w:t>May disengage if development and feedback are limited.</w:t>
            </w:r>
          </w:p>
        </w:tc>
        <w:tc>
          <w:tcPr>
            <w:tcW w:w="1930" w:type="dxa"/>
          </w:tcPr>
          <w:p w14:paraId="35AEB6ED" w14:textId="77777777" w:rsidR="00690018" w:rsidRDefault="0020184D">
            <w:pPr>
              <w:spacing w:after="40"/>
              <w:jc w:val="left"/>
            </w:pPr>
            <w:r>
              <w:rPr>
                <w:sz w:val="20"/>
              </w:rPr>
              <w:t>Use coaching, empathy and transparent career conversations.</w:t>
            </w:r>
          </w:p>
        </w:tc>
      </w:tr>
      <w:tr w:rsidR="00690018" w14:paraId="121609F9" w14:textId="77777777">
        <w:trPr>
          <w:jc w:val="center"/>
        </w:trPr>
        <w:tc>
          <w:tcPr>
            <w:tcW w:w="1930" w:type="dxa"/>
          </w:tcPr>
          <w:p w14:paraId="144F8C8E" w14:textId="77777777" w:rsidR="00690018" w:rsidRDefault="0020184D">
            <w:pPr>
              <w:spacing w:after="40"/>
              <w:jc w:val="left"/>
            </w:pPr>
            <w:r>
              <w:rPr>
                <w:sz w:val="20"/>
              </w:rPr>
              <w:t>Generation Z</w:t>
            </w:r>
          </w:p>
        </w:tc>
        <w:tc>
          <w:tcPr>
            <w:tcW w:w="1930" w:type="dxa"/>
          </w:tcPr>
          <w:p w14:paraId="4ACFDDCE" w14:textId="77777777" w:rsidR="00690018" w:rsidRDefault="0020184D">
            <w:pPr>
              <w:spacing w:after="40"/>
              <w:jc w:val="left"/>
            </w:pPr>
            <w:r>
              <w:rPr>
                <w:sz w:val="20"/>
              </w:rPr>
              <w:t>Digital efficiency, inclusion, flexibility and rapid feedback.</w:t>
            </w:r>
          </w:p>
        </w:tc>
        <w:tc>
          <w:tcPr>
            <w:tcW w:w="1930" w:type="dxa"/>
          </w:tcPr>
          <w:p w14:paraId="237D06D9" w14:textId="77777777" w:rsidR="00690018" w:rsidRDefault="0020184D">
            <w:pPr>
              <w:spacing w:after="40"/>
              <w:jc w:val="left"/>
            </w:pPr>
            <w:r>
              <w:rPr>
                <w:sz w:val="20"/>
              </w:rPr>
              <w:t>Often prefers fast digital communication but still needs human support.</w:t>
            </w:r>
          </w:p>
        </w:tc>
        <w:tc>
          <w:tcPr>
            <w:tcW w:w="1930" w:type="dxa"/>
          </w:tcPr>
          <w:p w14:paraId="0E7C7299" w14:textId="77777777" w:rsidR="00690018" w:rsidRDefault="0020184D">
            <w:pPr>
              <w:spacing w:after="40"/>
              <w:jc w:val="left"/>
            </w:pPr>
            <w:r>
              <w:rPr>
                <w:sz w:val="20"/>
              </w:rPr>
              <w:t>May feel frustrated by slow systems or unclear progression.</w:t>
            </w:r>
          </w:p>
        </w:tc>
        <w:tc>
          <w:tcPr>
            <w:tcW w:w="1930" w:type="dxa"/>
          </w:tcPr>
          <w:p w14:paraId="57452129" w14:textId="77777777" w:rsidR="00690018" w:rsidRDefault="0020184D">
            <w:pPr>
              <w:spacing w:after="40"/>
              <w:jc w:val="left"/>
            </w:pPr>
            <w:r>
              <w:rPr>
                <w:sz w:val="20"/>
              </w:rPr>
              <w:t>Use adaptive leadership, mentoring and psychological safety.</w:t>
            </w:r>
          </w:p>
        </w:tc>
      </w:tr>
    </w:tbl>
    <w:p w14:paraId="72895465" w14:textId="77777777" w:rsidR="00690018" w:rsidRDefault="0020184D">
      <w:pPr>
        <w:jc w:val="center"/>
      </w:pPr>
      <w:r>
        <w:rPr>
          <w:i/>
          <w:sz w:val="18"/>
        </w:rPr>
        <w:t>Source: Author’s own analysis based on Twenge (2010), Lyons and Kuron (2014), Schroth (2019) and Rudolph et al. (2021).</w:t>
      </w:r>
    </w:p>
    <w:p w14:paraId="197796B6" w14:textId="77777777" w:rsidR="00690018" w:rsidRDefault="0020184D">
      <w:pPr>
        <w:pStyle w:val="Heading2"/>
        <w:jc w:val="left"/>
      </w:pPr>
      <w:r>
        <w:lastRenderedPageBreak/>
        <w:t>3.3 Recruitment, Management and Retention Strategies</w:t>
      </w:r>
    </w:p>
    <w:p w14:paraId="1BDD8CE0" w14:textId="77777777" w:rsidR="00690018" w:rsidRDefault="0020184D">
      <w:r>
        <w:t>Recruitment is a key area where EI and mindfulness can reduce bias. Emotionally intelligent recruiters are more likely to recognise unconscious assumptions about age, communication style or technological ability. Mindfulness supports this by helping recruiters slow down judgement and focus on evidence. Practical recruitment strategies include neutral job adverts, structured interview questions, scoring criteria and realistic job previews. For Generation X, adverts can emphasise stability, responsibility and</w:t>
      </w:r>
      <w:r>
        <w:t xml:space="preserve"> the value of experience. For Millennials, development and meaningful contribution may be important. For Generation Z, digital recruitment platforms, rapid communication and visible inclusion may improve attraction. However, selection decisions should always be based on skills, potential and evidence, not generational stereotypes.</w:t>
      </w:r>
    </w:p>
    <w:p w14:paraId="1D722F2A" w14:textId="77777777" w:rsidR="00690018" w:rsidRDefault="0020184D">
      <w:r>
        <w:t xml:space="preserve">Management requires adaptation without unfair treatment. A manager can use EI to understand how employees prefer to receive feedback, how they respond to pressure and what motivates them. This does not mean giving every generation completely different rules. Rather, the manager should keep standards consistent while adapting communication and support. For example, a Gen X employee may appreciate autonomy and direct updates, a Millennial may value coaching conversations and a Gen Z employee may benefit from </w:t>
      </w:r>
      <w:r>
        <w:t>short, regular feedback and digital learning tools. Cross-generational mentoring can also be effective: experienced employees share organisational knowledge, while younger employees support digital learning and fresh perspectives.</w:t>
      </w:r>
    </w:p>
    <w:p w14:paraId="4088242B" w14:textId="77777777" w:rsidR="00690018" w:rsidRDefault="0020184D">
      <w:r>
        <w:t>Retention depends on whether employees feel respected, developed and fairly treated. EI contributes to retention by helping managers identify early signs of disengagement, listen to concerns and respond before employees leave. Mindfulness supports retention by reducing reactive management and improving attention to employee voice. Strategies should include career pathways for all age groups, upskilling opportunities, flexible working where operationally possible, fair promotion criteria and recognition of c</w:t>
      </w:r>
      <w:r>
        <w:t>ontribution. The key point is that inclusion means recognising difference while avoiding age-based assumptions.</w:t>
      </w:r>
    </w:p>
    <w:p w14:paraId="41E04B28" w14:textId="77777777" w:rsidR="00690018" w:rsidRDefault="0020184D">
      <w:pPr>
        <w:jc w:val="center"/>
      </w:pPr>
      <w:r>
        <w:rPr>
          <w:i/>
          <w:sz w:val="22"/>
        </w:rPr>
        <w:t>Table 4: Recruitment, Management and Retention Strategies</w:t>
      </w:r>
    </w:p>
    <w:tbl>
      <w:tblPr>
        <w:tblStyle w:val="TableGrid"/>
        <w:tblW w:w="0" w:type="auto"/>
        <w:jc w:val="center"/>
        <w:tblLook w:val="04A0" w:firstRow="1" w:lastRow="0" w:firstColumn="1" w:lastColumn="0" w:noHBand="0" w:noVBand="1"/>
      </w:tblPr>
      <w:tblGrid>
        <w:gridCol w:w="2412"/>
        <w:gridCol w:w="2412"/>
        <w:gridCol w:w="2412"/>
        <w:gridCol w:w="2412"/>
      </w:tblGrid>
      <w:tr w:rsidR="00690018" w14:paraId="54250979" w14:textId="77777777">
        <w:trPr>
          <w:jc w:val="center"/>
        </w:trPr>
        <w:tc>
          <w:tcPr>
            <w:tcW w:w="2412" w:type="dxa"/>
            <w:shd w:val="clear" w:color="auto" w:fill="FCE4D6"/>
          </w:tcPr>
          <w:p w14:paraId="54B00696" w14:textId="77777777" w:rsidR="00690018" w:rsidRDefault="0020184D">
            <w:pPr>
              <w:spacing w:after="40"/>
              <w:jc w:val="left"/>
            </w:pPr>
            <w:r>
              <w:rPr>
                <w:b/>
                <w:sz w:val="20"/>
              </w:rPr>
              <w:t>Area</w:t>
            </w:r>
          </w:p>
        </w:tc>
        <w:tc>
          <w:tcPr>
            <w:tcW w:w="2412" w:type="dxa"/>
            <w:shd w:val="clear" w:color="auto" w:fill="FCE4D6"/>
          </w:tcPr>
          <w:p w14:paraId="7FF98626" w14:textId="77777777" w:rsidR="00690018" w:rsidRDefault="0020184D">
            <w:pPr>
              <w:spacing w:after="40"/>
              <w:jc w:val="left"/>
            </w:pPr>
            <w:r>
              <w:rPr>
                <w:b/>
                <w:sz w:val="20"/>
              </w:rPr>
              <w:t>Risk</w:t>
            </w:r>
          </w:p>
        </w:tc>
        <w:tc>
          <w:tcPr>
            <w:tcW w:w="2412" w:type="dxa"/>
            <w:shd w:val="clear" w:color="auto" w:fill="FCE4D6"/>
          </w:tcPr>
          <w:p w14:paraId="229C61F5" w14:textId="77777777" w:rsidR="00690018" w:rsidRDefault="0020184D">
            <w:pPr>
              <w:spacing w:after="40"/>
              <w:jc w:val="left"/>
            </w:pPr>
            <w:r>
              <w:rPr>
                <w:b/>
                <w:sz w:val="20"/>
              </w:rPr>
              <w:t>EI and Mindfulness Strategy</w:t>
            </w:r>
          </w:p>
        </w:tc>
        <w:tc>
          <w:tcPr>
            <w:tcW w:w="2412" w:type="dxa"/>
            <w:shd w:val="clear" w:color="auto" w:fill="FCE4D6"/>
          </w:tcPr>
          <w:p w14:paraId="6466BB1C" w14:textId="77777777" w:rsidR="00690018" w:rsidRDefault="0020184D">
            <w:pPr>
              <w:spacing w:after="40"/>
              <w:jc w:val="left"/>
            </w:pPr>
            <w:r>
              <w:rPr>
                <w:b/>
                <w:sz w:val="20"/>
              </w:rPr>
              <w:t>Expected Organisational Benefit</w:t>
            </w:r>
          </w:p>
        </w:tc>
      </w:tr>
      <w:tr w:rsidR="00690018" w14:paraId="6010FBB9" w14:textId="77777777">
        <w:trPr>
          <w:jc w:val="center"/>
        </w:trPr>
        <w:tc>
          <w:tcPr>
            <w:tcW w:w="2412" w:type="dxa"/>
          </w:tcPr>
          <w:p w14:paraId="2BE93ACE" w14:textId="77777777" w:rsidR="00690018" w:rsidRDefault="0020184D">
            <w:pPr>
              <w:spacing w:after="40"/>
              <w:jc w:val="left"/>
            </w:pPr>
            <w:r>
              <w:rPr>
                <w:sz w:val="20"/>
              </w:rPr>
              <w:t>Recruitment</w:t>
            </w:r>
          </w:p>
        </w:tc>
        <w:tc>
          <w:tcPr>
            <w:tcW w:w="2412" w:type="dxa"/>
          </w:tcPr>
          <w:p w14:paraId="2D81AE21" w14:textId="77777777" w:rsidR="00690018" w:rsidRDefault="0020184D">
            <w:pPr>
              <w:spacing w:after="40"/>
              <w:jc w:val="left"/>
            </w:pPr>
            <w:r>
              <w:rPr>
                <w:sz w:val="20"/>
              </w:rPr>
              <w:t>Age bias and stereotyped assumptions about motivation or technology.</w:t>
            </w:r>
          </w:p>
        </w:tc>
        <w:tc>
          <w:tcPr>
            <w:tcW w:w="2412" w:type="dxa"/>
          </w:tcPr>
          <w:p w14:paraId="6301F1CA" w14:textId="77777777" w:rsidR="00690018" w:rsidRDefault="0020184D">
            <w:pPr>
              <w:spacing w:after="40"/>
              <w:jc w:val="left"/>
            </w:pPr>
            <w:r>
              <w:rPr>
                <w:sz w:val="20"/>
              </w:rPr>
              <w:t>Use structured interviews, evidence-based scoring and reflective judgement.</w:t>
            </w:r>
          </w:p>
        </w:tc>
        <w:tc>
          <w:tcPr>
            <w:tcW w:w="2412" w:type="dxa"/>
          </w:tcPr>
          <w:p w14:paraId="5CA5CF5D" w14:textId="77777777" w:rsidR="00690018" w:rsidRDefault="0020184D">
            <w:pPr>
              <w:spacing w:after="40"/>
              <w:jc w:val="left"/>
            </w:pPr>
            <w:r>
              <w:rPr>
                <w:sz w:val="20"/>
              </w:rPr>
              <w:t>Fairer selection and stronger workforce diversity.</w:t>
            </w:r>
          </w:p>
        </w:tc>
      </w:tr>
      <w:tr w:rsidR="00690018" w14:paraId="36903241" w14:textId="77777777">
        <w:trPr>
          <w:jc w:val="center"/>
        </w:trPr>
        <w:tc>
          <w:tcPr>
            <w:tcW w:w="2412" w:type="dxa"/>
          </w:tcPr>
          <w:p w14:paraId="0695D95A" w14:textId="77777777" w:rsidR="00690018" w:rsidRDefault="0020184D">
            <w:pPr>
              <w:spacing w:after="40"/>
              <w:jc w:val="left"/>
            </w:pPr>
            <w:r>
              <w:rPr>
                <w:sz w:val="20"/>
              </w:rPr>
              <w:t>Management</w:t>
            </w:r>
          </w:p>
        </w:tc>
        <w:tc>
          <w:tcPr>
            <w:tcW w:w="2412" w:type="dxa"/>
          </w:tcPr>
          <w:p w14:paraId="3DC00FD0" w14:textId="77777777" w:rsidR="00690018" w:rsidRDefault="0020184D">
            <w:pPr>
              <w:spacing w:after="40"/>
              <w:jc w:val="left"/>
            </w:pPr>
            <w:r>
              <w:rPr>
                <w:sz w:val="20"/>
              </w:rPr>
              <w:t>Miscommunication, conflict and inconsistent expectations.</w:t>
            </w:r>
          </w:p>
        </w:tc>
        <w:tc>
          <w:tcPr>
            <w:tcW w:w="2412" w:type="dxa"/>
          </w:tcPr>
          <w:p w14:paraId="0C2B684C" w14:textId="77777777" w:rsidR="00690018" w:rsidRDefault="0020184D">
            <w:pPr>
              <w:spacing w:after="40"/>
              <w:jc w:val="left"/>
            </w:pPr>
            <w:r>
              <w:rPr>
                <w:sz w:val="20"/>
              </w:rPr>
              <w:t>Adapt communication, use active listening and provide clear feedback.</w:t>
            </w:r>
          </w:p>
        </w:tc>
        <w:tc>
          <w:tcPr>
            <w:tcW w:w="2412" w:type="dxa"/>
          </w:tcPr>
          <w:p w14:paraId="784CD4E4" w14:textId="77777777" w:rsidR="00690018" w:rsidRDefault="0020184D">
            <w:pPr>
              <w:spacing w:after="40"/>
              <w:jc w:val="left"/>
            </w:pPr>
            <w:r>
              <w:rPr>
                <w:sz w:val="20"/>
              </w:rPr>
              <w:t>Better collaboration and employee engagement.</w:t>
            </w:r>
          </w:p>
        </w:tc>
      </w:tr>
      <w:tr w:rsidR="00690018" w14:paraId="79404B1F" w14:textId="77777777">
        <w:trPr>
          <w:jc w:val="center"/>
        </w:trPr>
        <w:tc>
          <w:tcPr>
            <w:tcW w:w="2412" w:type="dxa"/>
          </w:tcPr>
          <w:p w14:paraId="54E4B22A" w14:textId="77777777" w:rsidR="00690018" w:rsidRDefault="0020184D">
            <w:pPr>
              <w:spacing w:after="40"/>
              <w:jc w:val="left"/>
            </w:pPr>
            <w:r>
              <w:rPr>
                <w:sz w:val="20"/>
              </w:rPr>
              <w:lastRenderedPageBreak/>
              <w:t>Retention</w:t>
            </w:r>
          </w:p>
        </w:tc>
        <w:tc>
          <w:tcPr>
            <w:tcW w:w="2412" w:type="dxa"/>
          </w:tcPr>
          <w:p w14:paraId="6493EB31" w14:textId="77777777" w:rsidR="00690018" w:rsidRDefault="0020184D">
            <w:pPr>
              <w:spacing w:after="40"/>
              <w:jc w:val="left"/>
            </w:pPr>
            <w:r>
              <w:rPr>
                <w:sz w:val="20"/>
              </w:rPr>
              <w:t>Disengagement, turnover and loss of knowledge.</w:t>
            </w:r>
          </w:p>
        </w:tc>
        <w:tc>
          <w:tcPr>
            <w:tcW w:w="2412" w:type="dxa"/>
          </w:tcPr>
          <w:p w14:paraId="19B2B342" w14:textId="77777777" w:rsidR="00690018" w:rsidRDefault="0020184D">
            <w:pPr>
              <w:spacing w:after="40"/>
              <w:jc w:val="left"/>
            </w:pPr>
            <w:r>
              <w:rPr>
                <w:sz w:val="20"/>
              </w:rPr>
              <w:t>Offer development, recognition, mentoring and fair progression.</w:t>
            </w:r>
          </w:p>
        </w:tc>
        <w:tc>
          <w:tcPr>
            <w:tcW w:w="2412" w:type="dxa"/>
          </w:tcPr>
          <w:p w14:paraId="7793B980" w14:textId="77777777" w:rsidR="00690018" w:rsidRDefault="0020184D">
            <w:pPr>
              <w:spacing w:after="40"/>
              <w:jc w:val="left"/>
            </w:pPr>
            <w:r>
              <w:rPr>
                <w:sz w:val="20"/>
              </w:rPr>
              <w:t>Improved commitment and organisational resilience.</w:t>
            </w:r>
          </w:p>
        </w:tc>
      </w:tr>
      <w:tr w:rsidR="00690018" w14:paraId="266FE0E8" w14:textId="77777777">
        <w:trPr>
          <w:jc w:val="center"/>
        </w:trPr>
        <w:tc>
          <w:tcPr>
            <w:tcW w:w="2412" w:type="dxa"/>
          </w:tcPr>
          <w:p w14:paraId="328EEC8F" w14:textId="77777777" w:rsidR="00690018" w:rsidRDefault="0020184D">
            <w:pPr>
              <w:spacing w:after="40"/>
              <w:jc w:val="left"/>
            </w:pPr>
            <w:r>
              <w:rPr>
                <w:sz w:val="20"/>
              </w:rPr>
              <w:t>Inclusion</w:t>
            </w:r>
          </w:p>
        </w:tc>
        <w:tc>
          <w:tcPr>
            <w:tcW w:w="2412" w:type="dxa"/>
          </w:tcPr>
          <w:p w14:paraId="3015ED03" w14:textId="77777777" w:rsidR="00690018" w:rsidRDefault="0020184D">
            <w:pPr>
              <w:spacing w:after="40"/>
              <w:jc w:val="left"/>
            </w:pPr>
            <w:r>
              <w:rPr>
                <w:sz w:val="20"/>
              </w:rPr>
              <w:t>Employees feel ignored, misunderstood or excluded.</w:t>
            </w:r>
          </w:p>
        </w:tc>
        <w:tc>
          <w:tcPr>
            <w:tcW w:w="2412" w:type="dxa"/>
          </w:tcPr>
          <w:p w14:paraId="5432555E" w14:textId="77777777" w:rsidR="00690018" w:rsidRDefault="0020184D">
            <w:pPr>
              <w:spacing w:after="40"/>
              <w:jc w:val="left"/>
            </w:pPr>
            <w:r>
              <w:rPr>
                <w:sz w:val="20"/>
              </w:rPr>
              <w:t>Create psychological safety and encourage employee voice.</w:t>
            </w:r>
          </w:p>
        </w:tc>
        <w:tc>
          <w:tcPr>
            <w:tcW w:w="2412" w:type="dxa"/>
          </w:tcPr>
          <w:p w14:paraId="2A01E9B7" w14:textId="77777777" w:rsidR="00690018" w:rsidRDefault="0020184D">
            <w:pPr>
              <w:spacing w:after="40"/>
              <w:jc w:val="left"/>
            </w:pPr>
            <w:r>
              <w:rPr>
                <w:sz w:val="20"/>
              </w:rPr>
              <w:t>Higher trust, innovation and problem solving.</w:t>
            </w:r>
          </w:p>
        </w:tc>
      </w:tr>
    </w:tbl>
    <w:p w14:paraId="2D13EC70" w14:textId="77777777" w:rsidR="00690018" w:rsidRDefault="0020184D">
      <w:pPr>
        <w:jc w:val="center"/>
      </w:pPr>
      <w:r>
        <w:rPr>
          <w:i/>
          <w:sz w:val="18"/>
        </w:rPr>
        <w:t>Source: Author’s own analysis based on Edmondson (1999), Costanza et al. (2012), Lyons and Kuron (2014) and Rudolph et al. (2021).</w:t>
      </w:r>
    </w:p>
    <w:p w14:paraId="70625B74" w14:textId="77777777" w:rsidR="00690018" w:rsidRDefault="0020184D">
      <w:pPr>
        <w:pStyle w:val="Heading2"/>
        <w:jc w:val="left"/>
      </w:pPr>
      <w:r>
        <w:t>3.4 Inclusive Leadership and Organisational Effectiveness</w:t>
      </w:r>
    </w:p>
    <w:p w14:paraId="085B5805" w14:textId="77777777" w:rsidR="00690018" w:rsidRDefault="0020184D">
      <w:r>
        <w:t>Inclusive leadership is essential for managing a multigenerational workforce. EI supports inclusion through self-awareness, empathy and social skills, while mindfulness reduces automatic judgement during disagreement. This matters because generations may differ in their experience of technology, hierarchy, job security and feedback.</w:t>
      </w:r>
    </w:p>
    <w:p w14:paraId="334C7A6E" w14:textId="77777777" w:rsidR="00690018" w:rsidRDefault="0020184D">
      <w:r>
        <w:t>Generational diversity can improve effectiveness when it is treated as a complementary strength rather than conflict. Experienced employees may offer tacit knowledge and practical judgement, while younger employees may add digital confidence and challenge outdated processes. These benefits depend on trust, knowledge sharing and psychological safety.</w:t>
      </w:r>
    </w:p>
    <w:p w14:paraId="180193CC" w14:textId="77777777" w:rsidR="00690018" w:rsidRDefault="0020184D">
      <w:r>
        <w:t>Overall, EI and mindfulness should be embedded into recruitment, management training, appraisal, conflict resolution and leadership development. The aim is flexible and fair management rather than age-based categorisation.</w:t>
      </w:r>
    </w:p>
    <w:p w14:paraId="0F8FB7AE" w14:textId="77777777" w:rsidR="00690018" w:rsidRDefault="0020184D">
      <w:pPr>
        <w:pStyle w:val="Heading1"/>
        <w:jc w:val="left"/>
      </w:pPr>
      <w:r>
        <w:t>4. Task 3: Personal Reflection</w:t>
      </w:r>
    </w:p>
    <w:p w14:paraId="17863507" w14:textId="77777777" w:rsidR="00690018" w:rsidRDefault="0020184D">
      <w:r>
        <w:t>This assessment has helped me reflect on my own emotional intelligence and leadership behaviour. In a team leader role, it is easy to focus mainly on completing tasks, meeting standards and solving operational problems quickly. However, this report has shown me that performance also depends on how communication takes place and how emotions are managed during pressure. I have realised that self-awareness is one of the most important areas for my own development. When the workplace is busy, I can sometimes wa</w:t>
      </w:r>
      <w:r>
        <w:t>nt to react immediately because I want the problem fixed quickly. The risk is that a fast reaction may sound too direct or may not give the other person enough space to explain their view.</w:t>
      </w:r>
    </w:p>
    <w:p w14:paraId="12AD0478" w14:textId="77777777" w:rsidR="00690018" w:rsidRDefault="0020184D">
      <w:r>
        <w:t xml:space="preserve">Goleman’s model is useful for my reflection because it connects self-awareness with self-regulation, empathy and social skills. In practice, I need to recognise when frustration, tiredness or time pressure is influencing my communication. A mindful pause before responding can help me </w:t>
      </w:r>
      <w:r>
        <w:lastRenderedPageBreak/>
        <w:t>choose a better tone and ask more useful questions. This does not mean being weak or avoiding standards. It means managing the conversation in a way that protects both performance and respect.</w:t>
      </w:r>
    </w:p>
    <w:p w14:paraId="1291288B" w14:textId="77777777" w:rsidR="00690018" w:rsidRDefault="0020184D">
      <w:r>
        <w:t xml:space="preserve">The multigenerational part of the report is also personally useful. I work with people who have different ages, work habits and communication preferences. Before this assessment, it would have been easy to explain some differences only as age differences. Now I understand that this can become stereotyping. A better approach is to listen first, ask what support the person needs and make decisions based on evidence. For example, one employee may need clear written instructions, while another may need a quick </w:t>
      </w:r>
      <w:r>
        <w:t>conversation or demonstration. The important point is to adapt support while keeping expectations fair for everyone.</w:t>
      </w:r>
    </w:p>
    <w:p w14:paraId="65CD11C5" w14:textId="77777777" w:rsidR="00690018" w:rsidRDefault="0020184D">
      <w:r>
        <w:t>Another improvement for my leadership practice is to separate urgency from emotion. In a busy operational environment, a problem may need to be solved quickly, but that does not mean the first emotional reaction is the best response. I will try to check the facts, consider the impact on the person and then decide whether the situation needs coaching, clearer instruction or a firmer performance conversation. This should help me stay fair while still protecting standards.</w:t>
      </w:r>
    </w:p>
    <w:p w14:paraId="072F9207" w14:textId="77777777" w:rsidR="00690018" w:rsidRDefault="0020184D">
      <w:r>
        <w:t>My personal action plan is to use mindfulness more deliberately before difficult conversations, especially when there is conflict, poor performance or misunderstanding. I will focus on active listening, summarising the issue and separating the person from the problem. I also want to improve the way I give feedback by making it specific, respectful and linked to behaviour rather than personality. Finally, I will try to encourage psychological safety by showing that raising problems early is responsible behav</w:t>
      </w:r>
      <w:r>
        <w:t>iour. This should help me become more patient, fair and effective as a leader, while still maintaining standards and accountability.</w:t>
      </w:r>
    </w:p>
    <w:p w14:paraId="4701D9C1" w14:textId="77777777" w:rsidR="00690018" w:rsidRDefault="0020184D">
      <w:pPr>
        <w:pStyle w:val="Heading1"/>
        <w:jc w:val="left"/>
      </w:pPr>
      <w:r>
        <w:t>5. Conclusion</w:t>
      </w:r>
    </w:p>
    <w:p w14:paraId="2D0B9855" w14:textId="77777777" w:rsidR="00690018" w:rsidRDefault="0020184D">
      <w:r>
        <w:t>Emotional intelligence and mindfulness support communication, conflict management, decision-making, well-being and inclusive leadership. Goleman’s model is practical for leadership, Mayer, Salovey and Caruso provide theoretical clarity, and Bar-On links EI with adaptability and stress management.</w:t>
      </w:r>
    </w:p>
    <w:p w14:paraId="30DFB8D7" w14:textId="77777777" w:rsidR="00690018" w:rsidRDefault="0020184D">
      <w:r>
        <w:t>For a multigenerational workforce, EI helps managers respond to expectations without stereotypes. Generational labels may suggest preferences, but culture, career stage and personality also matter. Therefore, EI and mindfulness work best when embedded in fair recruitment, development, communication and psychologically safe leadership.</w:t>
      </w:r>
    </w:p>
    <w:p w14:paraId="11C2E048" w14:textId="77777777" w:rsidR="00690018" w:rsidRDefault="0020184D">
      <w:pPr>
        <w:pStyle w:val="Heading1"/>
        <w:pageBreakBefore/>
        <w:spacing w:before="120"/>
        <w:jc w:val="left"/>
      </w:pPr>
      <w:r>
        <w:rPr>
          <w:rFonts w:ascii="Arial" w:eastAsia="Arial" w:hAnsi="Arial" w:cs="Arial"/>
          <w:b w:val="0"/>
          <w:color w:val="2E75B6"/>
          <w:sz w:val="32"/>
        </w:rPr>
        <w:lastRenderedPageBreak/>
        <w:t>6. References</w:t>
      </w:r>
    </w:p>
    <w:p w14:paraId="7C22EB44" w14:textId="77777777" w:rsidR="00690018" w:rsidRDefault="0020184D">
      <w:pPr>
        <w:spacing w:after="140" w:line="240" w:lineRule="auto"/>
        <w:ind w:left="720" w:hanging="720"/>
        <w:jc w:val="left"/>
      </w:pPr>
      <w:r>
        <w:rPr>
          <w:rFonts w:ascii="Arial" w:hAnsi="Arial" w:cs="Arial"/>
          <w:sz w:val="22"/>
        </w:rPr>
        <w:t xml:space="preserve">Bar-On, R. (2006). The Bar-On model of emotional-social intelligence (ESI). </w:t>
      </w:r>
      <w:r>
        <w:rPr>
          <w:rFonts w:ascii="Arial" w:hAnsi="Arial" w:cs="Arial"/>
          <w:i/>
          <w:sz w:val="22"/>
        </w:rPr>
        <w:t>Psicothema</w:t>
      </w:r>
      <w:r>
        <w:rPr>
          <w:rFonts w:ascii="Arial" w:hAnsi="Arial" w:cs="Arial"/>
          <w:sz w:val="22"/>
        </w:rPr>
        <w:t xml:space="preserve">, 18(Suppl.), pp.13-25. Available at: </w:t>
      </w:r>
      <w:hyperlink r:id="rId8">
        <w:r>
          <w:rPr>
            <w:rFonts w:ascii="Arial" w:hAnsi="Arial" w:cs="Arial"/>
            <w:color w:val="0563C1"/>
            <w:sz w:val="22"/>
            <w:u w:val="single"/>
          </w:rPr>
          <w:t>https://www.psicothema.com/pdf/3271.pdf</w:t>
        </w:r>
      </w:hyperlink>
      <w:r>
        <w:rPr>
          <w:rFonts w:ascii="Arial" w:hAnsi="Arial" w:cs="Arial"/>
          <w:sz w:val="22"/>
        </w:rPr>
        <w:t>.</w:t>
      </w:r>
    </w:p>
    <w:p w14:paraId="62A889FC" w14:textId="77777777" w:rsidR="00690018" w:rsidRDefault="0020184D">
      <w:pPr>
        <w:spacing w:after="140" w:line="240" w:lineRule="auto"/>
        <w:ind w:left="720" w:hanging="720"/>
        <w:jc w:val="left"/>
      </w:pPr>
      <w:r>
        <w:rPr>
          <w:rFonts w:ascii="Arial" w:hAnsi="Arial" w:cs="Arial"/>
          <w:sz w:val="22"/>
        </w:rPr>
        <w:t xml:space="preserve">Bishop, S.R., Lau, M., Shapiro, S., Carlson, L., Anderson, N.D., Carmody, J., Segal, Z.V., Abbey, S., Speca, M., Velting, D. and Devins, G. (2004). Mindfulness: A proposed operational definition. </w:t>
      </w:r>
      <w:r>
        <w:rPr>
          <w:rFonts w:ascii="Arial" w:hAnsi="Arial" w:cs="Arial"/>
          <w:i/>
          <w:sz w:val="22"/>
        </w:rPr>
        <w:t>Clinical Psychology: Science and Practice</w:t>
      </w:r>
      <w:r>
        <w:rPr>
          <w:rFonts w:ascii="Arial" w:hAnsi="Arial" w:cs="Arial"/>
          <w:sz w:val="22"/>
        </w:rPr>
        <w:t xml:space="preserve">, 11(3), pp.230-241. doi: </w:t>
      </w:r>
      <w:hyperlink r:id="rId9">
        <w:r>
          <w:rPr>
            <w:rFonts w:ascii="Arial" w:hAnsi="Arial" w:cs="Arial"/>
            <w:color w:val="0563C1"/>
            <w:sz w:val="22"/>
            <w:u w:val="single"/>
          </w:rPr>
          <w:t>https://doi.org/10.1093/clipsy.bph077</w:t>
        </w:r>
      </w:hyperlink>
      <w:r>
        <w:rPr>
          <w:rFonts w:ascii="Arial" w:hAnsi="Arial" w:cs="Arial"/>
          <w:sz w:val="22"/>
        </w:rPr>
        <w:t>.</w:t>
      </w:r>
    </w:p>
    <w:p w14:paraId="76C2732B" w14:textId="77777777" w:rsidR="00690018" w:rsidRDefault="0020184D">
      <w:pPr>
        <w:spacing w:after="140" w:line="240" w:lineRule="auto"/>
        <w:ind w:left="720" w:hanging="720"/>
        <w:jc w:val="left"/>
      </w:pPr>
      <w:r>
        <w:rPr>
          <w:rFonts w:ascii="Arial" w:hAnsi="Arial" w:cs="Arial"/>
          <w:sz w:val="22"/>
        </w:rPr>
        <w:t xml:space="preserve">Costanza, D.P., Badger, J.M., Fraser, R.L., Severt, J.B. and Gade, P.A. (2012). Generational differences in work-related attitudes: A meta-analysis. </w:t>
      </w:r>
      <w:r>
        <w:rPr>
          <w:rFonts w:ascii="Arial" w:hAnsi="Arial" w:cs="Arial"/>
          <w:i/>
          <w:sz w:val="22"/>
        </w:rPr>
        <w:t>Journal of Business and Psychology</w:t>
      </w:r>
      <w:r>
        <w:rPr>
          <w:rFonts w:ascii="Arial" w:hAnsi="Arial" w:cs="Arial"/>
          <w:sz w:val="22"/>
        </w:rPr>
        <w:t xml:space="preserve">, 27(4), pp.375-394. doi: </w:t>
      </w:r>
      <w:hyperlink r:id="rId10">
        <w:r>
          <w:rPr>
            <w:rFonts w:ascii="Arial" w:hAnsi="Arial" w:cs="Arial"/>
            <w:color w:val="0563C1"/>
            <w:sz w:val="22"/>
            <w:u w:val="single"/>
          </w:rPr>
          <w:t>https://doi.org/10.1007/s10869-012-9259-4</w:t>
        </w:r>
      </w:hyperlink>
      <w:r>
        <w:rPr>
          <w:rFonts w:ascii="Arial" w:hAnsi="Arial" w:cs="Arial"/>
          <w:sz w:val="22"/>
        </w:rPr>
        <w:t>.</w:t>
      </w:r>
    </w:p>
    <w:p w14:paraId="1CC924AC" w14:textId="77777777" w:rsidR="00690018" w:rsidRDefault="0020184D">
      <w:pPr>
        <w:spacing w:after="140" w:line="240" w:lineRule="auto"/>
        <w:ind w:left="720" w:hanging="720"/>
        <w:jc w:val="left"/>
      </w:pPr>
      <w:r>
        <w:rPr>
          <w:rFonts w:ascii="Arial" w:hAnsi="Arial" w:cs="Arial"/>
          <w:sz w:val="22"/>
        </w:rPr>
        <w:t xml:space="preserve">Côté, S. (2014). Emotional intelligence in organizations. </w:t>
      </w:r>
      <w:r>
        <w:rPr>
          <w:rFonts w:ascii="Arial" w:hAnsi="Arial" w:cs="Arial"/>
          <w:i/>
          <w:sz w:val="22"/>
        </w:rPr>
        <w:t>Annual Review of Organizational Psychology and Organizational Behavior</w:t>
      </w:r>
      <w:r>
        <w:rPr>
          <w:rFonts w:ascii="Arial" w:hAnsi="Arial" w:cs="Arial"/>
          <w:sz w:val="22"/>
        </w:rPr>
        <w:t xml:space="preserve">, 1, pp.459-488. doi: </w:t>
      </w:r>
      <w:hyperlink r:id="rId11">
        <w:r>
          <w:rPr>
            <w:rFonts w:ascii="Arial" w:hAnsi="Arial" w:cs="Arial"/>
            <w:color w:val="0563C1"/>
            <w:sz w:val="22"/>
            <w:u w:val="single"/>
          </w:rPr>
          <w:t>https://doi.org/10.1146/annurev-orgpsych-031413-091233</w:t>
        </w:r>
      </w:hyperlink>
      <w:r>
        <w:rPr>
          <w:rFonts w:ascii="Arial" w:hAnsi="Arial" w:cs="Arial"/>
          <w:sz w:val="22"/>
        </w:rPr>
        <w:t>.</w:t>
      </w:r>
    </w:p>
    <w:p w14:paraId="6B908B43" w14:textId="77777777" w:rsidR="00690018" w:rsidRDefault="0020184D">
      <w:pPr>
        <w:spacing w:after="140" w:line="240" w:lineRule="auto"/>
        <w:ind w:left="720" w:hanging="720"/>
        <w:jc w:val="left"/>
      </w:pPr>
      <w:r>
        <w:rPr>
          <w:rFonts w:ascii="Arial" w:hAnsi="Arial" w:cs="Arial"/>
          <w:sz w:val="22"/>
        </w:rPr>
        <w:t xml:space="preserve">Edmondson, A. (1999). Psychological safety and learning behavior in work teams. </w:t>
      </w:r>
      <w:r>
        <w:rPr>
          <w:rFonts w:ascii="Arial" w:hAnsi="Arial" w:cs="Arial"/>
          <w:i/>
          <w:sz w:val="22"/>
        </w:rPr>
        <w:t>Administrative Science Quarterly</w:t>
      </w:r>
      <w:r>
        <w:rPr>
          <w:rFonts w:ascii="Arial" w:hAnsi="Arial" w:cs="Arial"/>
          <w:sz w:val="22"/>
        </w:rPr>
        <w:t xml:space="preserve">, 44(2), pp.350-383. doi: </w:t>
      </w:r>
      <w:hyperlink r:id="rId12">
        <w:r>
          <w:rPr>
            <w:rFonts w:ascii="Arial" w:hAnsi="Arial" w:cs="Arial"/>
            <w:color w:val="0563C1"/>
            <w:sz w:val="22"/>
            <w:u w:val="single"/>
          </w:rPr>
          <w:t>https://doi.org/10.2307/2666999</w:t>
        </w:r>
      </w:hyperlink>
      <w:r>
        <w:rPr>
          <w:rFonts w:ascii="Arial" w:hAnsi="Arial" w:cs="Arial"/>
          <w:sz w:val="22"/>
        </w:rPr>
        <w:t>.</w:t>
      </w:r>
    </w:p>
    <w:p w14:paraId="233B6CB2" w14:textId="77777777" w:rsidR="00690018" w:rsidRDefault="0020184D">
      <w:pPr>
        <w:spacing w:after="140" w:line="240" w:lineRule="auto"/>
        <w:ind w:left="720" w:hanging="720"/>
        <w:jc w:val="left"/>
      </w:pPr>
      <w:r>
        <w:rPr>
          <w:rFonts w:ascii="Arial" w:hAnsi="Arial" w:cs="Arial"/>
          <w:sz w:val="22"/>
        </w:rPr>
        <w:t xml:space="preserve">Goleman, D. (1998). </w:t>
      </w:r>
      <w:r>
        <w:rPr>
          <w:rFonts w:ascii="Arial" w:hAnsi="Arial" w:cs="Arial"/>
          <w:i/>
          <w:sz w:val="22"/>
        </w:rPr>
        <w:t>Working with Emotional Intelligence</w:t>
      </w:r>
      <w:r>
        <w:rPr>
          <w:rFonts w:ascii="Arial" w:hAnsi="Arial" w:cs="Arial"/>
          <w:sz w:val="22"/>
        </w:rPr>
        <w:t>. New York: Bantam Books.</w:t>
      </w:r>
    </w:p>
    <w:p w14:paraId="39C5BD1C" w14:textId="77777777" w:rsidR="00690018" w:rsidRDefault="0020184D">
      <w:pPr>
        <w:spacing w:after="140" w:line="240" w:lineRule="auto"/>
        <w:ind w:left="720" w:hanging="720"/>
        <w:jc w:val="left"/>
      </w:pPr>
      <w:r>
        <w:rPr>
          <w:rFonts w:ascii="Arial" w:hAnsi="Arial" w:cs="Arial"/>
          <w:sz w:val="22"/>
        </w:rPr>
        <w:t xml:space="preserve">Good, D.J., Lyddy, C.J., Glomb, T.M., Bono, J.E., Brown, K.W., Duffy, M.K., Baer, R.A., Brewer, J.A. and Lazar, S.W. (2016). Contemplating mindfulness at work: An integrative review. </w:t>
      </w:r>
      <w:r>
        <w:rPr>
          <w:rFonts w:ascii="Arial" w:hAnsi="Arial" w:cs="Arial"/>
          <w:i/>
          <w:sz w:val="22"/>
        </w:rPr>
        <w:t>Journal of Management</w:t>
      </w:r>
      <w:r>
        <w:rPr>
          <w:rFonts w:ascii="Arial" w:hAnsi="Arial" w:cs="Arial"/>
          <w:sz w:val="22"/>
        </w:rPr>
        <w:t xml:space="preserve">, 42(1), pp.114-142. doi: </w:t>
      </w:r>
      <w:hyperlink r:id="rId13">
        <w:r>
          <w:rPr>
            <w:rFonts w:ascii="Arial" w:hAnsi="Arial" w:cs="Arial"/>
            <w:color w:val="0563C1"/>
            <w:sz w:val="22"/>
            <w:u w:val="single"/>
          </w:rPr>
          <w:t>https://doi.org/10.1177/0149206315617003</w:t>
        </w:r>
      </w:hyperlink>
      <w:r>
        <w:rPr>
          <w:rFonts w:ascii="Arial" w:hAnsi="Arial" w:cs="Arial"/>
          <w:sz w:val="22"/>
        </w:rPr>
        <w:t>.</w:t>
      </w:r>
    </w:p>
    <w:p w14:paraId="71F4A9D8" w14:textId="77777777" w:rsidR="00690018" w:rsidRDefault="0020184D">
      <w:pPr>
        <w:spacing w:after="140" w:line="240" w:lineRule="auto"/>
        <w:ind w:left="720" w:hanging="720"/>
        <w:jc w:val="left"/>
      </w:pPr>
      <w:r>
        <w:rPr>
          <w:rFonts w:ascii="Arial" w:hAnsi="Arial" w:cs="Arial"/>
          <w:sz w:val="22"/>
        </w:rPr>
        <w:t xml:space="preserve">Kabat-Zinn, J. (2003). Mindfulness-based interventions in context: Past, present, and future. </w:t>
      </w:r>
      <w:r>
        <w:rPr>
          <w:rFonts w:ascii="Arial" w:hAnsi="Arial" w:cs="Arial"/>
          <w:i/>
          <w:sz w:val="22"/>
        </w:rPr>
        <w:t>Clinical Psychology: Science and Practice</w:t>
      </w:r>
      <w:r>
        <w:rPr>
          <w:rFonts w:ascii="Arial" w:hAnsi="Arial" w:cs="Arial"/>
          <w:sz w:val="22"/>
        </w:rPr>
        <w:t xml:space="preserve">, 10(2), pp.144-156. doi: </w:t>
      </w:r>
      <w:hyperlink r:id="rId14">
        <w:r>
          <w:rPr>
            <w:rFonts w:ascii="Arial" w:hAnsi="Arial" w:cs="Arial"/>
            <w:color w:val="0563C1"/>
            <w:sz w:val="22"/>
            <w:u w:val="single"/>
          </w:rPr>
          <w:t>https://doi.org/10.1093/clipsy.bpg016</w:t>
        </w:r>
      </w:hyperlink>
      <w:r>
        <w:rPr>
          <w:rFonts w:ascii="Arial" w:hAnsi="Arial" w:cs="Arial"/>
          <w:sz w:val="22"/>
        </w:rPr>
        <w:t>.</w:t>
      </w:r>
    </w:p>
    <w:p w14:paraId="5224B908" w14:textId="77777777" w:rsidR="00690018" w:rsidRDefault="0020184D">
      <w:pPr>
        <w:spacing w:after="140" w:line="240" w:lineRule="auto"/>
        <w:ind w:left="720" w:hanging="720"/>
        <w:jc w:val="left"/>
      </w:pPr>
      <w:r>
        <w:rPr>
          <w:rFonts w:ascii="Arial" w:hAnsi="Arial" w:cs="Arial"/>
          <w:sz w:val="22"/>
        </w:rPr>
        <w:t xml:space="preserve">Lyons, S. and Kuron, L. (2014). Generational differences in the workplace: A review of the evidence and directions for future research. </w:t>
      </w:r>
      <w:r>
        <w:rPr>
          <w:rFonts w:ascii="Arial" w:hAnsi="Arial" w:cs="Arial"/>
          <w:i/>
          <w:sz w:val="22"/>
        </w:rPr>
        <w:t>Journal of Organizational Behavior</w:t>
      </w:r>
      <w:r>
        <w:rPr>
          <w:rFonts w:ascii="Arial" w:hAnsi="Arial" w:cs="Arial"/>
          <w:sz w:val="22"/>
        </w:rPr>
        <w:t xml:space="preserve">, 35(S1), pp.S139-S157. doi: </w:t>
      </w:r>
      <w:hyperlink r:id="rId15">
        <w:r>
          <w:rPr>
            <w:rFonts w:ascii="Arial" w:hAnsi="Arial" w:cs="Arial"/>
            <w:color w:val="0563C1"/>
            <w:sz w:val="22"/>
            <w:u w:val="single"/>
          </w:rPr>
          <w:t>https://doi.org/10.1002/job.1913</w:t>
        </w:r>
      </w:hyperlink>
      <w:r>
        <w:rPr>
          <w:rFonts w:ascii="Arial" w:hAnsi="Arial" w:cs="Arial"/>
          <w:sz w:val="22"/>
        </w:rPr>
        <w:t>.</w:t>
      </w:r>
    </w:p>
    <w:p w14:paraId="65DB4198" w14:textId="77777777" w:rsidR="00690018" w:rsidRDefault="0020184D">
      <w:pPr>
        <w:spacing w:after="140" w:line="240" w:lineRule="auto"/>
        <w:ind w:left="720" w:hanging="720"/>
        <w:jc w:val="left"/>
      </w:pPr>
      <w:r>
        <w:rPr>
          <w:rFonts w:ascii="Arial" w:hAnsi="Arial" w:cs="Arial"/>
          <w:sz w:val="22"/>
        </w:rPr>
        <w:t xml:space="preserve">Maldonado, I.C. and Márquez, M.D.B. (2023). Emotional intelligence, leadership, and work teams: A hybrid literature review. </w:t>
      </w:r>
      <w:r>
        <w:rPr>
          <w:rFonts w:ascii="Arial" w:hAnsi="Arial" w:cs="Arial"/>
          <w:i/>
          <w:sz w:val="22"/>
        </w:rPr>
        <w:t>Heliyon</w:t>
      </w:r>
      <w:r>
        <w:rPr>
          <w:rFonts w:ascii="Arial" w:hAnsi="Arial" w:cs="Arial"/>
          <w:sz w:val="22"/>
        </w:rPr>
        <w:t xml:space="preserve">, 9(10), e20356. doi: </w:t>
      </w:r>
      <w:hyperlink r:id="rId16">
        <w:r>
          <w:rPr>
            <w:rFonts w:ascii="Arial" w:hAnsi="Arial" w:cs="Arial"/>
            <w:color w:val="0563C1"/>
            <w:sz w:val="22"/>
            <w:u w:val="single"/>
          </w:rPr>
          <w:t>https://doi.org/10.1016/j.heliyon.2023.e20356</w:t>
        </w:r>
      </w:hyperlink>
      <w:r>
        <w:rPr>
          <w:rFonts w:ascii="Arial" w:hAnsi="Arial" w:cs="Arial"/>
          <w:sz w:val="22"/>
        </w:rPr>
        <w:t>.</w:t>
      </w:r>
    </w:p>
    <w:p w14:paraId="27704E52" w14:textId="77777777" w:rsidR="00690018" w:rsidRDefault="0020184D">
      <w:pPr>
        <w:spacing w:after="140" w:line="240" w:lineRule="auto"/>
        <w:ind w:left="720" w:hanging="720"/>
        <w:jc w:val="left"/>
      </w:pPr>
      <w:r>
        <w:rPr>
          <w:rFonts w:ascii="Arial" w:hAnsi="Arial" w:cs="Arial"/>
          <w:sz w:val="22"/>
        </w:rPr>
        <w:t xml:space="preserve">Mayer, J.D., Salovey, P. and Caruso, D.R. (2004). Emotional intelligence: Theory, findings, and implications. </w:t>
      </w:r>
      <w:r>
        <w:rPr>
          <w:rFonts w:ascii="Arial" w:hAnsi="Arial" w:cs="Arial"/>
          <w:i/>
          <w:sz w:val="22"/>
        </w:rPr>
        <w:t>Psychological Inquiry</w:t>
      </w:r>
      <w:r>
        <w:rPr>
          <w:rFonts w:ascii="Arial" w:hAnsi="Arial" w:cs="Arial"/>
          <w:sz w:val="22"/>
        </w:rPr>
        <w:t xml:space="preserve">, 15(3), pp.197-215. doi: </w:t>
      </w:r>
      <w:hyperlink r:id="rId17">
        <w:r>
          <w:rPr>
            <w:rFonts w:ascii="Arial" w:hAnsi="Arial" w:cs="Arial"/>
            <w:color w:val="0563C1"/>
            <w:sz w:val="22"/>
            <w:u w:val="single"/>
          </w:rPr>
          <w:t>https://doi.org/10.1207/s15327965pli1503_02</w:t>
        </w:r>
      </w:hyperlink>
      <w:r>
        <w:rPr>
          <w:rFonts w:ascii="Arial" w:hAnsi="Arial" w:cs="Arial"/>
          <w:sz w:val="22"/>
        </w:rPr>
        <w:t>.</w:t>
      </w:r>
    </w:p>
    <w:p w14:paraId="1A795B0F" w14:textId="77777777" w:rsidR="00690018" w:rsidRDefault="0020184D">
      <w:pPr>
        <w:spacing w:after="140" w:line="240" w:lineRule="auto"/>
        <w:ind w:left="720" w:hanging="720"/>
        <w:jc w:val="left"/>
      </w:pPr>
      <w:r>
        <w:rPr>
          <w:rFonts w:ascii="Arial" w:hAnsi="Arial" w:cs="Arial"/>
          <w:sz w:val="22"/>
        </w:rPr>
        <w:t xml:space="preserve">Michaelsen, M.M., Graser, J., Onescheit, M., Tuma, M.P., Werdecker, L., Pieper, D. and Esch, T. (2023). Mindfulness-based and mindfulness-informed interventions at the workplace: A systematic review and meta-regression analysis of RCTs. </w:t>
      </w:r>
      <w:r>
        <w:rPr>
          <w:rFonts w:ascii="Arial" w:hAnsi="Arial" w:cs="Arial"/>
          <w:i/>
          <w:sz w:val="22"/>
        </w:rPr>
        <w:t>Mindfulness</w:t>
      </w:r>
      <w:r>
        <w:rPr>
          <w:rFonts w:ascii="Arial" w:hAnsi="Arial" w:cs="Arial"/>
          <w:sz w:val="22"/>
        </w:rPr>
        <w:t xml:space="preserve">, 14, pp.1271-1304. doi: </w:t>
      </w:r>
      <w:hyperlink r:id="rId18">
        <w:r>
          <w:rPr>
            <w:rFonts w:ascii="Arial" w:hAnsi="Arial" w:cs="Arial"/>
            <w:color w:val="0563C1"/>
            <w:sz w:val="22"/>
            <w:u w:val="single"/>
          </w:rPr>
          <w:t>https://doi.org/10.1007/s12671-023-02130-7</w:t>
        </w:r>
      </w:hyperlink>
      <w:r>
        <w:rPr>
          <w:rFonts w:ascii="Arial" w:hAnsi="Arial" w:cs="Arial"/>
          <w:sz w:val="22"/>
        </w:rPr>
        <w:t>.</w:t>
      </w:r>
    </w:p>
    <w:p w14:paraId="3CA71BED" w14:textId="77777777" w:rsidR="00690018" w:rsidRDefault="0020184D">
      <w:pPr>
        <w:spacing w:after="140" w:line="240" w:lineRule="auto"/>
        <w:ind w:left="720" w:hanging="720"/>
        <w:jc w:val="left"/>
      </w:pPr>
      <w:r>
        <w:rPr>
          <w:rFonts w:ascii="Arial" w:hAnsi="Arial" w:cs="Arial"/>
          <w:sz w:val="22"/>
        </w:rPr>
        <w:t xml:space="preserve">Rudolph, C.W., Rauvola, R.S., Costanza, D.P. and Zacher, H. (2021). Generations and generational differences: Debunking myths in organizational science and practice and paving new paths forward. </w:t>
      </w:r>
      <w:r>
        <w:rPr>
          <w:rFonts w:ascii="Arial" w:hAnsi="Arial" w:cs="Arial"/>
          <w:i/>
          <w:sz w:val="22"/>
        </w:rPr>
        <w:t>Journal of Business and Psychology</w:t>
      </w:r>
      <w:r>
        <w:rPr>
          <w:rFonts w:ascii="Arial" w:hAnsi="Arial" w:cs="Arial"/>
          <w:sz w:val="22"/>
        </w:rPr>
        <w:t xml:space="preserve">, 36, pp.945-967. doi: </w:t>
      </w:r>
      <w:hyperlink r:id="rId19">
        <w:r>
          <w:rPr>
            <w:rFonts w:ascii="Arial" w:hAnsi="Arial" w:cs="Arial"/>
            <w:color w:val="0563C1"/>
            <w:sz w:val="22"/>
            <w:u w:val="single"/>
          </w:rPr>
          <w:t>https://doi.org/10.1007/s10869-020-09715-2</w:t>
        </w:r>
      </w:hyperlink>
      <w:r>
        <w:rPr>
          <w:rFonts w:ascii="Arial" w:hAnsi="Arial" w:cs="Arial"/>
          <w:sz w:val="22"/>
        </w:rPr>
        <w:t>.</w:t>
      </w:r>
    </w:p>
    <w:p w14:paraId="71E725E4" w14:textId="77777777" w:rsidR="00690018" w:rsidRDefault="0020184D">
      <w:pPr>
        <w:spacing w:after="140" w:line="240" w:lineRule="auto"/>
        <w:ind w:left="720" w:hanging="720"/>
        <w:jc w:val="left"/>
      </w:pPr>
      <w:r>
        <w:rPr>
          <w:rFonts w:ascii="Arial" w:hAnsi="Arial" w:cs="Arial"/>
          <w:sz w:val="22"/>
        </w:rPr>
        <w:t xml:space="preserve">Salovey, P. and Mayer, J.D. (1990). Emotional intelligence. </w:t>
      </w:r>
      <w:r>
        <w:rPr>
          <w:rFonts w:ascii="Arial" w:hAnsi="Arial" w:cs="Arial"/>
          <w:i/>
          <w:sz w:val="22"/>
        </w:rPr>
        <w:t>Imagination, Cognition and Personality</w:t>
      </w:r>
      <w:r>
        <w:rPr>
          <w:rFonts w:ascii="Arial" w:hAnsi="Arial" w:cs="Arial"/>
          <w:sz w:val="22"/>
        </w:rPr>
        <w:t xml:space="preserve">, 9(3), pp.185-211. doi: </w:t>
      </w:r>
      <w:hyperlink r:id="rId20">
        <w:r>
          <w:rPr>
            <w:rFonts w:ascii="Arial" w:hAnsi="Arial" w:cs="Arial"/>
            <w:color w:val="0563C1"/>
            <w:sz w:val="22"/>
            <w:u w:val="single"/>
          </w:rPr>
          <w:t>https://doi.org/10.2190/DUGG-P24E-52WK-6CDG</w:t>
        </w:r>
      </w:hyperlink>
      <w:r>
        <w:rPr>
          <w:rFonts w:ascii="Arial" w:hAnsi="Arial" w:cs="Arial"/>
          <w:sz w:val="22"/>
        </w:rPr>
        <w:t>.</w:t>
      </w:r>
    </w:p>
    <w:p w14:paraId="4BA59104" w14:textId="77777777" w:rsidR="00690018" w:rsidRDefault="0020184D">
      <w:pPr>
        <w:spacing w:after="140" w:line="240" w:lineRule="auto"/>
        <w:ind w:left="720" w:hanging="720"/>
        <w:jc w:val="left"/>
      </w:pPr>
      <w:r>
        <w:rPr>
          <w:rFonts w:ascii="Arial" w:hAnsi="Arial" w:cs="Arial"/>
          <w:sz w:val="22"/>
        </w:rPr>
        <w:lastRenderedPageBreak/>
        <w:t xml:space="preserve">Schroth, H. (2019). Are you ready for Gen Z in the workplace? </w:t>
      </w:r>
      <w:r>
        <w:rPr>
          <w:rFonts w:ascii="Arial" w:hAnsi="Arial" w:cs="Arial"/>
          <w:i/>
          <w:sz w:val="22"/>
        </w:rPr>
        <w:t>California Management Review</w:t>
      </w:r>
      <w:r>
        <w:rPr>
          <w:rFonts w:ascii="Arial" w:hAnsi="Arial" w:cs="Arial"/>
          <w:sz w:val="22"/>
        </w:rPr>
        <w:t xml:space="preserve">, 61(3), pp.5-18. doi: </w:t>
      </w:r>
      <w:hyperlink r:id="rId21">
        <w:r>
          <w:rPr>
            <w:rFonts w:ascii="Arial" w:hAnsi="Arial" w:cs="Arial"/>
            <w:color w:val="0563C1"/>
            <w:sz w:val="22"/>
            <w:u w:val="single"/>
          </w:rPr>
          <w:t>https://doi.org/10.1177/0008125619841006</w:t>
        </w:r>
      </w:hyperlink>
      <w:r>
        <w:rPr>
          <w:rFonts w:ascii="Arial" w:hAnsi="Arial" w:cs="Arial"/>
          <w:sz w:val="22"/>
        </w:rPr>
        <w:t>.</w:t>
      </w:r>
    </w:p>
    <w:p w14:paraId="29B92397" w14:textId="77777777" w:rsidR="00690018" w:rsidRDefault="0020184D">
      <w:pPr>
        <w:spacing w:after="140" w:line="240" w:lineRule="auto"/>
        <w:ind w:left="720" w:hanging="720"/>
        <w:jc w:val="left"/>
      </w:pPr>
      <w:r>
        <w:rPr>
          <w:rFonts w:ascii="Arial" w:hAnsi="Arial" w:cs="Arial"/>
          <w:sz w:val="22"/>
        </w:rPr>
        <w:t xml:space="preserve">Sharma, P., Dhanta, R. and Sharma, A. (2024). Emotional Intelligence and Conflict Resolution in the Workplace. In: </w:t>
      </w:r>
      <w:r>
        <w:rPr>
          <w:rFonts w:ascii="Arial" w:hAnsi="Arial" w:cs="Arial"/>
          <w:i/>
          <w:sz w:val="22"/>
        </w:rPr>
        <w:t>Research Anthology on Business Law, Policy, and Social Responsibility</w:t>
      </w:r>
      <w:r>
        <w:rPr>
          <w:rFonts w:ascii="Arial" w:hAnsi="Arial" w:cs="Arial"/>
          <w:sz w:val="22"/>
        </w:rPr>
        <w:t xml:space="preserve">. IGI Global. Available at: </w:t>
      </w:r>
      <w:hyperlink r:id="rId22">
        <w:r>
          <w:rPr>
            <w:rFonts w:ascii="Arial" w:hAnsi="Arial" w:cs="Arial"/>
            <w:color w:val="0563C1"/>
            <w:sz w:val="22"/>
            <w:u w:val="single"/>
          </w:rPr>
          <w:t>https://www.igi-global.com/chapter/emotional-intelligence-and-conflict-resolution-in-the-workplace/335415</w:t>
        </w:r>
      </w:hyperlink>
      <w:r>
        <w:rPr>
          <w:rFonts w:ascii="Arial" w:hAnsi="Arial" w:cs="Arial"/>
          <w:sz w:val="22"/>
        </w:rPr>
        <w:t>.</w:t>
      </w:r>
    </w:p>
    <w:p w14:paraId="3E97293A" w14:textId="77777777" w:rsidR="00690018" w:rsidRDefault="0020184D">
      <w:pPr>
        <w:spacing w:after="140" w:line="240" w:lineRule="auto"/>
        <w:ind w:left="720" w:hanging="720"/>
        <w:jc w:val="left"/>
      </w:pPr>
      <w:r>
        <w:rPr>
          <w:rFonts w:ascii="Arial" w:hAnsi="Arial" w:cs="Arial"/>
          <w:sz w:val="22"/>
        </w:rPr>
        <w:t xml:space="preserve">Twenge, J.M. (2010). A review of the empirical evidence on generational differences in work attitudes. </w:t>
      </w:r>
      <w:r>
        <w:rPr>
          <w:rFonts w:ascii="Arial" w:hAnsi="Arial" w:cs="Arial"/>
          <w:i/>
          <w:sz w:val="22"/>
        </w:rPr>
        <w:t>Journal of Business and Psychology</w:t>
      </w:r>
      <w:r>
        <w:rPr>
          <w:rFonts w:ascii="Arial" w:hAnsi="Arial" w:cs="Arial"/>
          <w:sz w:val="22"/>
        </w:rPr>
        <w:t xml:space="preserve">, 25(2), pp.201-210. doi: </w:t>
      </w:r>
      <w:hyperlink r:id="rId23">
        <w:r>
          <w:rPr>
            <w:rFonts w:ascii="Arial" w:hAnsi="Arial" w:cs="Arial"/>
            <w:color w:val="0563C1"/>
            <w:sz w:val="22"/>
            <w:u w:val="single"/>
          </w:rPr>
          <w:t>https://doi.org/10.1007/s10869-010-9165-6</w:t>
        </w:r>
      </w:hyperlink>
      <w:r>
        <w:rPr>
          <w:rFonts w:ascii="Arial" w:hAnsi="Arial" w:cs="Arial"/>
          <w:sz w:val="22"/>
        </w:rPr>
        <w:t>.</w:t>
      </w:r>
    </w:p>
    <w:p w14:paraId="481579F3" w14:textId="77777777" w:rsidR="00690018" w:rsidRDefault="0020184D">
      <w:pPr>
        <w:pStyle w:val="Heading1"/>
        <w:pageBreakBefore/>
        <w:jc w:val="left"/>
      </w:pPr>
      <w:r>
        <w:rPr>
          <w:rFonts w:ascii="Times New Roman" w:hAnsi="Times New Roman"/>
          <w:b w:val="0"/>
          <w:sz w:val="32"/>
        </w:rPr>
        <w:lastRenderedPageBreak/>
        <w:t>7. Appendix</w:t>
      </w:r>
    </w:p>
    <w:p w14:paraId="7AF43DFC" w14:textId="77777777" w:rsidR="00690018" w:rsidRDefault="0020184D">
      <w:pPr>
        <w:jc w:val="center"/>
      </w:pPr>
      <w:r>
        <w:rPr>
          <w:i/>
          <w:sz w:val="22"/>
        </w:rPr>
        <w:t>Table 5: Personal Development Action Plan</w:t>
      </w:r>
    </w:p>
    <w:tbl>
      <w:tblPr>
        <w:tblStyle w:val="TableGrid"/>
        <w:tblW w:w="0" w:type="auto"/>
        <w:jc w:val="center"/>
        <w:tblLook w:val="04A0" w:firstRow="1" w:lastRow="0" w:firstColumn="1" w:lastColumn="0" w:noHBand="0" w:noVBand="1"/>
      </w:tblPr>
      <w:tblGrid>
        <w:gridCol w:w="2412"/>
        <w:gridCol w:w="2412"/>
        <w:gridCol w:w="2412"/>
        <w:gridCol w:w="2412"/>
      </w:tblGrid>
      <w:tr w:rsidR="00690018" w14:paraId="610E2AE6" w14:textId="77777777">
        <w:trPr>
          <w:jc w:val="center"/>
        </w:trPr>
        <w:tc>
          <w:tcPr>
            <w:tcW w:w="2412" w:type="dxa"/>
            <w:shd w:val="clear" w:color="auto" w:fill="EADCF8"/>
          </w:tcPr>
          <w:p w14:paraId="06FADD2B" w14:textId="77777777" w:rsidR="00690018" w:rsidRDefault="0020184D">
            <w:pPr>
              <w:spacing w:after="40"/>
              <w:jc w:val="left"/>
            </w:pPr>
            <w:r>
              <w:rPr>
                <w:b/>
                <w:sz w:val="20"/>
              </w:rPr>
              <w:t>Development Area</w:t>
            </w:r>
          </w:p>
        </w:tc>
        <w:tc>
          <w:tcPr>
            <w:tcW w:w="2412" w:type="dxa"/>
            <w:shd w:val="clear" w:color="auto" w:fill="EADCF8"/>
          </w:tcPr>
          <w:p w14:paraId="61036E65" w14:textId="77777777" w:rsidR="00690018" w:rsidRDefault="0020184D">
            <w:pPr>
              <w:spacing w:after="40"/>
              <w:jc w:val="left"/>
            </w:pPr>
            <w:r>
              <w:rPr>
                <w:b/>
                <w:sz w:val="20"/>
              </w:rPr>
              <w:t>Current Risk</w:t>
            </w:r>
          </w:p>
        </w:tc>
        <w:tc>
          <w:tcPr>
            <w:tcW w:w="2412" w:type="dxa"/>
            <w:shd w:val="clear" w:color="auto" w:fill="EADCF8"/>
          </w:tcPr>
          <w:p w14:paraId="5BAF063C" w14:textId="77777777" w:rsidR="00690018" w:rsidRDefault="0020184D">
            <w:pPr>
              <w:spacing w:after="40"/>
              <w:jc w:val="left"/>
            </w:pPr>
            <w:r>
              <w:rPr>
                <w:b/>
                <w:sz w:val="20"/>
              </w:rPr>
              <w:t>Action</w:t>
            </w:r>
          </w:p>
        </w:tc>
        <w:tc>
          <w:tcPr>
            <w:tcW w:w="2412" w:type="dxa"/>
            <w:shd w:val="clear" w:color="auto" w:fill="EADCF8"/>
          </w:tcPr>
          <w:p w14:paraId="648F1B10" w14:textId="77777777" w:rsidR="00690018" w:rsidRDefault="0020184D">
            <w:pPr>
              <w:spacing w:after="40"/>
              <w:jc w:val="left"/>
            </w:pPr>
            <w:r>
              <w:rPr>
                <w:b/>
                <w:sz w:val="20"/>
              </w:rPr>
              <w:t>Expected Improvement</w:t>
            </w:r>
          </w:p>
        </w:tc>
      </w:tr>
      <w:tr w:rsidR="00690018" w14:paraId="61C99C32" w14:textId="77777777">
        <w:trPr>
          <w:jc w:val="center"/>
        </w:trPr>
        <w:tc>
          <w:tcPr>
            <w:tcW w:w="2412" w:type="dxa"/>
          </w:tcPr>
          <w:p w14:paraId="77909D95" w14:textId="77777777" w:rsidR="00690018" w:rsidRDefault="0020184D">
            <w:pPr>
              <w:spacing w:after="40"/>
              <w:jc w:val="left"/>
            </w:pPr>
            <w:r>
              <w:rPr>
                <w:sz w:val="20"/>
              </w:rPr>
              <w:t>Self-awareness</w:t>
            </w:r>
          </w:p>
        </w:tc>
        <w:tc>
          <w:tcPr>
            <w:tcW w:w="2412" w:type="dxa"/>
          </w:tcPr>
          <w:p w14:paraId="01FA49C7" w14:textId="77777777" w:rsidR="00690018" w:rsidRDefault="0020184D">
            <w:pPr>
              <w:spacing w:after="40"/>
              <w:jc w:val="left"/>
            </w:pPr>
            <w:r>
              <w:rPr>
                <w:sz w:val="20"/>
              </w:rPr>
              <w:t>Reacting too quickly under pressure.</w:t>
            </w:r>
          </w:p>
        </w:tc>
        <w:tc>
          <w:tcPr>
            <w:tcW w:w="2412" w:type="dxa"/>
          </w:tcPr>
          <w:p w14:paraId="79ED1974" w14:textId="77777777" w:rsidR="00690018" w:rsidRDefault="0020184D">
            <w:pPr>
              <w:spacing w:after="40"/>
              <w:jc w:val="left"/>
            </w:pPr>
            <w:r>
              <w:rPr>
                <w:sz w:val="20"/>
              </w:rPr>
              <w:t>Notice emotional triggers before difficult conversations.</w:t>
            </w:r>
          </w:p>
        </w:tc>
        <w:tc>
          <w:tcPr>
            <w:tcW w:w="2412" w:type="dxa"/>
          </w:tcPr>
          <w:p w14:paraId="17F65FE5" w14:textId="77777777" w:rsidR="00690018" w:rsidRDefault="0020184D">
            <w:pPr>
              <w:spacing w:after="40"/>
              <w:jc w:val="left"/>
            </w:pPr>
            <w:r>
              <w:rPr>
                <w:sz w:val="20"/>
              </w:rPr>
              <w:t>More controlled and fair communication.</w:t>
            </w:r>
          </w:p>
        </w:tc>
      </w:tr>
      <w:tr w:rsidR="00690018" w14:paraId="03437E6C" w14:textId="77777777">
        <w:trPr>
          <w:jc w:val="center"/>
        </w:trPr>
        <w:tc>
          <w:tcPr>
            <w:tcW w:w="2412" w:type="dxa"/>
          </w:tcPr>
          <w:p w14:paraId="0E7A195C" w14:textId="77777777" w:rsidR="00690018" w:rsidRDefault="0020184D">
            <w:pPr>
              <w:spacing w:after="40"/>
              <w:jc w:val="left"/>
            </w:pPr>
            <w:r>
              <w:rPr>
                <w:sz w:val="20"/>
              </w:rPr>
              <w:t>Self-regulation</w:t>
            </w:r>
          </w:p>
        </w:tc>
        <w:tc>
          <w:tcPr>
            <w:tcW w:w="2412" w:type="dxa"/>
          </w:tcPr>
          <w:p w14:paraId="7D2BA72D" w14:textId="77777777" w:rsidR="00690018" w:rsidRDefault="0020184D">
            <w:pPr>
              <w:spacing w:after="40"/>
              <w:jc w:val="left"/>
            </w:pPr>
            <w:r>
              <w:rPr>
                <w:sz w:val="20"/>
              </w:rPr>
              <w:t>Tone may become too direct during stress.</w:t>
            </w:r>
          </w:p>
        </w:tc>
        <w:tc>
          <w:tcPr>
            <w:tcW w:w="2412" w:type="dxa"/>
          </w:tcPr>
          <w:p w14:paraId="0EB95180" w14:textId="77777777" w:rsidR="00690018" w:rsidRDefault="0020184D">
            <w:pPr>
              <w:spacing w:after="40"/>
              <w:jc w:val="left"/>
            </w:pPr>
            <w:r>
              <w:rPr>
                <w:sz w:val="20"/>
              </w:rPr>
              <w:t>Use a mindful pause before responding.</w:t>
            </w:r>
          </w:p>
        </w:tc>
        <w:tc>
          <w:tcPr>
            <w:tcW w:w="2412" w:type="dxa"/>
          </w:tcPr>
          <w:p w14:paraId="7678618E" w14:textId="77777777" w:rsidR="00690018" w:rsidRDefault="0020184D">
            <w:pPr>
              <w:spacing w:after="40"/>
              <w:jc w:val="left"/>
            </w:pPr>
            <w:r>
              <w:rPr>
                <w:sz w:val="20"/>
              </w:rPr>
              <w:t>Lower conflict and improved professionalism.</w:t>
            </w:r>
          </w:p>
        </w:tc>
      </w:tr>
      <w:tr w:rsidR="00690018" w14:paraId="456CB023" w14:textId="77777777">
        <w:trPr>
          <w:jc w:val="center"/>
        </w:trPr>
        <w:tc>
          <w:tcPr>
            <w:tcW w:w="2412" w:type="dxa"/>
          </w:tcPr>
          <w:p w14:paraId="4F55B632" w14:textId="77777777" w:rsidR="00690018" w:rsidRDefault="0020184D">
            <w:pPr>
              <w:spacing w:after="40"/>
              <w:jc w:val="left"/>
            </w:pPr>
            <w:r>
              <w:rPr>
                <w:sz w:val="20"/>
              </w:rPr>
              <w:t>Empathy</w:t>
            </w:r>
          </w:p>
        </w:tc>
        <w:tc>
          <w:tcPr>
            <w:tcW w:w="2412" w:type="dxa"/>
          </w:tcPr>
          <w:p w14:paraId="263B8884" w14:textId="77777777" w:rsidR="00690018" w:rsidRDefault="0020184D">
            <w:pPr>
              <w:spacing w:after="40"/>
              <w:jc w:val="left"/>
            </w:pPr>
            <w:r>
              <w:rPr>
                <w:sz w:val="20"/>
              </w:rPr>
              <w:t>Assuming the reason behind behaviour too quickly.</w:t>
            </w:r>
          </w:p>
        </w:tc>
        <w:tc>
          <w:tcPr>
            <w:tcW w:w="2412" w:type="dxa"/>
          </w:tcPr>
          <w:p w14:paraId="54F0ED18" w14:textId="77777777" w:rsidR="00690018" w:rsidRDefault="0020184D">
            <w:pPr>
              <w:spacing w:after="40"/>
              <w:jc w:val="left"/>
            </w:pPr>
            <w:r>
              <w:rPr>
                <w:sz w:val="20"/>
              </w:rPr>
              <w:t>Ask clarifying questions and listen actively.</w:t>
            </w:r>
          </w:p>
        </w:tc>
        <w:tc>
          <w:tcPr>
            <w:tcW w:w="2412" w:type="dxa"/>
          </w:tcPr>
          <w:p w14:paraId="39C493F3" w14:textId="77777777" w:rsidR="00690018" w:rsidRDefault="0020184D">
            <w:pPr>
              <w:spacing w:after="40"/>
              <w:jc w:val="left"/>
            </w:pPr>
            <w:r>
              <w:rPr>
                <w:sz w:val="20"/>
              </w:rPr>
              <w:t>Better trust and more accurate judgement.</w:t>
            </w:r>
          </w:p>
        </w:tc>
      </w:tr>
      <w:tr w:rsidR="00690018" w14:paraId="4FC7EA82" w14:textId="77777777">
        <w:trPr>
          <w:jc w:val="center"/>
        </w:trPr>
        <w:tc>
          <w:tcPr>
            <w:tcW w:w="2412" w:type="dxa"/>
          </w:tcPr>
          <w:p w14:paraId="75AE06E7" w14:textId="77777777" w:rsidR="00690018" w:rsidRDefault="0020184D">
            <w:pPr>
              <w:spacing w:after="40"/>
              <w:jc w:val="left"/>
            </w:pPr>
            <w:r>
              <w:rPr>
                <w:sz w:val="20"/>
              </w:rPr>
              <w:t>Social skills</w:t>
            </w:r>
          </w:p>
        </w:tc>
        <w:tc>
          <w:tcPr>
            <w:tcW w:w="2412" w:type="dxa"/>
          </w:tcPr>
          <w:p w14:paraId="304BC41B" w14:textId="77777777" w:rsidR="00690018" w:rsidRDefault="0020184D">
            <w:pPr>
              <w:spacing w:after="40"/>
              <w:jc w:val="left"/>
            </w:pPr>
            <w:r>
              <w:rPr>
                <w:sz w:val="20"/>
              </w:rPr>
              <w:t>Feedback may focus too much on the problem.</w:t>
            </w:r>
          </w:p>
        </w:tc>
        <w:tc>
          <w:tcPr>
            <w:tcW w:w="2412" w:type="dxa"/>
          </w:tcPr>
          <w:p w14:paraId="65AF00C5" w14:textId="77777777" w:rsidR="00690018" w:rsidRDefault="0020184D">
            <w:pPr>
              <w:spacing w:after="40"/>
              <w:jc w:val="left"/>
            </w:pPr>
            <w:r>
              <w:rPr>
                <w:sz w:val="20"/>
              </w:rPr>
              <w:t>Give specific feedback linked to behaviour and standards.</w:t>
            </w:r>
          </w:p>
        </w:tc>
        <w:tc>
          <w:tcPr>
            <w:tcW w:w="2412" w:type="dxa"/>
          </w:tcPr>
          <w:p w14:paraId="05BD71EB" w14:textId="77777777" w:rsidR="00690018" w:rsidRDefault="0020184D">
            <w:pPr>
              <w:spacing w:after="40"/>
              <w:jc w:val="left"/>
            </w:pPr>
            <w:r>
              <w:rPr>
                <w:sz w:val="20"/>
              </w:rPr>
              <w:t>Improved motivation and accountability.</w:t>
            </w:r>
          </w:p>
        </w:tc>
      </w:tr>
    </w:tbl>
    <w:p w14:paraId="437C6886" w14:textId="77777777" w:rsidR="00690018" w:rsidRDefault="0020184D">
      <w:pPr>
        <w:jc w:val="center"/>
      </w:pPr>
      <w:r>
        <w:rPr>
          <w:i/>
          <w:sz w:val="18"/>
        </w:rPr>
        <w:t>Source: Author’s own reflection based on Goleman (1998) and Edmondson (1999).</w:t>
      </w:r>
    </w:p>
    <w:sectPr w:rsidR="00690018" w:rsidSect="00034616">
      <w:footerReference w:type="default" r:id="rId24"/>
      <w:pgSz w:w="12240" w:h="15840"/>
      <w:pgMar w:top="1224" w:right="1296" w:bottom="1224"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50DE8" w14:textId="77777777" w:rsidR="0020184D" w:rsidRDefault="0020184D">
      <w:pPr>
        <w:spacing w:after="0" w:line="240" w:lineRule="auto"/>
      </w:pPr>
      <w:r>
        <w:separator/>
      </w:r>
    </w:p>
  </w:endnote>
  <w:endnote w:type="continuationSeparator" w:id="0">
    <w:p w14:paraId="1E54A0F0" w14:textId="77777777" w:rsidR="0020184D" w:rsidRDefault="00201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2221A" w14:textId="3C2382E0" w:rsidR="00690018" w:rsidRDefault="0020184D">
    <w:pPr>
      <w:pStyle w:val="Footer"/>
      <w:jc w:val="center"/>
    </w:pPr>
    <w:r>
      <w:rPr>
        <w:sz w:val="20"/>
      </w:rPr>
      <w:t xml:space="preserve">Page </w:t>
    </w:r>
    <w:r>
      <w:rPr>
        <w:sz w:val="20"/>
      </w:rPr>
      <w:fldChar w:fldCharType="begin"/>
    </w:r>
    <w:r>
      <w:rPr>
        <w:sz w:val="20"/>
      </w:rPr>
      <w:instrText>PAGE</w:instrText>
    </w:r>
    <w:r w:rsidR="00F246EE">
      <w:rPr>
        <w:sz w:val="20"/>
      </w:rPr>
      <w:fldChar w:fldCharType="separate"/>
    </w:r>
    <w:r w:rsidR="00F246EE">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3ABCC" w14:textId="77777777" w:rsidR="0020184D" w:rsidRDefault="0020184D">
      <w:pPr>
        <w:spacing w:after="0" w:line="240" w:lineRule="auto"/>
      </w:pPr>
      <w:r>
        <w:separator/>
      </w:r>
    </w:p>
  </w:footnote>
  <w:footnote w:type="continuationSeparator" w:id="0">
    <w:p w14:paraId="4F1AE9CB" w14:textId="77777777" w:rsidR="0020184D" w:rsidRDefault="00201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5100453">
    <w:abstractNumId w:val="8"/>
  </w:num>
  <w:num w:numId="2" w16cid:durableId="1756783846">
    <w:abstractNumId w:val="6"/>
  </w:num>
  <w:num w:numId="3" w16cid:durableId="1974872995">
    <w:abstractNumId w:val="5"/>
  </w:num>
  <w:num w:numId="4" w16cid:durableId="177306342">
    <w:abstractNumId w:val="4"/>
  </w:num>
  <w:num w:numId="5" w16cid:durableId="1413771367">
    <w:abstractNumId w:val="7"/>
  </w:num>
  <w:num w:numId="6" w16cid:durableId="1992710617">
    <w:abstractNumId w:val="3"/>
  </w:num>
  <w:num w:numId="7" w16cid:durableId="1618101229">
    <w:abstractNumId w:val="2"/>
  </w:num>
  <w:num w:numId="8" w16cid:durableId="538931533">
    <w:abstractNumId w:val="1"/>
  </w:num>
  <w:num w:numId="9" w16cid:durableId="613639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184D"/>
    <w:rsid w:val="0029639D"/>
    <w:rsid w:val="00326F90"/>
    <w:rsid w:val="00690018"/>
    <w:rsid w:val="006C3D55"/>
    <w:rsid w:val="00AA1D8D"/>
    <w:rsid w:val="00B47730"/>
    <w:rsid w:val="00CB0664"/>
    <w:rsid w:val="00F246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4CA3D13-B8AB-417E-9068-32149CDA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24"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1F4E79"/>
      <w:sz w:val="36"/>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1F4E79"/>
      <w:sz w:val="30"/>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1F4E79"/>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icothema.com/pdf/3271.pdf" TargetMode="External"/><Relationship Id="rId13" Type="http://schemas.openxmlformats.org/officeDocument/2006/relationships/hyperlink" Target="https://doi.org/10.1177/0149206315617003" TargetMode="External"/><Relationship Id="rId18" Type="http://schemas.openxmlformats.org/officeDocument/2006/relationships/hyperlink" Target="https://doi.org/10.1007/s12671-023-02130-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177/0008125619841006" TargetMode="External"/><Relationship Id="rId7" Type="http://schemas.openxmlformats.org/officeDocument/2006/relationships/endnotes" Target="endnotes.xml"/><Relationship Id="rId12" Type="http://schemas.openxmlformats.org/officeDocument/2006/relationships/hyperlink" Target="https://doi.org/10.2307/2666999" TargetMode="External"/><Relationship Id="rId17" Type="http://schemas.openxmlformats.org/officeDocument/2006/relationships/hyperlink" Target="https://doi.org/10.1207/s15327965pli1503_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heliyon.2023.e20356" TargetMode="External"/><Relationship Id="rId20" Type="http://schemas.openxmlformats.org/officeDocument/2006/relationships/hyperlink" Target="https://doi.org/10.2190/DUGG-P24E-52WK-6CD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orgpsych-031413-09123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2/job.1913" TargetMode="External"/><Relationship Id="rId23" Type="http://schemas.openxmlformats.org/officeDocument/2006/relationships/hyperlink" Target="https://doi.org/10.1007/s10869-010-9165-6" TargetMode="External"/><Relationship Id="rId10" Type="http://schemas.openxmlformats.org/officeDocument/2006/relationships/hyperlink" Target="https://doi.org/10.1007/s10869-012-9259-4" TargetMode="External"/><Relationship Id="rId19" Type="http://schemas.openxmlformats.org/officeDocument/2006/relationships/hyperlink" Target="https://doi.org/10.1007/s10869-020-09715-2" TargetMode="External"/><Relationship Id="rId4" Type="http://schemas.openxmlformats.org/officeDocument/2006/relationships/settings" Target="settings.xml"/><Relationship Id="rId9" Type="http://schemas.openxmlformats.org/officeDocument/2006/relationships/hyperlink" Target="https://doi.org/10.1093/clipsy.bph077" TargetMode="External"/><Relationship Id="rId14" Type="http://schemas.openxmlformats.org/officeDocument/2006/relationships/hyperlink" Target="https://doi.org/10.1093/clipsy.bpg016" TargetMode="External"/><Relationship Id="rId22" Type="http://schemas.openxmlformats.org/officeDocument/2006/relationships/hyperlink" Target="https://www.igi-global.com/chapter/emotional-intelligence-and-conflict-resolution-in-the-workplace/3354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5150</Words>
  <Characters>29357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Toshko Trifonov (2407602)</cp:lastModifiedBy>
  <cp:revision>2</cp:revision>
  <dcterms:created xsi:type="dcterms:W3CDTF">2013-12-23T23:15:00Z</dcterms:created>
  <dcterms:modified xsi:type="dcterms:W3CDTF">2026-07-08T21:49:00Z</dcterms:modified>
  <cp:category/>
</cp:coreProperties>
</file>