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BB3DFC" w14:textId="77777777" w:rsidR="00D24AFE" w:rsidRPr="007F5F84" w:rsidRDefault="00000000" w:rsidP="002F29E6">
      <w:r w:rsidRPr="007F5F84">
        <w:t>Does an Organism Only Possess a Serious Right to Life If It Possesses the Concept of a Self as a Continuing Subject of Experiences?</w:t>
      </w:r>
    </w:p>
    <w:p w14:paraId="3A45D094" w14:textId="77777777" w:rsidR="00D24AFE" w:rsidRPr="007F5F84" w:rsidRDefault="00000000" w:rsidP="002F29E6">
      <w:r w:rsidRPr="007F5F84">
        <w:t>A Critical Assessment of Michael Tooley's Account</w:t>
      </w:r>
    </w:p>
    <w:p w14:paraId="235F840D" w14:textId="43E49ECE" w:rsidR="00D24AFE" w:rsidRPr="007F5F84" w:rsidRDefault="00000000" w:rsidP="002F29E6">
      <w:r w:rsidRPr="007F5F84">
        <w:t>[Your Name] | [Module Code]</w:t>
      </w:r>
    </w:p>
    <w:p w14:paraId="31B44C7B" w14:textId="77777777" w:rsidR="00E34EEA" w:rsidRPr="00E34EEA" w:rsidRDefault="00E34EEA" w:rsidP="002F29E6">
      <w:pPr>
        <w:rPr>
          <w:color w:val="1A1A2E"/>
        </w:rPr>
      </w:pPr>
      <w:r w:rsidRPr="00E34EEA">
        <w:br w:type="page"/>
      </w:r>
    </w:p>
    <w:sdt>
      <w:sdtPr>
        <w:rPr>
          <w:rFonts w:asciiTheme="majorBidi" w:eastAsia="Georgia" w:hAnsiTheme="majorBidi"/>
          <w:color w:val="auto"/>
          <w:sz w:val="24"/>
          <w:szCs w:val="24"/>
        </w:rPr>
        <w:id w:val="816611463"/>
        <w:docPartObj>
          <w:docPartGallery w:val="Table of Contents"/>
          <w:docPartUnique/>
        </w:docPartObj>
      </w:sdtPr>
      <w:sdtEndPr>
        <w:rPr>
          <w:noProof/>
        </w:rPr>
      </w:sdtEndPr>
      <w:sdtContent>
        <w:p w14:paraId="20D2C416" w14:textId="3933EEA0" w:rsidR="00A17188" w:rsidRDefault="00A17188">
          <w:pPr>
            <w:pStyle w:val="TOCHeading"/>
          </w:pPr>
          <w:r>
            <w:t>Contents</w:t>
          </w:r>
        </w:p>
        <w:p w14:paraId="2B58D54E" w14:textId="7CC14B0C" w:rsidR="00312A58" w:rsidRDefault="00A17188">
          <w:pPr>
            <w:pStyle w:val="TOC1"/>
            <w:tabs>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6487990" w:history="1">
            <w:r w:rsidR="00312A58" w:rsidRPr="00021F2B">
              <w:rPr>
                <w:rStyle w:val="Hyperlink"/>
                <w:noProof/>
              </w:rPr>
              <w:t>Introduction</w:t>
            </w:r>
            <w:r w:rsidR="00312A58">
              <w:rPr>
                <w:noProof/>
                <w:webHidden/>
              </w:rPr>
              <w:tab/>
            </w:r>
            <w:r w:rsidR="00312A58">
              <w:rPr>
                <w:noProof/>
                <w:webHidden/>
              </w:rPr>
              <w:fldChar w:fldCharType="begin"/>
            </w:r>
            <w:r w:rsidR="00312A58">
              <w:rPr>
                <w:noProof/>
                <w:webHidden/>
              </w:rPr>
              <w:instrText xml:space="preserve"> PAGEREF _Toc226487990 \h </w:instrText>
            </w:r>
            <w:r w:rsidR="00312A58">
              <w:rPr>
                <w:noProof/>
                <w:webHidden/>
              </w:rPr>
            </w:r>
            <w:r w:rsidR="00312A58">
              <w:rPr>
                <w:noProof/>
                <w:webHidden/>
              </w:rPr>
              <w:fldChar w:fldCharType="separate"/>
            </w:r>
            <w:r w:rsidR="00312A58">
              <w:rPr>
                <w:noProof/>
                <w:webHidden/>
              </w:rPr>
              <w:t>3</w:t>
            </w:r>
            <w:r w:rsidR="00312A58">
              <w:rPr>
                <w:noProof/>
                <w:webHidden/>
              </w:rPr>
              <w:fldChar w:fldCharType="end"/>
            </w:r>
          </w:hyperlink>
        </w:p>
        <w:p w14:paraId="09FBC99C" w14:textId="3B4A0EF6" w:rsidR="00312A58" w:rsidRDefault="00312A58">
          <w:pPr>
            <w:pStyle w:val="TOC1"/>
            <w:tabs>
              <w:tab w:val="right" w:leader="dot" w:pos="9350"/>
            </w:tabs>
            <w:rPr>
              <w:rFonts w:asciiTheme="minorHAnsi" w:eastAsiaTheme="minorEastAsia" w:hAnsiTheme="minorHAnsi" w:cstheme="minorBidi"/>
              <w:noProof/>
              <w:kern w:val="2"/>
              <w14:ligatures w14:val="standardContextual"/>
            </w:rPr>
          </w:pPr>
          <w:hyperlink w:anchor="_Toc226487991" w:history="1">
            <w:r w:rsidRPr="00021F2B">
              <w:rPr>
                <w:rStyle w:val="Hyperlink"/>
                <w:noProof/>
              </w:rPr>
              <w:t>I. Tooley's Argument: The Desire Satisfaction Account</w:t>
            </w:r>
            <w:r>
              <w:rPr>
                <w:noProof/>
                <w:webHidden/>
              </w:rPr>
              <w:tab/>
            </w:r>
            <w:r>
              <w:rPr>
                <w:noProof/>
                <w:webHidden/>
              </w:rPr>
              <w:fldChar w:fldCharType="begin"/>
            </w:r>
            <w:r>
              <w:rPr>
                <w:noProof/>
                <w:webHidden/>
              </w:rPr>
              <w:instrText xml:space="preserve"> PAGEREF _Toc226487991 \h </w:instrText>
            </w:r>
            <w:r>
              <w:rPr>
                <w:noProof/>
                <w:webHidden/>
              </w:rPr>
            </w:r>
            <w:r>
              <w:rPr>
                <w:noProof/>
                <w:webHidden/>
              </w:rPr>
              <w:fldChar w:fldCharType="separate"/>
            </w:r>
            <w:r>
              <w:rPr>
                <w:noProof/>
                <w:webHidden/>
              </w:rPr>
              <w:t>3</w:t>
            </w:r>
            <w:r>
              <w:rPr>
                <w:noProof/>
                <w:webHidden/>
              </w:rPr>
              <w:fldChar w:fldCharType="end"/>
            </w:r>
          </w:hyperlink>
        </w:p>
        <w:p w14:paraId="1B7228F6" w14:textId="08A3DD9C" w:rsidR="00312A58" w:rsidRDefault="00312A58">
          <w:pPr>
            <w:pStyle w:val="TOC1"/>
            <w:tabs>
              <w:tab w:val="right" w:leader="dot" w:pos="9350"/>
            </w:tabs>
            <w:rPr>
              <w:rFonts w:asciiTheme="minorHAnsi" w:eastAsiaTheme="minorEastAsia" w:hAnsiTheme="minorHAnsi" w:cstheme="minorBidi"/>
              <w:noProof/>
              <w:kern w:val="2"/>
              <w14:ligatures w14:val="standardContextual"/>
            </w:rPr>
          </w:pPr>
          <w:hyperlink w:anchor="_Toc226487992" w:history="1">
            <w:r w:rsidRPr="00021F2B">
              <w:rPr>
                <w:rStyle w:val="Hyperlink"/>
                <w:noProof/>
              </w:rPr>
              <w:t>II. The Philosophical Foundations: Interests, Desires, and Rights</w:t>
            </w:r>
            <w:r>
              <w:rPr>
                <w:noProof/>
                <w:webHidden/>
              </w:rPr>
              <w:tab/>
            </w:r>
            <w:r>
              <w:rPr>
                <w:noProof/>
                <w:webHidden/>
              </w:rPr>
              <w:fldChar w:fldCharType="begin"/>
            </w:r>
            <w:r>
              <w:rPr>
                <w:noProof/>
                <w:webHidden/>
              </w:rPr>
              <w:instrText xml:space="preserve"> PAGEREF _Toc226487992 \h </w:instrText>
            </w:r>
            <w:r>
              <w:rPr>
                <w:noProof/>
                <w:webHidden/>
              </w:rPr>
            </w:r>
            <w:r>
              <w:rPr>
                <w:noProof/>
                <w:webHidden/>
              </w:rPr>
              <w:fldChar w:fldCharType="separate"/>
            </w:r>
            <w:r>
              <w:rPr>
                <w:noProof/>
                <w:webHidden/>
              </w:rPr>
              <w:t>4</w:t>
            </w:r>
            <w:r>
              <w:rPr>
                <w:noProof/>
                <w:webHidden/>
              </w:rPr>
              <w:fldChar w:fldCharType="end"/>
            </w:r>
          </w:hyperlink>
        </w:p>
        <w:p w14:paraId="059A1D31" w14:textId="7A2D92FF" w:rsidR="00312A58" w:rsidRDefault="00312A58">
          <w:pPr>
            <w:pStyle w:val="TOC1"/>
            <w:tabs>
              <w:tab w:val="right" w:leader="dot" w:pos="9350"/>
            </w:tabs>
            <w:rPr>
              <w:rFonts w:asciiTheme="minorHAnsi" w:eastAsiaTheme="minorEastAsia" w:hAnsiTheme="minorHAnsi" w:cstheme="minorBidi"/>
              <w:noProof/>
              <w:kern w:val="2"/>
              <w14:ligatures w14:val="standardContextual"/>
            </w:rPr>
          </w:pPr>
          <w:hyperlink w:anchor="_Toc226487993" w:history="1">
            <w:r w:rsidRPr="00021F2B">
              <w:rPr>
                <w:rStyle w:val="Hyperlink"/>
                <w:noProof/>
              </w:rPr>
              <w:t>III. Don Marquis's Challenge: The Future-Like-Ours Argument</w:t>
            </w:r>
            <w:r>
              <w:rPr>
                <w:noProof/>
                <w:webHidden/>
              </w:rPr>
              <w:tab/>
            </w:r>
            <w:r>
              <w:rPr>
                <w:noProof/>
                <w:webHidden/>
              </w:rPr>
              <w:fldChar w:fldCharType="begin"/>
            </w:r>
            <w:r>
              <w:rPr>
                <w:noProof/>
                <w:webHidden/>
              </w:rPr>
              <w:instrText xml:space="preserve"> PAGEREF _Toc226487993 \h </w:instrText>
            </w:r>
            <w:r>
              <w:rPr>
                <w:noProof/>
                <w:webHidden/>
              </w:rPr>
            </w:r>
            <w:r>
              <w:rPr>
                <w:noProof/>
                <w:webHidden/>
              </w:rPr>
              <w:fldChar w:fldCharType="separate"/>
            </w:r>
            <w:r>
              <w:rPr>
                <w:noProof/>
                <w:webHidden/>
              </w:rPr>
              <w:t>5</w:t>
            </w:r>
            <w:r>
              <w:rPr>
                <w:noProof/>
                <w:webHidden/>
              </w:rPr>
              <w:fldChar w:fldCharType="end"/>
            </w:r>
          </w:hyperlink>
        </w:p>
        <w:p w14:paraId="045EA0A5" w14:textId="165D7571" w:rsidR="00312A58" w:rsidRDefault="00312A58">
          <w:pPr>
            <w:pStyle w:val="TOC1"/>
            <w:tabs>
              <w:tab w:val="right" w:leader="dot" w:pos="9350"/>
            </w:tabs>
            <w:rPr>
              <w:rFonts w:asciiTheme="minorHAnsi" w:eastAsiaTheme="minorEastAsia" w:hAnsiTheme="minorHAnsi" w:cstheme="minorBidi"/>
              <w:noProof/>
              <w:kern w:val="2"/>
              <w14:ligatures w14:val="standardContextual"/>
            </w:rPr>
          </w:pPr>
          <w:hyperlink w:anchor="_Toc226487994" w:history="1">
            <w:r w:rsidRPr="00021F2B">
              <w:rPr>
                <w:rStyle w:val="Hyperlink"/>
                <w:noProof/>
              </w:rPr>
              <w:t>IV. Mary Anne Warren's Personhood Criteria</w:t>
            </w:r>
            <w:r>
              <w:rPr>
                <w:noProof/>
                <w:webHidden/>
              </w:rPr>
              <w:tab/>
            </w:r>
            <w:r>
              <w:rPr>
                <w:noProof/>
                <w:webHidden/>
              </w:rPr>
              <w:fldChar w:fldCharType="begin"/>
            </w:r>
            <w:r>
              <w:rPr>
                <w:noProof/>
                <w:webHidden/>
              </w:rPr>
              <w:instrText xml:space="preserve"> PAGEREF _Toc226487994 \h </w:instrText>
            </w:r>
            <w:r>
              <w:rPr>
                <w:noProof/>
                <w:webHidden/>
              </w:rPr>
            </w:r>
            <w:r>
              <w:rPr>
                <w:noProof/>
                <w:webHidden/>
              </w:rPr>
              <w:fldChar w:fldCharType="separate"/>
            </w:r>
            <w:r>
              <w:rPr>
                <w:noProof/>
                <w:webHidden/>
              </w:rPr>
              <w:t>6</w:t>
            </w:r>
            <w:r>
              <w:rPr>
                <w:noProof/>
                <w:webHidden/>
              </w:rPr>
              <w:fldChar w:fldCharType="end"/>
            </w:r>
          </w:hyperlink>
        </w:p>
        <w:p w14:paraId="3D458420" w14:textId="34316989" w:rsidR="00312A58" w:rsidRDefault="00312A58">
          <w:pPr>
            <w:pStyle w:val="TOC1"/>
            <w:tabs>
              <w:tab w:val="right" w:leader="dot" w:pos="9350"/>
            </w:tabs>
            <w:rPr>
              <w:rFonts w:asciiTheme="minorHAnsi" w:eastAsiaTheme="minorEastAsia" w:hAnsiTheme="minorHAnsi" w:cstheme="minorBidi"/>
              <w:noProof/>
              <w:kern w:val="2"/>
              <w14:ligatures w14:val="standardContextual"/>
            </w:rPr>
          </w:pPr>
          <w:hyperlink w:anchor="_Toc226487995" w:history="1">
            <w:r w:rsidRPr="00021F2B">
              <w:rPr>
                <w:rStyle w:val="Hyperlink"/>
                <w:noProof/>
              </w:rPr>
              <w:t>V. Peter Singer and the Sentience-Based Alternative</w:t>
            </w:r>
            <w:r>
              <w:rPr>
                <w:noProof/>
                <w:webHidden/>
              </w:rPr>
              <w:tab/>
            </w:r>
            <w:r>
              <w:rPr>
                <w:noProof/>
                <w:webHidden/>
              </w:rPr>
              <w:fldChar w:fldCharType="begin"/>
            </w:r>
            <w:r>
              <w:rPr>
                <w:noProof/>
                <w:webHidden/>
              </w:rPr>
              <w:instrText xml:space="preserve"> PAGEREF _Toc226487995 \h </w:instrText>
            </w:r>
            <w:r>
              <w:rPr>
                <w:noProof/>
                <w:webHidden/>
              </w:rPr>
            </w:r>
            <w:r>
              <w:rPr>
                <w:noProof/>
                <w:webHidden/>
              </w:rPr>
              <w:fldChar w:fldCharType="separate"/>
            </w:r>
            <w:r>
              <w:rPr>
                <w:noProof/>
                <w:webHidden/>
              </w:rPr>
              <w:t>7</w:t>
            </w:r>
            <w:r>
              <w:rPr>
                <w:noProof/>
                <w:webHidden/>
              </w:rPr>
              <w:fldChar w:fldCharType="end"/>
            </w:r>
          </w:hyperlink>
        </w:p>
        <w:p w14:paraId="2EEAA395" w14:textId="35F54C1D" w:rsidR="00312A58" w:rsidRDefault="00312A58">
          <w:pPr>
            <w:pStyle w:val="TOC1"/>
            <w:tabs>
              <w:tab w:val="right" w:leader="dot" w:pos="9350"/>
            </w:tabs>
            <w:rPr>
              <w:rFonts w:asciiTheme="minorHAnsi" w:eastAsiaTheme="minorEastAsia" w:hAnsiTheme="minorHAnsi" w:cstheme="minorBidi"/>
              <w:noProof/>
              <w:kern w:val="2"/>
              <w14:ligatures w14:val="standardContextual"/>
            </w:rPr>
          </w:pPr>
          <w:hyperlink w:anchor="_Toc226487996" w:history="1">
            <w:r w:rsidRPr="00021F2B">
              <w:rPr>
                <w:rStyle w:val="Hyperlink"/>
                <w:noProof/>
              </w:rPr>
              <w:t>VI. Further Objections to Tooley</w:t>
            </w:r>
            <w:r>
              <w:rPr>
                <w:noProof/>
                <w:webHidden/>
              </w:rPr>
              <w:tab/>
            </w:r>
            <w:r>
              <w:rPr>
                <w:noProof/>
                <w:webHidden/>
              </w:rPr>
              <w:fldChar w:fldCharType="begin"/>
            </w:r>
            <w:r>
              <w:rPr>
                <w:noProof/>
                <w:webHidden/>
              </w:rPr>
              <w:instrText xml:space="preserve"> PAGEREF _Toc226487996 \h </w:instrText>
            </w:r>
            <w:r>
              <w:rPr>
                <w:noProof/>
                <w:webHidden/>
              </w:rPr>
            </w:r>
            <w:r>
              <w:rPr>
                <w:noProof/>
                <w:webHidden/>
              </w:rPr>
              <w:fldChar w:fldCharType="separate"/>
            </w:r>
            <w:r>
              <w:rPr>
                <w:noProof/>
                <w:webHidden/>
              </w:rPr>
              <w:t>8</w:t>
            </w:r>
            <w:r>
              <w:rPr>
                <w:noProof/>
                <w:webHidden/>
              </w:rPr>
              <w:fldChar w:fldCharType="end"/>
            </w:r>
          </w:hyperlink>
        </w:p>
        <w:p w14:paraId="7A924A71" w14:textId="271F3A32" w:rsidR="00312A58" w:rsidRDefault="00312A58">
          <w:pPr>
            <w:pStyle w:val="TOC1"/>
            <w:tabs>
              <w:tab w:val="right" w:leader="dot" w:pos="9350"/>
            </w:tabs>
            <w:rPr>
              <w:rFonts w:asciiTheme="minorHAnsi" w:eastAsiaTheme="minorEastAsia" w:hAnsiTheme="minorHAnsi" w:cstheme="minorBidi"/>
              <w:noProof/>
              <w:kern w:val="2"/>
              <w14:ligatures w14:val="standardContextual"/>
            </w:rPr>
          </w:pPr>
          <w:hyperlink w:anchor="_Toc226487997" w:history="1">
            <w:r w:rsidRPr="00021F2B">
              <w:rPr>
                <w:rStyle w:val="Hyperlink"/>
                <w:noProof/>
              </w:rPr>
              <w:t>VII. Defending Tooley: What His Account Gets Right</w:t>
            </w:r>
            <w:r>
              <w:rPr>
                <w:noProof/>
                <w:webHidden/>
              </w:rPr>
              <w:tab/>
            </w:r>
            <w:r>
              <w:rPr>
                <w:noProof/>
                <w:webHidden/>
              </w:rPr>
              <w:fldChar w:fldCharType="begin"/>
            </w:r>
            <w:r>
              <w:rPr>
                <w:noProof/>
                <w:webHidden/>
              </w:rPr>
              <w:instrText xml:space="preserve"> PAGEREF _Toc226487997 \h </w:instrText>
            </w:r>
            <w:r>
              <w:rPr>
                <w:noProof/>
                <w:webHidden/>
              </w:rPr>
            </w:r>
            <w:r>
              <w:rPr>
                <w:noProof/>
                <w:webHidden/>
              </w:rPr>
              <w:fldChar w:fldCharType="separate"/>
            </w:r>
            <w:r>
              <w:rPr>
                <w:noProof/>
                <w:webHidden/>
              </w:rPr>
              <w:t>8</w:t>
            </w:r>
            <w:r>
              <w:rPr>
                <w:noProof/>
                <w:webHidden/>
              </w:rPr>
              <w:fldChar w:fldCharType="end"/>
            </w:r>
          </w:hyperlink>
        </w:p>
        <w:p w14:paraId="593EBD8C" w14:textId="01C35AF2" w:rsidR="00312A58" w:rsidRDefault="00312A58">
          <w:pPr>
            <w:pStyle w:val="TOC1"/>
            <w:tabs>
              <w:tab w:val="right" w:leader="dot" w:pos="9350"/>
            </w:tabs>
            <w:rPr>
              <w:rFonts w:asciiTheme="minorHAnsi" w:eastAsiaTheme="minorEastAsia" w:hAnsiTheme="minorHAnsi" w:cstheme="minorBidi"/>
              <w:noProof/>
              <w:kern w:val="2"/>
              <w14:ligatures w14:val="standardContextual"/>
            </w:rPr>
          </w:pPr>
          <w:hyperlink w:anchor="_Toc226487998" w:history="1">
            <w:r w:rsidRPr="00021F2B">
              <w:rPr>
                <w:rStyle w:val="Hyperlink"/>
                <w:noProof/>
              </w:rPr>
              <w:t>Conclusion</w:t>
            </w:r>
            <w:r>
              <w:rPr>
                <w:noProof/>
                <w:webHidden/>
              </w:rPr>
              <w:tab/>
            </w:r>
            <w:r>
              <w:rPr>
                <w:noProof/>
                <w:webHidden/>
              </w:rPr>
              <w:fldChar w:fldCharType="begin"/>
            </w:r>
            <w:r>
              <w:rPr>
                <w:noProof/>
                <w:webHidden/>
              </w:rPr>
              <w:instrText xml:space="preserve"> PAGEREF _Toc226487998 \h </w:instrText>
            </w:r>
            <w:r>
              <w:rPr>
                <w:noProof/>
                <w:webHidden/>
              </w:rPr>
            </w:r>
            <w:r>
              <w:rPr>
                <w:noProof/>
                <w:webHidden/>
              </w:rPr>
              <w:fldChar w:fldCharType="separate"/>
            </w:r>
            <w:r>
              <w:rPr>
                <w:noProof/>
                <w:webHidden/>
              </w:rPr>
              <w:t>9</w:t>
            </w:r>
            <w:r>
              <w:rPr>
                <w:noProof/>
                <w:webHidden/>
              </w:rPr>
              <w:fldChar w:fldCharType="end"/>
            </w:r>
          </w:hyperlink>
        </w:p>
        <w:p w14:paraId="56FA7E4C" w14:textId="00E7C414" w:rsidR="00312A58" w:rsidRDefault="00312A58">
          <w:pPr>
            <w:pStyle w:val="TOC1"/>
            <w:tabs>
              <w:tab w:val="right" w:leader="dot" w:pos="9350"/>
            </w:tabs>
            <w:rPr>
              <w:rFonts w:asciiTheme="minorHAnsi" w:eastAsiaTheme="minorEastAsia" w:hAnsiTheme="minorHAnsi" w:cstheme="minorBidi"/>
              <w:noProof/>
              <w:kern w:val="2"/>
              <w14:ligatures w14:val="standardContextual"/>
            </w:rPr>
          </w:pPr>
          <w:hyperlink w:anchor="_Toc226487999" w:history="1">
            <w:r w:rsidRPr="00021F2B">
              <w:rPr>
                <w:rStyle w:val="Hyperlink"/>
                <w:noProof/>
              </w:rPr>
              <w:t>References</w:t>
            </w:r>
            <w:r>
              <w:rPr>
                <w:noProof/>
                <w:webHidden/>
              </w:rPr>
              <w:tab/>
            </w:r>
            <w:r>
              <w:rPr>
                <w:noProof/>
                <w:webHidden/>
              </w:rPr>
              <w:fldChar w:fldCharType="begin"/>
            </w:r>
            <w:r>
              <w:rPr>
                <w:noProof/>
                <w:webHidden/>
              </w:rPr>
              <w:instrText xml:space="preserve"> PAGEREF _Toc226487999 \h </w:instrText>
            </w:r>
            <w:r>
              <w:rPr>
                <w:noProof/>
                <w:webHidden/>
              </w:rPr>
            </w:r>
            <w:r>
              <w:rPr>
                <w:noProof/>
                <w:webHidden/>
              </w:rPr>
              <w:fldChar w:fldCharType="separate"/>
            </w:r>
            <w:r>
              <w:rPr>
                <w:noProof/>
                <w:webHidden/>
              </w:rPr>
              <w:t>11</w:t>
            </w:r>
            <w:r>
              <w:rPr>
                <w:noProof/>
                <w:webHidden/>
              </w:rPr>
              <w:fldChar w:fldCharType="end"/>
            </w:r>
          </w:hyperlink>
        </w:p>
        <w:p w14:paraId="50B930EB" w14:textId="62CC0CAA" w:rsidR="00A17188" w:rsidRDefault="00A17188" w:rsidP="002F29E6">
          <w:r>
            <w:rPr>
              <w:noProof/>
            </w:rPr>
            <w:fldChar w:fldCharType="end"/>
          </w:r>
        </w:p>
      </w:sdtContent>
    </w:sdt>
    <w:p w14:paraId="00EB95B0" w14:textId="77777777" w:rsidR="00A17188" w:rsidRDefault="00A17188" w:rsidP="002F29E6">
      <w:r>
        <w:br w:type="page"/>
      </w:r>
    </w:p>
    <w:p w14:paraId="2259A8BD" w14:textId="1857F200" w:rsidR="00D24AFE" w:rsidRPr="00E34EEA" w:rsidRDefault="00000000" w:rsidP="00FD4C3F">
      <w:pPr>
        <w:pStyle w:val="Heading1"/>
      </w:pPr>
      <w:bookmarkStart w:id="0" w:name="_Toc226487990"/>
      <w:r w:rsidRPr="00E34EEA">
        <w:lastRenderedPageBreak/>
        <w:t>Introduction</w:t>
      </w:r>
      <w:bookmarkEnd w:id="0"/>
    </w:p>
    <w:p w14:paraId="0A067430" w14:textId="77777777" w:rsidR="0087639A" w:rsidRDefault="0087639A" w:rsidP="0087639A">
      <w:r>
        <w:t>Among the most controversial issues in moral philosophy is the question of what is the rationale behind a serious right to life. Michael Tooley, in his influential treatise, first in his 1972 paper, Abortion and Infanticide, and subsequently extended in his book of the same title in 1983, sets a strict condition in relation to when an organism has a serious right to life. Tooley claims that the organism is entitled to life only in cases when it has the concept of itself as a continuity of subjects of experiences and considers itself to be such a being. The implications of this view are far-reaching since it implies that it is not only fetuses and infants that are not rights-bearers, but also many non-human animals. Tooley, however, admits that there might be non-human animals which are self-aware, and this might give them a right to live.</w:t>
      </w:r>
    </w:p>
    <w:p w14:paraId="64AB0F1C" w14:textId="34A40C10" w:rsidR="00D24AFE" w:rsidRPr="00E34EEA" w:rsidRDefault="0087639A" w:rsidP="0087639A">
      <w:r>
        <w:t>In this essay, I will summarise his argument and discuss the philosophical assumptions that Tooley is making. It will also critically analyse the stance of Tooley in comparison to other opposing positions which have been advanced by other philosophers like Don Marquis, who supports a potentiality-based argument of the right to life, Mary Anne Warren, who provides a personhood criterion and Peter Singer, who advocates the capacity to be sentient as a criterion of moral consideration. Though Tooley provides a strict and thought-provoking analysis, it ultimately is too limited, basing its arguments on assumptions regarding the connection between desires, concepts, and rights that are controversial. Thus, Tooley makes a valuable contribution to the debate, but his argument is not complete enough to support the right to life.</w:t>
      </w:r>
    </w:p>
    <w:p w14:paraId="116F84B5" w14:textId="77777777" w:rsidR="00D24AFE" w:rsidRPr="00E34EEA" w:rsidRDefault="00000000" w:rsidP="00FD4C3F">
      <w:pPr>
        <w:pStyle w:val="Heading1"/>
      </w:pPr>
      <w:bookmarkStart w:id="1" w:name="_Toc226487991"/>
      <w:r w:rsidRPr="00E34EEA">
        <w:t>I. Tooley's Argument: The Desire Satisfaction Account</w:t>
      </w:r>
      <w:bookmarkEnd w:id="1"/>
    </w:p>
    <w:p w14:paraId="4FD500D9" w14:textId="77777777" w:rsidR="00A17188" w:rsidRDefault="00A17188" w:rsidP="002F29E6">
      <w:r>
        <w:t xml:space="preserve">The stand of Tooley is based on a wider theory of rights. He starts with the assumption that to have a right to X is to have an interest in X, and that to have an interest in X is to have the ability to </w:t>
      </w:r>
      <w:r>
        <w:lastRenderedPageBreak/>
        <w:t xml:space="preserve">desire X. When applied to the right to life, it will be: to have a right to go on existing, something must be able to desire to go on existing. To wish to go on existing oneself, however, one must have the notion of oneself as a continuing subject - a </w:t>
      </w:r>
      <w:proofErr w:type="spellStart"/>
      <w:r>
        <w:t>self continuing</w:t>
      </w:r>
      <w:proofErr w:type="spellEnd"/>
      <w:r>
        <w:t xml:space="preserve"> through time. Without this idea, the organism simply will not be able to develop the corresponding desire, and thus will not have the corresponding right.</w:t>
      </w:r>
    </w:p>
    <w:p w14:paraId="398E61AB" w14:textId="77777777" w:rsidR="00A17188" w:rsidRDefault="00A17188" w:rsidP="002F29E6">
      <w:r>
        <w:t>According to Tooley, no entity can have any right to life unless it has what he refers to as the concept of a self as a persistent subject of experience and other mental states, and who believes that it is such a persistent entity (Tooley, 1972, p. 44). It is not simply a pragmatic threshold but a conceptual one: the ability to form a concept of oneself is what defines, rather than is correlated with, the right to life.</w:t>
      </w:r>
    </w:p>
    <w:p w14:paraId="16B5DE26" w14:textId="2645B8FC" w:rsidR="00D24AFE" w:rsidRPr="00E34EEA" w:rsidRDefault="00A17188" w:rsidP="002F29E6">
      <w:r>
        <w:t xml:space="preserve">The consequences are radical. </w:t>
      </w:r>
      <w:proofErr w:type="spellStart"/>
      <w:r>
        <w:t>Foetuses</w:t>
      </w:r>
      <w:proofErr w:type="spellEnd"/>
      <w:r>
        <w:t xml:space="preserve"> obviously do not possess this ability, and neither do newborn infants, as Tooley believes that these infants have not yet formed the necessary sense of self. This renders infanticide, on his reckoning, not inherently wrong as killing an adult human being is. In the same way, animals that are not self-conscious, the great majority of which, Tooley argues, are not, are not subject to serious rights to life.</w:t>
      </w:r>
    </w:p>
    <w:p w14:paraId="5A18050F" w14:textId="77777777" w:rsidR="00D24AFE" w:rsidRPr="00FD4C3F" w:rsidRDefault="00000000" w:rsidP="00FD4C3F">
      <w:pPr>
        <w:pStyle w:val="Heading1"/>
      </w:pPr>
      <w:bookmarkStart w:id="2" w:name="_Toc226487992"/>
      <w:r w:rsidRPr="00FD4C3F">
        <w:t>II. The Philosophical Foundations: Interests, Desires, and Rights</w:t>
      </w:r>
      <w:bookmarkEnd w:id="2"/>
    </w:p>
    <w:p w14:paraId="19167A4E" w14:textId="77777777" w:rsidR="00440504" w:rsidRDefault="00440504" w:rsidP="002F29E6">
      <w:r>
        <w:t>Tooley based his argument on a particular study of the connection between rights and desires, which is also referred to as the Interest Theory of rights or Will Theory of rights. In this case, the concept of an interest proposed by Joel Feinberg is helpful: one has to have an interest in something in order to have a stake in it, which presupposes that the latter must be sentient or goal-oriented (Feinberg, 1974). Tooley hones this: not any interest grounds a right, but only those interests which are mediated by desires, only those desires which assume conceptual self-consciousness.</w:t>
      </w:r>
    </w:p>
    <w:p w14:paraId="64ED3B7A" w14:textId="0E5EC64D" w:rsidR="00D24AFE" w:rsidRPr="00E34EEA" w:rsidRDefault="00440504" w:rsidP="002F29E6">
      <w:r>
        <w:lastRenderedPageBreak/>
        <w:t xml:space="preserve">This is logically consistent yet not undisputed. An objection is that Tooley is mixing up having an interest with conscious desire. An entity may possess interests - things that are good or bad to it - without its reflecting such interests in the form of desires. Even when a sleeping person is not at that time forming any relevant desire, he has an interest in not being killed. Tooley predicts this objection and answers that it is not occurrent but dispositional desires that matter -desires that the entity would have had, were it in the right conscious state. Nonetheless, critics claim that this step delegitimizes his own criterion: in case dispositional desires suffice then there is no obvious reason why self-concept is needed, given that there are numerous creatures who may </w:t>
      </w:r>
      <w:proofErr w:type="spellStart"/>
      <w:r>
        <w:t>dispositionally</w:t>
      </w:r>
      <w:proofErr w:type="spellEnd"/>
      <w:r>
        <w:t xml:space="preserve"> desire further existence lacking explicit self-representations.</w:t>
      </w:r>
    </w:p>
    <w:p w14:paraId="7C0FB32C" w14:textId="77777777" w:rsidR="00D24AFE" w:rsidRPr="00E34EEA" w:rsidRDefault="00000000" w:rsidP="00FD4C3F">
      <w:pPr>
        <w:pStyle w:val="Heading1"/>
      </w:pPr>
      <w:bookmarkStart w:id="3" w:name="_Toc226487993"/>
      <w:r w:rsidRPr="00E34EEA">
        <w:t>III. Don Marquis's Challenge: The Future-Like-Ours Argument</w:t>
      </w:r>
      <w:bookmarkEnd w:id="3"/>
    </w:p>
    <w:p w14:paraId="1714E064" w14:textId="77777777" w:rsidR="001127E2" w:rsidRDefault="001127E2" w:rsidP="002F29E6">
      <w:r>
        <w:t>A response to Tooley that is perhaps the strongest is the 1989 paper by Don Marquis titled Why Abortion is Immoral. What makes killing wrong, argues Marquis, is not the frustration of present desires, but the loss of a future such as ours, a future with experiences, projects, enjoyments, and activities of value. In this regard, it is quite wrong to kill a foetus just as it is wrong to kill an adult: both are denied a precious future.</w:t>
      </w:r>
    </w:p>
    <w:p w14:paraId="16F11C3F" w14:textId="77777777" w:rsidR="001127E2" w:rsidRDefault="001127E2" w:rsidP="002F29E6">
      <w:r>
        <w:t>The construction of the account by Marquis is designed to avoid the self-concept requirement by Tooley. To make it true that killing a foetus will deny it a precious future, it is not necessary that it has any concept of itself or its own future. The immorality of killing is in the objective denudation, not in the subjective disappointment of a wish.</w:t>
      </w:r>
    </w:p>
    <w:p w14:paraId="56045575" w14:textId="3AD54E0A" w:rsidR="00D24AFE" w:rsidRPr="00E34EEA" w:rsidRDefault="001127E2" w:rsidP="002F29E6">
      <w:r>
        <w:t xml:space="preserve">This is a great challenge. It hints that Tooley has confused the basis of the right to life. Nevertheless, there are objections to the account of the Marquis. It appears to suggest that contraception is gravely evil, as contraception also denies a potential future individual the right to </w:t>
      </w:r>
      <w:r>
        <w:lastRenderedPageBreak/>
        <w:t>a precious life. Marquis tries to escape this argument by separating potential and actual futures, yet the distinction is subject to debate by philosophers. Moreover, the description offered by Marquis can be excessive: given the importance of future value, then objects of very different types of futures (animals, say) would gain rights that they would not have otherwise in his scheme.</w:t>
      </w:r>
    </w:p>
    <w:p w14:paraId="7F4F4D28" w14:textId="77777777" w:rsidR="00D24AFE" w:rsidRPr="00E34EEA" w:rsidRDefault="00000000" w:rsidP="00FD4C3F">
      <w:pPr>
        <w:pStyle w:val="Heading1"/>
      </w:pPr>
      <w:bookmarkStart w:id="4" w:name="_Toc226487994"/>
      <w:r w:rsidRPr="00E34EEA">
        <w:t>IV. Mary Anne Warren's Personhood Criteria</w:t>
      </w:r>
      <w:bookmarkEnd w:id="4"/>
    </w:p>
    <w:p w14:paraId="37ADECF1" w14:textId="77777777" w:rsidR="00C05FE3" w:rsidRPr="002F29E6" w:rsidRDefault="00C05FE3" w:rsidP="002F29E6">
      <w:r w:rsidRPr="002F29E6">
        <w:t xml:space="preserve">Mary Anne Warren (1973) provides an alternative to Tooley, not that his general framework is incorrect, but by </w:t>
      </w:r>
      <w:proofErr w:type="spellStart"/>
      <w:r w:rsidRPr="002F29E6">
        <w:t>pluralising</w:t>
      </w:r>
      <w:proofErr w:type="spellEnd"/>
      <w:r w:rsidRPr="002F29E6">
        <w:t xml:space="preserve"> the conditions of moral personhood. According to Warren, there are five traits that apply to personhood, namely, consciousness, reasoning, self-motivated activity, communication, and self-awareness. She maintains that there is no particular trait required or needed, and that a being must not have all five to be considered a person, but that several must be possessed to be regarded as a full-fledged moral being.</w:t>
      </w:r>
    </w:p>
    <w:p w14:paraId="2667A89A" w14:textId="77777777" w:rsidR="00C05FE3" w:rsidRDefault="00C05FE3" w:rsidP="002F29E6">
      <w:r>
        <w:t xml:space="preserve">This version of Warren is more pliant than Tooley, but has its own issues. By turning personhood into a degree, she runs the risk of turning the right to life into a gradation, an inference she would agree to, yet it seems counterintuitive to many. In addition, similar to Tooley, the criteria proposed by Warren do not cover </w:t>
      </w:r>
      <w:proofErr w:type="spellStart"/>
      <w:r>
        <w:t>foetuses</w:t>
      </w:r>
      <w:proofErr w:type="spellEnd"/>
      <w:r>
        <w:t xml:space="preserve"> or infants. She chews on this bullet, but claims that babies are not persons in the morally relevant sense, but social and relational factors can provide reasons not to kill them (Warren, 1973).</w:t>
      </w:r>
    </w:p>
    <w:p w14:paraId="10EE36C1" w14:textId="71BBE79F" w:rsidR="00D24AFE" w:rsidRPr="00E34EEA" w:rsidRDefault="00C05FE3" w:rsidP="002F29E6">
      <w:r>
        <w:t xml:space="preserve">The analogy of Tooley is educative. Warren is more pluralistic and comes to the same conclusions about </w:t>
      </w:r>
      <w:proofErr w:type="spellStart"/>
      <w:r>
        <w:t>foetuses</w:t>
      </w:r>
      <w:proofErr w:type="spellEnd"/>
      <w:r>
        <w:t xml:space="preserve"> and infants. The two narrations place more emphasis on intellectual and psychological complexity rather than on biological humanity. The point is that Tooley has one defining feature, self-conception, whereas Warren allocates moral weight among various characteristics.</w:t>
      </w:r>
    </w:p>
    <w:p w14:paraId="1DB750C6" w14:textId="77777777" w:rsidR="00D24AFE" w:rsidRPr="00E34EEA" w:rsidRDefault="00000000" w:rsidP="00FD4C3F">
      <w:pPr>
        <w:pStyle w:val="Heading1"/>
      </w:pPr>
      <w:bookmarkStart w:id="5" w:name="_Toc226487995"/>
      <w:r w:rsidRPr="00E34EEA">
        <w:lastRenderedPageBreak/>
        <w:t>V. Peter Singer and the Sentience-Based Alternative</w:t>
      </w:r>
      <w:bookmarkEnd w:id="5"/>
    </w:p>
    <w:p w14:paraId="7EC96A6D" w14:textId="77777777" w:rsidR="005B4F53" w:rsidRDefault="005B4F53" w:rsidP="002F29E6">
      <w:r>
        <w:t xml:space="preserve">Peter Singer presents a rather different basis of moral status. Basing it on the principles of utilitarianism and on the well-known saying of Bentham: The question is not, </w:t>
      </w:r>
      <w:proofErr w:type="gramStart"/>
      <w:r>
        <w:t>Can</w:t>
      </w:r>
      <w:proofErr w:type="gramEnd"/>
      <w:r>
        <w:t xml:space="preserve"> they reason? Nor can they talk? But can they suffer? Singer goes on to contend that moral consideration should not be based on self-awareness, but rather on the ability to suffer and enjoy (Singer, 1975).</w:t>
      </w:r>
    </w:p>
    <w:p w14:paraId="1004C406" w14:textId="77777777" w:rsidR="005B4F53" w:rsidRDefault="005B4F53" w:rsidP="002F29E6">
      <w:r>
        <w:t>Singer, however, does make a distinction between being a sentient creature and being a person. Singer thinks of persons as self-aware, rational agents who are interested in their future, and the frustrations of the future-oriented preferences are what make killing persons particularly wrong. In this regard, the account of Singer aligns with that of Tooley: both believe that the badness of killing a person is connected with the disappointment of desires which already assume self-permanence.</w:t>
      </w:r>
    </w:p>
    <w:p w14:paraId="21E0C75D" w14:textId="77777777" w:rsidR="005B4F53" w:rsidRDefault="005B4F53" w:rsidP="002F29E6">
      <w:r>
        <w:t>However, Singer has a larger context: even sentient non-persons are interested in not suffering, and these interests create strong moral duties. Thus, although Singer concurs with Tooley on what constitutes killing persons as seriously wrong, he does not agree that self-aware beings are the only ones for whom moral protection is warranted. Sentience in itself creates a certain degree of moral status, though not necessarily the complete right to life enjoyed by persons.</w:t>
      </w:r>
    </w:p>
    <w:p w14:paraId="63ECB670" w14:textId="474D0291" w:rsidR="00D24AFE" w:rsidRPr="00E34EEA" w:rsidRDefault="005B4F53" w:rsidP="002F29E6">
      <w:r>
        <w:t>This is a critical correction of Tooley. The binary of whether you have self-concept and therefore have a serious right to life, or you do not, and therefore you do not have a right to life, to Tooley appears to lack the moral importance of pain and suffering in beings who are not conscious of themselves. The cat or a newborn baby can be suffering acutely, and this suffering is not only of moral concern but also of moral concern even in the case where neither being conceives him or herself as a persisting subject.</w:t>
      </w:r>
    </w:p>
    <w:p w14:paraId="0B1FC5DA" w14:textId="77777777" w:rsidR="00D24AFE" w:rsidRPr="00E34EEA" w:rsidRDefault="00000000" w:rsidP="00FD4C3F">
      <w:pPr>
        <w:pStyle w:val="Heading1"/>
      </w:pPr>
      <w:bookmarkStart w:id="6" w:name="_Toc226487996"/>
      <w:r w:rsidRPr="00E34EEA">
        <w:lastRenderedPageBreak/>
        <w:t>VI. Further Objections to Tooley</w:t>
      </w:r>
      <w:bookmarkEnd w:id="6"/>
    </w:p>
    <w:p w14:paraId="67894C5F" w14:textId="77777777" w:rsidR="005B4F53" w:rsidRDefault="005B4F53" w:rsidP="002F29E6">
      <w:r>
        <w:t>Other than the above, a number of other objections are worth considering.</w:t>
      </w:r>
    </w:p>
    <w:p w14:paraId="1943C0D1" w14:textId="77777777" w:rsidR="005B4F53" w:rsidRPr="002F29E6" w:rsidRDefault="005B4F53" w:rsidP="002F29E6">
      <w:pPr>
        <w:pStyle w:val="ListParagraph"/>
        <w:numPr>
          <w:ilvl w:val="0"/>
          <w:numId w:val="3"/>
        </w:numPr>
        <w:spacing w:line="480" w:lineRule="auto"/>
        <w:jc w:val="both"/>
        <w:rPr>
          <w:rFonts w:asciiTheme="majorBidi" w:hAnsiTheme="majorBidi" w:cstheme="majorBidi"/>
        </w:rPr>
      </w:pPr>
      <w:r w:rsidRPr="002F29E6">
        <w:rPr>
          <w:rFonts w:asciiTheme="majorBidi" w:hAnsiTheme="majorBidi" w:cstheme="majorBidi"/>
          <w:b/>
          <w:bCs/>
        </w:rPr>
        <w:t>The Argument of Marginal Cases:</w:t>
      </w:r>
      <w:r w:rsidRPr="002F29E6">
        <w:rPr>
          <w:rFonts w:asciiTheme="majorBidi" w:hAnsiTheme="majorBidi" w:cstheme="majorBidi"/>
        </w:rPr>
        <w:t xml:space="preserve"> When Tooley is consistent in his criterion, he will rule out not only </w:t>
      </w:r>
      <w:proofErr w:type="spellStart"/>
      <w:r w:rsidRPr="002F29E6">
        <w:rPr>
          <w:rFonts w:asciiTheme="majorBidi" w:hAnsiTheme="majorBidi" w:cstheme="majorBidi"/>
        </w:rPr>
        <w:t>foetuses</w:t>
      </w:r>
      <w:proofErr w:type="spellEnd"/>
      <w:r w:rsidRPr="002F29E6">
        <w:rPr>
          <w:rFonts w:asciiTheme="majorBidi" w:hAnsiTheme="majorBidi" w:cstheme="majorBidi"/>
        </w:rPr>
        <w:t xml:space="preserve"> and infants, but also severely cognitively impaired humans, who do not have the corresponding self-concept. The overwhelming intuition of most people is that such human beings still have a grave right to life. Tooley, in his turn, does accept the implication - in the same sense, severely cognitively impaired humans have no right to life, but we might have good reasons of sympathy and social solidarity to safeguard them. The conclusion is deeply troubling to many philosophers and is seen by them as a reductio of the stance of Tooley.</w:t>
      </w:r>
    </w:p>
    <w:p w14:paraId="5748BF68" w14:textId="77777777" w:rsidR="005B4F53" w:rsidRPr="002F29E6" w:rsidRDefault="005B4F53" w:rsidP="002F29E6">
      <w:pPr>
        <w:pStyle w:val="ListParagraph"/>
        <w:numPr>
          <w:ilvl w:val="0"/>
          <w:numId w:val="3"/>
        </w:numPr>
        <w:spacing w:line="480" w:lineRule="auto"/>
        <w:jc w:val="both"/>
        <w:rPr>
          <w:rFonts w:asciiTheme="majorBidi" w:hAnsiTheme="majorBidi" w:cstheme="majorBidi"/>
        </w:rPr>
      </w:pPr>
      <w:r w:rsidRPr="002F29E6">
        <w:rPr>
          <w:rFonts w:asciiTheme="majorBidi" w:hAnsiTheme="majorBidi" w:cstheme="majorBidi"/>
          <w:b/>
          <w:bCs/>
        </w:rPr>
        <w:t>The Gradualism Problem:</w:t>
      </w:r>
      <w:r w:rsidRPr="002F29E6">
        <w:rPr>
          <w:rFonts w:asciiTheme="majorBidi" w:hAnsiTheme="majorBidi" w:cstheme="majorBidi"/>
        </w:rPr>
        <w:t xml:space="preserve"> Tooley's explanation appears to suggest that the right to life is received somewhere at a certain stage of development, when the self-concept develops. However, infants do not get self-awareness overnight. The question of how to deal with this gradual coming out in a framework which regards the right to life as binary is vexed.</w:t>
      </w:r>
    </w:p>
    <w:p w14:paraId="4EB2891C" w14:textId="2193A3EA" w:rsidR="00D24AFE" w:rsidRPr="002F29E6" w:rsidRDefault="005B4F53" w:rsidP="002F29E6">
      <w:pPr>
        <w:pStyle w:val="ListParagraph"/>
        <w:numPr>
          <w:ilvl w:val="0"/>
          <w:numId w:val="3"/>
        </w:numPr>
        <w:spacing w:line="480" w:lineRule="auto"/>
        <w:jc w:val="both"/>
        <w:rPr>
          <w:rFonts w:asciiTheme="majorBidi" w:hAnsiTheme="majorBidi" w:cstheme="majorBidi"/>
        </w:rPr>
      </w:pPr>
      <w:r w:rsidRPr="002F29E6">
        <w:rPr>
          <w:rFonts w:asciiTheme="majorBidi" w:hAnsiTheme="majorBidi" w:cstheme="majorBidi"/>
          <w:b/>
          <w:bCs/>
        </w:rPr>
        <w:t>Conceptual Inflation:</w:t>
      </w:r>
      <w:r w:rsidRPr="002F29E6">
        <w:rPr>
          <w:rFonts w:asciiTheme="majorBidi" w:hAnsiTheme="majorBidi" w:cstheme="majorBidi"/>
        </w:rPr>
        <w:t xml:space="preserve"> There are critics who say that Tooley places the bar too high even for ordinary adult humans. There are a lot of adults who do not actively form self-referential beliefs in dreamless sleep or in an </w:t>
      </w:r>
      <w:proofErr w:type="spellStart"/>
      <w:r w:rsidRPr="002F29E6">
        <w:rPr>
          <w:rFonts w:asciiTheme="majorBidi" w:hAnsiTheme="majorBidi" w:cstheme="majorBidi"/>
        </w:rPr>
        <w:t>anaesthetic</w:t>
      </w:r>
      <w:proofErr w:type="spellEnd"/>
      <w:r w:rsidRPr="002F29E6">
        <w:rPr>
          <w:rFonts w:asciiTheme="majorBidi" w:hAnsiTheme="majorBidi" w:cstheme="majorBidi"/>
        </w:rPr>
        <w:t xml:space="preserve"> condition. The dispositional response of Tooley has to be mentioned once more, though it leads to the question of what dispositional self-belief is, and whether it smuggles more than is explicitly recognised in the account.</w:t>
      </w:r>
    </w:p>
    <w:p w14:paraId="3242E458" w14:textId="77777777" w:rsidR="00D24AFE" w:rsidRPr="00E34EEA" w:rsidRDefault="00000000" w:rsidP="00FD4C3F">
      <w:pPr>
        <w:pStyle w:val="Heading1"/>
      </w:pPr>
      <w:bookmarkStart w:id="7" w:name="_Toc226487997"/>
      <w:r w:rsidRPr="00E34EEA">
        <w:t>VII. Defending Tooley: What His Account Gets Right</w:t>
      </w:r>
      <w:bookmarkEnd w:id="7"/>
    </w:p>
    <w:p w14:paraId="2BE7FB15" w14:textId="77777777" w:rsidR="00EB1D38" w:rsidRDefault="00EB1D38" w:rsidP="00EB1D38">
      <w:r>
        <w:t xml:space="preserve">Nevertheless, Tooley has something significant in his account, despite these objections. A clear, justifiable intuition is that it is more seriously wrong to kill a self-conscious creature with projects, </w:t>
      </w:r>
      <w:r>
        <w:lastRenderedPageBreak/>
        <w:t>relationships, and an idea of the future than to kill something with none of these characteristics. Tooley provides this intuition with a solid philosophical foundation. His narrative is also not as unclear as Warren's pluralism and as over-inclusive as Marquis's future-like-</w:t>
      </w:r>
      <w:proofErr w:type="gramStart"/>
      <w:r>
        <w:t>ours</w:t>
      </w:r>
      <w:proofErr w:type="gramEnd"/>
      <w:r>
        <w:t xml:space="preserve"> argument (which fails to address contraception and population ethics).</w:t>
      </w:r>
    </w:p>
    <w:p w14:paraId="43CD9705" w14:textId="7D9811D8" w:rsidR="00D24AFE" w:rsidRPr="00E34EEA" w:rsidRDefault="00EB1D38" w:rsidP="00EB1D38">
      <w:r>
        <w:t xml:space="preserve">Yet, Tooley goes on to emphasise that the basis of rights provided by desire-satisfaction is based on a serious theory, and the common theory, of what rights are to protect: to safeguard the interests of beings, who can be said to have interests in a meaningful sense. Rights, in this sense, are not metaphysical accompaniments that beings receive at conception, but are </w:t>
      </w:r>
      <w:proofErr w:type="spellStart"/>
      <w:r>
        <w:t>defences</w:t>
      </w:r>
      <w:proofErr w:type="spellEnd"/>
      <w:r>
        <w:t xml:space="preserve"> against beings who can be injured in the sense that is involved in their violation.</w:t>
      </w:r>
    </w:p>
    <w:p w14:paraId="41277CF9" w14:textId="77777777" w:rsidR="00D24AFE" w:rsidRPr="00E34EEA" w:rsidRDefault="00000000" w:rsidP="00FD4C3F">
      <w:pPr>
        <w:pStyle w:val="Heading1"/>
      </w:pPr>
      <w:bookmarkStart w:id="8" w:name="_Toc226487998"/>
      <w:r w:rsidRPr="00E34EEA">
        <w:t>Conclusion</w:t>
      </w:r>
      <w:bookmarkEnd w:id="8"/>
    </w:p>
    <w:p w14:paraId="3F68EDCE" w14:textId="77777777" w:rsidR="00DB04F0" w:rsidRDefault="000100E6" w:rsidP="000100E6">
      <w:r w:rsidRPr="000100E6">
        <w:t xml:space="preserve">The right to life, as proposed by Tooley, based on the self-conception of a being, is both philosophically sound and analytically strong. The argument as to the right to life as a desire-protection is well-founded and presents an interesting point of view on the moral relevance of a self-conscious, prospective subject. In fact, his theory is correct in pointing out a crucial moral difference: the annihilation of a subject who possesses a future-oriented self-conception is significantly different from the annihilation of beings who lack such a self-consciousness. Yet the story turns out to be too limited. It ignores the moral worth of sentience - a trait of non-self-conscious creatures that nevertheless have the ability to have subjective experience. </w:t>
      </w:r>
    </w:p>
    <w:p w14:paraId="22F2345A" w14:textId="0D9C4753" w:rsidR="00D24AFE" w:rsidRPr="00E34EEA" w:rsidRDefault="000100E6" w:rsidP="000100E6">
      <w:r w:rsidRPr="000100E6">
        <w:t xml:space="preserve">Furthermore, Tooley's theory fails to deal with the issue of marginal cases, especially in situations where the borderline between self-conscious and non-self-conscious creatures is lost. Also, the problem of gradualism, which arises out of any threshold-based theory of personhood, undermines his argument by making the application of moral rights in practice difficult. Other views, like the </w:t>
      </w:r>
      <w:r w:rsidRPr="000100E6">
        <w:lastRenderedPageBreak/>
        <w:t>future-like-ours approach of Marquis and the sentience-based approach of Singer, can make good critiques, and they both emphasise that moral protection must be understood more broadly. Although all these theories are also characterised by their own set of problems, they all hint at the idea that the complete and sufficient explanation of the right to life is to be pluralistic in character. This would acknowledge various morally relevant characteristics, such as sentience, self-awareness and future value, all of which play a role in a different degree of moral protection.</w:t>
      </w:r>
    </w:p>
    <w:p w14:paraId="0D8B24DF" w14:textId="77777777" w:rsidR="00A17188" w:rsidRDefault="00A17188" w:rsidP="002F29E6">
      <w:r>
        <w:br w:type="page"/>
      </w:r>
    </w:p>
    <w:p w14:paraId="40CF16A5" w14:textId="367A513B" w:rsidR="00D24AFE" w:rsidRPr="00E34EEA" w:rsidRDefault="00000000" w:rsidP="00FD4C3F">
      <w:pPr>
        <w:pStyle w:val="Heading1"/>
      </w:pPr>
      <w:bookmarkStart w:id="9" w:name="_Toc226487999"/>
      <w:r w:rsidRPr="00E34EEA">
        <w:lastRenderedPageBreak/>
        <w:t>References</w:t>
      </w:r>
      <w:bookmarkEnd w:id="9"/>
    </w:p>
    <w:p w14:paraId="63A48963" w14:textId="77777777" w:rsidR="00D24AFE" w:rsidRPr="00E34EEA" w:rsidRDefault="00000000" w:rsidP="002F29E6">
      <w:r w:rsidRPr="00E34EEA">
        <w:t>Feinberg, J. (1974). The Rights of Animals and Unborn Generations. In W. Blackstone (Ed.), Philosophy and Environmental Crisis. University of Georgia Press.</w:t>
      </w:r>
    </w:p>
    <w:p w14:paraId="3A3785D0" w14:textId="77777777" w:rsidR="00D24AFE" w:rsidRPr="00E34EEA" w:rsidRDefault="00000000" w:rsidP="002F29E6">
      <w:r w:rsidRPr="00E34EEA">
        <w:t>Marquis, D. (1989). Why Abortion is Immoral. Journal of Philosophy, 86(4), 183–202.</w:t>
      </w:r>
    </w:p>
    <w:p w14:paraId="7F155726" w14:textId="77777777" w:rsidR="00D24AFE" w:rsidRPr="00E34EEA" w:rsidRDefault="00000000" w:rsidP="002F29E6">
      <w:r w:rsidRPr="00E34EEA">
        <w:t>Singer, P. (1975). Animal Liberation. New York Review/Random House.</w:t>
      </w:r>
    </w:p>
    <w:p w14:paraId="70BD3DCB" w14:textId="77777777" w:rsidR="00D24AFE" w:rsidRPr="00E34EEA" w:rsidRDefault="00000000" w:rsidP="002F29E6">
      <w:r w:rsidRPr="00E34EEA">
        <w:t>Tooley, M. (1972). Abortion and Infanticide. Philosophy &amp; Public Affairs, 2(1), 37–65.</w:t>
      </w:r>
    </w:p>
    <w:p w14:paraId="26F891A7" w14:textId="77777777" w:rsidR="00D24AFE" w:rsidRPr="00E34EEA" w:rsidRDefault="00000000" w:rsidP="002F29E6">
      <w:r w:rsidRPr="00E34EEA">
        <w:t>Tooley, M. (1983). Abortion and Infanticide. Oxford University Press.</w:t>
      </w:r>
    </w:p>
    <w:p w14:paraId="28F885B7" w14:textId="77777777" w:rsidR="00D24AFE" w:rsidRPr="00E34EEA" w:rsidRDefault="00000000" w:rsidP="002F29E6">
      <w:r w:rsidRPr="00E34EEA">
        <w:t>Warren, M. A. (1973). On the Moral and Legal Status of Abortion. The Monist, 57(4), 43–61.</w:t>
      </w:r>
    </w:p>
    <w:sectPr w:rsidR="00D24AFE" w:rsidRPr="00E34EEA">
      <w:headerReference w:type="default" r:id="rId7"/>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1DAC60" w14:textId="77777777" w:rsidR="009160D6" w:rsidRDefault="009160D6" w:rsidP="002F29E6">
      <w:r>
        <w:separator/>
      </w:r>
    </w:p>
  </w:endnote>
  <w:endnote w:type="continuationSeparator" w:id="0">
    <w:p w14:paraId="12CE0042" w14:textId="77777777" w:rsidR="009160D6" w:rsidRDefault="009160D6" w:rsidP="002F29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712796" w14:textId="77777777" w:rsidR="009160D6" w:rsidRDefault="009160D6" w:rsidP="002F29E6">
      <w:r>
        <w:separator/>
      </w:r>
    </w:p>
  </w:footnote>
  <w:footnote w:type="continuationSeparator" w:id="0">
    <w:p w14:paraId="5D0CE871" w14:textId="77777777" w:rsidR="009160D6" w:rsidRDefault="009160D6" w:rsidP="002F29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5195886"/>
      <w:docPartObj>
        <w:docPartGallery w:val="Page Numbers (Top of Page)"/>
        <w:docPartUnique/>
      </w:docPartObj>
    </w:sdtPr>
    <w:sdtEndPr>
      <w:rPr>
        <w:noProof/>
      </w:rPr>
    </w:sdtEndPr>
    <w:sdtContent>
      <w:p w14:paraId="2A01FB16" w14:textId="6831E9B2" w:rsidR="00A17188" w:rsidRDefault="00A17188" w:rsidP="002F29E6">
        <w:pPr>
          <w:pStyle w:val="Header"/>
        </w:pPr>
        <w:r>
          <w:fldChar w:fldCharType="begin"/>
        </w:r>
        <w:r>
          <w:instrText xml:space="preserve"> PAGE   \* MERGEFORMAT </w:instrText>
        </w:r>
        <w:r>
          <w:fldChar w:fldCharType="separate"/>
        </w:r>
        <w:r>
          <w:rPr>
            <w:noProof/>
          </w:rPr>
          <w:t>2</w:t>
        </w:r>
        <w:r>
          <w:rPr>
            <w:noProof/>
          </w:rPr>
          <w:fldChar w:fldCharType="end"/>
        </w:r>
      </w:p>
    </w:sdtContent>
  </w:sdt>
  <w:p w14:paraId="599B0217" w14:textId="77777777" w:rsidR="00A17188" w:rsidRDefault="00A17188" w:rsidP="002F29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A84A53"/>
    <w:multiLevelType w:val="hybridMultilevel"/>
    <w:tmpl w:val="1982F516"/>
    <w:lvl w:ilvl="0" w:tplc="FBAA6A5E">
      <w:start w:val="1"/>
      <w:numFmt w:val="bullet"/>
      <w:lvlText w:val="●"/>
      <w:lvlJc w:val="left"/>
      <w:pPr>
        <w:ind w:left="720" w:hanging="360"/>
      </w:pPr>
    </w:lvl>
    <w:lvl w:ilvl="1" w:tplc="0CBAA06A">
      <w:start w:val="1"/>
      <w:numFmt w:val="bullet"/>
      <w:lvlText w:val="○"/>
      <w:lvlJc w:val="left"/>
      <w:pPr>
        <w:ind w:left="1440" w:hanging="360"/>
      </w:pPr>
    </w:lvl>
    <w:lvl w:ilvl="2" w:tplc="7432397E">
      <w:start w:val="1"/>
      <w:numFmt w:val="bullet"/>
      <w:lvlText w:val="■"/>
      <w:lvlJc w:val="left"/>
      <w:pPr>
        <w:ind w:left="2160" w:hanging="360"/>
      </w:pPr>
    </w:lvl>
    <w:lvl w:ilvl="3" w:tplc="1A50B71E">
      <w:start w:val="1"/>
      <w:numFmt w:val="bullet"/>
      <w:lvlText w:val="●"/>
      <w:lvlJc w:val="left"/>
      <w:pPr>
        <w:ind w:left="2880" w:hanging="360"/>
      </w:pPr>
    </w:lvl>
    <w:lvl w:ilvl="4" w:tplc="AE1049F4">
      <w:start w:val="1"/>
      <w:numFmt w:val="bullet"/>
      <w:lvlText w:val="○"/>
      <w:lvlJc w:val="left"/>
      <w:pPr>
        <w:ind w:left="3600" w:hanging="360"/>
      </w:pPr>
    </w:lvl>
    <w:lvl w:ilvl="5" w:tplc="7242BA08">
      <w:start w:val="1"/>
      <w:numFmt w:val="bullet"/>
      <w:lvlText w:val="■"/>
      <w:lvlJc w:val="left"/>
      <w:pPr>
        <w:ind w:left="4320" w:hanging="360"/>
      </w:pPr>
    </w:lvl>
    <w:lvl w:ilvl="6" w:tplc="5A4EB4DA">
      <w:start w:val="1"/>
      <w:numFmt w:val="bullet"/>
      <w:lvlText w:val="●"/>
      <w:lvlJc w:val="left"/>
      <w:pPr>
        <w:ind w:left="5040" w:hanging="360"/>
      </w:pPr>
    </w:lvl>
    <w:lvl w:ilvl="7" w:tplc="94864922">
      <w:start w:val="1"/>
      <w:numFmt w:val="bullet"/>
      <w:lvlText w:val="●"/>
      <w:lvlJc w:val="left"/>
      <w:pPr>
        <w:ind w:left="5760" w:hanging="360"/>
      </w:pPr>
    </w:lvl>
    <w:lvl w:ilvl="8" w:tplc="F8660638">
      <w:start w:val="1"/>
      <w:numFmt w:val="bullet"/>
      <w:lvlText w:val="●"/>
      <w:lvlJc w:val="left"/>
      <w:pPr>
        <w:ind w:left="6480" w:hanging="360"/>
      </w:pPr>
    </w:lvl>
  </w:abstractNum>
  <w:abstractNum w:abstractNumId="1" w15:restartNumberingAfterBreak="0">
    <w:nsid w:val="4BD14EC3"/>
    <w:multiLevelType w:val="hybridMultilevel"/>
    <w:tmpl w:val="C42EBF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364D99"/>
    <w:multiLevelType w:val="hybridMultilevel"/>
    <w:tmpl w:val="53E4B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98481590">
    <w:abstractNumId w:val="0"/>
    <w:lvlOverride w:ilvl="0">
      <w:startOverride w:val="1"/>
    </w:lvlOverride>
  </w:num>
  <w:num w:numId="2" w16cid:durableId="1832912781">
    <w:abstractNumId w:val="1"/>
  </w:num>
  <w:num w:numId="3" w16cid:durableId="7420264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oNotDisplayPageBoundaries/>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AFE"/>
    <w:rsid w:val="000100E6"/>
    <w:rsid w:val="001127E2"/>
    <w:rsid w:val="001606B7"/>
    <w:rsid w:val="00285DC3"/>
    <w:rsid w:val="002F29E6"/>
    <w:rsid w:val="00307C9E"/>
    <w:rsid w:val="00312A58"/>
    <w:rsid w:val="00440504"/>
    <w:rsid w:val="004A7835"/>
    <w:rsid w:val="005B4F53"/>
    <w:rsid w:val="00603C37"/>
    <w:rsid w:val="006949D7"/>
    <w:rsid w:val="00757E96"/>
    <w:rsid w:val="00771F25"/>
    <w:rsid w:val="007F5F84"/>
    <w:rsid w:val="00815DDD"/>
    <w:rsid w:val="0087639A"/>
    <w:rsid w:val="008B4E78"/>
    <w:rsid w:val="009160D6"/>
    <w:rsid w:val="009A1AD6"/>
    <w:rsid w:val="00A17188"/>
    <w:rsid w:val="00AF69E4"/>
    <w:rsid w:val="00BF7E45"/>
    <w:rsid w:val="00C05FE3"/>
    <w:rsid w:val="00D24AFE"/>
    <w:rsid w:val="00DB04F0"/>
    <w:rsid w:val="00E34EEA"/>
    <w:rsid w:val="00EB1D38"/>
    <w:rsid w:val="00FD4C3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17A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Georgia" w:eastAsia="Georgia" w:hAnsi="Georgia" w:cs="Georgia"/>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9E6"/>
    <w:pPr>
      <w:spacing w:after="200" w:line="480" w:lineRule="auto"/>
      <w:jc w:val="both"/>
    </w:pPr>
    <w:rPr>
      <w:rFonts w:asciiTheme="majorBidi" w:hAnsiTheme="majorBidi" w:cstheme="majorBidi"/>
    </w:rPr>
  </w:style>
  <w:style w:type="paragraph" w:styleId="Heading1">
    <w:name w:val="heading 1"/>
    <w:uiPriority w:val="9"/>
    <w:qFormat/>
    <w:rsid w:val="00FD4C3F"/>
    <w:pPr>
      <w:spacing w:before="320" w:after="160" w:line="480" w:lineRule="auto"/>
      <w:outlineLvl w:val="0"/>
    </w:pPr>
    <w:rPr>
      <w:rFonts w:asciiTheme="majorBidi" w:hAnsiTheme="majorBidi" w:cstheme="majorBidi"/>
      <w:b/>
      <w:bCs/>
    </w:rPr>
  </w:style>
  <w:style w:type="paragraph" w:styleId="Heading2">
    <w:name w:val="heading 2"/>
    <w:uiPriority w:val="9"/>
    <w:semiHidden/>
    <w:unhideWhenUsed/>
    <w:qFormat/>
    <w:pPr>
      <w:spacing w:before="240" w:after="120"/>
      <w:outlineLvl w:val="1"/>
    </w:pPr>
    <w:rPr>
      <w:b/>
      <w:bCs/>
      <w:color w:val="16213E"/>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A171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7188"/>
    <w:rPr>
      <w:rFonts w:asciiTheme="majorBidi" w:hAnsiTheme="majorBidi" w:cstheme="majorBidi"/>
    </w:rPr>
  </w:style>
  <w:style w:type="paragraph" w:styleId="Footer">
    <w:name w:val="footer"/>
    <w:basedOn w:val="Normal"/>
    <w:link w:val="FooterChar"/>
    <w:uiPriority w:val="99"/>
    <w:unhideWhenUsed/>
    <w:rsid w:val="00A171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7188"/>
    <w:rPr>
      <w:rFonts w:asciiTheme="majorBidi" w:hAnsiTheme="majorBidi" w:cstheme="majorBidi"/>
    </w:rPr>
  </w:style>
  <w:style w:type="paragraph" w:styleId="TOCHeading">
    <w:name w:val="TOC Heading"/>
    <w:basedOn w:val="Heading1"/>
    <w:next w:val="Normal"/>
    <w:uiPriority w:val="39"/>
    <w:unhideWhenUsed/>
    <w:qFormat/>
    <w:rsid w:val="00A17188"/>
    <w:pPr>
      <w:keepNext/>
      <w:keepLines/>
      <w:spacing w:before="240" w:after="0" w:line="259" w:lineRule="auto"/>
      <w:outlineLvl w:val="9"/>
    </w:pPr>
    <w:rPr>
      <w:rFonts w:asciiTheme="majorHAnsi" w:eastAsiaTheme="majorEastAsia" w:hAnsiTheme="majorHAnsi"/>
      <w:b w:val="0"/>
      <w:bCs w:val="0"/>
      <w:color w:val="2F5496" w:themeColor="accent1" w:themeShade="BF"/>
      <w:sz w:val="32"/>
      <w:szCs w:val="32"/>
    </w:rPr>
  </w:style>
  <w:style w:type="paragraph" w:styleId="TOC1">
    <w:name w:val="toc 1"/>
    <w:basedOn w:val="Normal"/>
    <w:next w:val="Normal"/>
    <w:autoRedefine/>
    <w:uiPriority w:val="39"/>
    <w:unhideWhenUsed/>
    <w:rsid w:val="00A1718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2473</Words>
  <Characters>12831</Characters>
  <Application>Microsoft Office Word</Application>
  <DocSecurity>0</DocSecurity>
  <Lines>187</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15250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2026-04-12T09:37:00Z</dcterms:created>
  <dcterms:modified xsi:type="dcterms:W3CDTF">2026-04-12T09:38:00Z</dcterms:modified>
  <cp:category/>
</cp:coreProperties>
</file>