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BFD8C19" w:rsidR="004066E4" w:rsidRDefault="17EFB63A" w:rsidP="17EFB63A">
      <w:pPr>
        <w:jc w:val="center"/>
        <w:rPr>
          <w:rFonts w:ascii="Arial Nova" w:eastAsia="Arial Nova" w:hAnsi="Arial Nova" w:cs="Arial Nova"/>
          <w:b/>
          <w:bCs/>
          <w:sz w:val="28"/>
          <w:szCs w:val="28"/>
        </w:rPr>
      </w:pPr>
      <w:r w:rsidRPr="22056C84">
        <w:rPr>
          <w:rFonts w:ascii="Arial Nova" w:eastAsia="Arial Nova" w:hAnsi="Arial Nova" w:cs="Arial Nova"/>
          <w:b/>
          <w:bCs/>
          <w:sz w:val="28"/>
          <w:szCs w:val="28"/>
        </w:rPr>
        <w:t xml:space="preserve">BMDS7001 </w:t>
      </w:r>
      <w:r w:rsidR="002C5FB1">
        <w:br/>
      </w:r>
      <w:r w:rsidRPr="22056C84">
        <w:rPr>
          <w:rFonts w:ascii="Arial Nova" w:eastAsia="Arial Nova" w:hAnsi="Arial Nova" w:cs="Arial Nova"/>
          <w:b/>
          <w:bCs/>
          <w:sz w:val="28"/>
          <w:szCs w:val="28"/>
        </w:rPr>
        <w:t>Digital strategy development for hand hygiene improvement</w:t>
      </w:r>
      <w:r w:rsidR="002C5FB1">
        <w:br/>
      </w:r>
      <w:r w:rsidR="22056C84" w:rsidRPr="22056C84">
        <w:rPr>
          <w:rFonts w:ascii="Arial Nova" w:eastAsia="Arial Nova" w:hAnsi="Arial Nova" w:cs="Arial Nova"/>
          <w:sz w:val="28"/>
          <w:szCs w:val="28"/>
        </w:rPr>
        <w:t>Matt McCarthy - 2112755</w:t>
      </w:r>
      <w:r w:rsidR="002C5FB1">
        <w:br/>
      </w:r>
      <w:r w:rsidR="002C5FB1">
        <w:br/>
      </w:r>
    </w:p>
    <w:p w14:paraId="2AF9369D" w14:textId="0773F5DF" w:rsidR="17EFB63A" w:rsidRDefault="17EFB63A" w:rsidP="17EFB63A">
      <w:pPr>
        <w:rPr>
          <w:rFonts w:ascii="Arial Nova" w:eastAsia="Arial Nova" w:hAnsi="Arial Nova" w:cs="Arial Nova"/>
          <w:b/>
          <w:bCs/>
          <w:sz w:val="28"/>
          <w:szCs w:val="28"/>
        </w:rPr>
      </w:pPr>
      <w:r w:rsidRPr="22056C84">
        <w:rPr>
          <w:rFonts w:ascii="Arial Nova" w:eastAsia="Arial Nova" w:hAnsi="Arial Nova" w:cs="Arial Nova"/>
          <w:b/>
          <w:bCs/>
          <w:sz w:val="28"/>
          <w:szCs w:val="28"/>
        </w:rPr>
        <w:t>Introduction</w:t>
      </w:r>
      <w:r>
        <w:br/>
      </w:r>
      <w:r>
        <w:br/>
      </w:r>
      <w:r w:rsidRPr="22056C84">
        <w:rPr>
          <w:rFonts w:ascii="Arial Nova" w:eastAsia="Arial Nova" w:hAnsi="Arial Nova" w:cs="Arial Nova"/>
          <w:sz w:val="24"/>
          <w:szCs w:val="24"/>
        </w:rPr>
        <w:t>Between 8 – 10 percent of patients suffer healthcare-acquired infections while in hospital. These infections can cause increased length of stay, pain and costs to healthcare providers (Debnath, 2010). Prevention of infection was brought to prominence in the 1800s, in part by the work of Florence Nightingale during the Crimean war (Rafferty and Nelson, 2010</w:t>
      </w:r>
      <w:r w:rsidR="7EFEB40A" w:rsidRPr="62CC6759">
        <w:rPr>
          <w:rFonts w:ascii="Arial Nova" w:eastAsia="Arial Nova" w:hAnsi="Arial Nova" w:cs="Arial Nova"/>
          <w:sz w:val="24"/>
          <w:szCs w:val="24"/>
        </w:rPr>
        <w:t>).</w:t>
      </w:r>
      <w:r w:rsidRPr="22056C84">
        <w:rPr>
          <w:rFonts w:ascii="Arial Nova" w:eastAsia="Arial Nova" w:hAnsi="Arial Nova" w:cs="Arial Nova"/>
          <w:sz w:val="24"/>
          <w:szCs w:val="24"/>
        </w:rPr>
        <w:t xml:space="preserve"> Challenges in preventing and controlling infections in hospitals continue to the present day, with new difficulties such as antibiotic resistant organisms (</w:t>
      </w:r>
      <w:r w:rsidR="7EFEB40A" w:rsidRPr="62CC6759">
        <w:rPr>
          <w:rFonts w:ascii="Arial Nova" w:eastAsia="Arial Nova" w:hAnsi="Arial Nova" w:cs="Arial Nova"/>
          <w:sz w:val="24"/>
          <w:szCs w:val="24"/>
        </w:rPr>
        <w:t xml:space="preserve">Wang </w:t>
      </w:r>
      <w:r w:rsidR="7EFEB40A" w:rsidRPr="62CC6759">
        <w:rPr>
          <w:rFonts w:ascii="Arial Nova" w:eastAsia="Arial Nova" w:hAnsi="Arial Nova" w:cs="Arial Nova"/>
          <w:i/>
          <w:iCs/>
          <w:sz w:val="24"/>
          <w:szCs w:val="24"/>
        </w:rPr>
        <w:t xml:space="preserve">et al. </w:t>
      </w:r>
      <w:r w:rsidR="7EFEB40A" w:rsidRPr="62CC6759">
        <w:rPr>
          <w:rFonts w:ascii="Arial Nova" w:eastAsia="Arial Nova" w:hAnsi="Arial Nova" w:cs="Arial Nova"/>
          <w:sz w:val="24"/>
          <w:szCs w:val="24"/>
        </w:rPr>
        <w:t>2019).</w:t>
      </w:r>
    </w:p>
    <w:p w14:paraId="0E6FF3D9" w14:textId="0DA2760C" w:rsidR="17EFB63A" w:rsidRDefault="17EFB63A" w:rsidP="17EFB63A">
      <w:pPr>
        <w:rPr>
          <w:rFonts w:ascii="Arial Nova" w:eastAsia="Arial Nova" w:hAnsi="Arial Nova" w:cs="Arial Nova"/>
          <w:b/>
          <w:bCs/>
          <w:sz w:val="28"/>
          <w:szCs w:val="28"/>
        </w:rPr>
      </w:pPr>
      <w:r w:rsidRPr="22056C84">
        <w:rPr>
          <w:rFonts w:ascii="Arial Nova" w:eastAsia="Arial Nova" w:hAnsi="Arial Nova" w:cs="Arial Nova"/>
          <w:sz w:val="24"/>
          <w:szCs w:val="24"/>
        </w:rPr>
        <w:t xml:space="preserve">Hand hygiene is one of the simplest and most effective ways to reduce the risk of nosocomial infections in hospital. Multiple studies have proved this effectiveness; however, these measures are not always followed (Pittet </w:t>
      </w:r>
      <w:r w:rsidRPr="00F52342">
        <w:rPr>
          <w:rFonts w:ascii="Arial Nova" w:eastAsia="Arial Nova" w:hAnsi="Arial Nova" w:cs="Arial Nova"/>
          <w:i/>
          <w:iCs/>
          <w:sz w:val="24"/>
          <w:szCs w:val="24"/>
        </w:rPr>
        <w:t>et al.</w:t>
      </w:r>
      <w:r w:rsidRPr="22056C84">
        <w:rPr>
          <w:rFonts w:ascii="Arial Nova" w:eastAsia="Arial Nova" w:hAnsi="Arial Nova" w:cs="Arial Nova"/>
          <w:sz w:val="24"/>
          <w:szCs w:val="24"/>
        </w:rPr>
        <w:t xml:space="preserve"> 2004).</w:t>
      </w:r>
    </w:p>
    <w:p w14:paraId="279E3911" w14:textId="2105C320" w:rsidR="17EFB63A" w:rsidRDefault="17EFB63A" w:rsidP="22056C84">
      <w:pPr>
        <w:rPr>
          <w:rFonts w:ascii="Arial Nova" w:eastAsia="Arial Nova" w:hAnsi="Arial Nova" w:cs="Arial Nova"/>
          <w:b/>
          <w:bCs/>
          <w:sz w:val="28"/>
          <w:szCs w:val="28"/>
        </w:rPr>
      </w:pPr>
      <w:r w:rsidRPr="22056C84">
        <w:rPr>
          <w:rFonts w:ascii="Arial Nova" w:eastAsia="Arial Nova" w:hAnsi="Arial Nova" w:cs="Arial Nova"/>
          <w:sz w:val="24"/>
          <w:szCs w:val="24"/>
        </w:rPr>
        <w:t>When, and how to perform hand hygiene is well known among healthcare staff thanks to national and international campaigns such as the World Health Organization’s ‘5 Moments for Hand Hygiene’ (World Health Organization, 2009).</w:t>
      </w:r>
    </w:p>
    <w:p w14:paraId="1A1913D5" w14:textId="61F5A1E6" w:rsidR="17EFB63A" w:rsidRDefault="17EFB63A" w:rsidP="22056C84">
      <w:pPr>
        <w:rPr>
          <w:rFonts w:ascii="Arial Nova" w:eastAsia="Arial Nova" w:hAnsi="Arial Nova" w:cs="Arial Nova"/>
          <w:b/>
          <w:bCs/>
          <w:sz w:val="28"/>
          <w:szCs w:val="28"/>
        </w:rPr>
      </w:pPr>
      <w:r w:rsidRPr="2BF8E696">
        <w:rPr>
          <w:rFonts w:ascii="Arial Nova" w:eastAsia="Arial Nova" w:hAnsi="Arial Nova" w:cs="Arial Nova"/>
          <w:sz w:val="24"/>
          <w:szCs w:val="24"/>
        </w:rPr>
        <w:t xml:space="preserve">The ongoing COVID-19 pandemic has had an impact on handwashing within healthcare. Huang </w:t>
      </w:r>
      <w:r w:rsidRPr="2BF8E696">
        <w:rPr>
          <w:rFonts w:ascii="Arial Nova" w:eastAsia="Arial Nova" w:hAnsi="Arial Nova" w:cs="Arial Nova"/>
          <w:i/>
          <w:iCs/>
          <w:sz w:val="24"/>
          <w:szCs w:val="24"/>
        </w:rPr>
        <w:t>et al.</w:t>
      </w:r>
      <w:r w:rsidRPr="2BF8E696">
        <w:rPr>
          <w:rFonts w:ascii="Arial Nova" w:eastAsia="Arial Nova" w:hAnsi="Arial Nova" w:cs="Arial Nova"/>
          <w:sz w:val="24"/>
          <w:szCs w:val="24"/>
        </w:rPr>
        <w:t xml:space="preserve"> (2021) found that while hand hygiene rates on room entry decreased over the period of the pandemic, rates on room exit increased. This difference is potentially explained by the additional personal protective equipment (PPE) discouraging hand hygiene on entry. It is also possible that the increase in hand hygiene on exit was due to healthcare workers’ concern about becoming infected with COVID-19.</w:t>
      </w:r>
    </w:p>
    <w:p w14:paraId="6374061F" w14:textId="453E2EE0" w:rsidR="17EFB63A" w:rsidRDefault="17EFB63A" w:rsidP="22056C84">
      <w:pPr>
        <w:rPr>
          <w:rFonts w:ascii="Arial Nova" w:eastAsia="Arial Nova" w:hAnsi="Arial Nova" w:cs="Arial Nova"/>
          <w:b/>
          <w:bCs/>
          <w:sz w:val="28"/>
          <w:szCs w:val="28"/>
        </w:rPr>
      </w:pPr>
      <w:r w:rsidRPr="22056C84">
        <w:rPr>
          <w:rFonts w:ascii="Arial Nova" w:eastAsia="Arial Nova" w:hAnsi="Arial Nova" w:cs="Arial Nova"/>
          <w:sz w:val="24"/>
          <w:szCs w:val="24"/>
        </w:rPr>
        <w:t>Regardless of the causes of variation, it is universally acknowledged that increasing hand hygiene rates among healthcare workers is a positive step and reduces the risk of patients contracting an infection while in hospital (Allegranzi and Pittet, 2009).</w:t>
      </w:r>
    </w:p>
    <w:p w14:paraId="2AEB7BB1" w14:textId="1CFC0909" w:rsidR="17EFB63A" w:rsidRDefault="17EFB63A" w:rsidP="22056C84">
      <w:pPr>
        <w:rPr>
          <w:rFonts w:ascii="Arial Nova" w:eastAsia="Arial Nova" w:hAnsi="Arial Nova" w:cs="Arial Nova"/>
          <w:sz w:val="24"/>
          <w:szCs w:val="24"/>
        </w:rPr>
      </w:pPr>
      <w:r w:rsidRPr="22056C84">
        <w:rPr>
          <w:rFonts w:ascii="Arial Nova" w:eastAsia="Arial Nova" w:hAnsi="Arial Nova" w:cs="Arial Nova"/>
          <w:sz w:val="24"/>
          <w:szCs w:val="24"/>
        </w:rPr>
        <w:t>The policy aim considered within this paper is the ‘WHO multimodal hand hygiene improvement strategy’ (World Health Organization, 2009). The strategy implements the ‘5 moments for hand hygiene’.</w:t>
      </w:r>
      <w:r>
        <w:br/>
      </w:r>
      <w:r>
        <w:br/>
      </w:r>
      <w:r w:rsidR="06D2E283">
        <w:rPr>
          <w:noProof/>
        </w:rPr>
        <w:lastRenderedPageBreak/>
        <w:drawing>
          <wp:inline distT="0" distB="0" distL="0" distR="0" wp14:anchorId="13F3EA74" wp14:editId="62CC6759">
            <wp:extent cx="3249596" cy="3161586"/>
            <wp:effectExtent l="9525" t="9525" r="9525" b="9525"/>
            <wp:docPr id="1625862695" name="Picture 162586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862695"/>
                    <pic:cNvPicPr/>
                  </pic:nvPicPr>
                  <pic:blipFill>
                    <a:blip r:embed="rId5">
                      <a:extLst>
                        <a:ext uri="{28A0092B-C50C-407E-A947-70E740481C1C}">
                          <a14:useLocalDpi xmlns:a14="http://schemas.microsoft.com/office/drawing/2010/main" val="0"/>
                        </a:ext>
                      </a:extLst>
                    </a:blip>
                    <a:stretch>
                      <a:fillRect/>
                    </a:stretch>
                  </pic:blipFill>
                  <pic:spPr>
                    <a:xfrm>
                      <a:off x="0" y="0"/>
                      <a:ext cx="3249596" cy="3161586"/>
                    </a:xfrm>
                    <a:prstGeom prst="rect">
                      <a:avLst/>
                    </a:prstGeom>
                    <a:ln w="9525">
                      <a:solidFill>
                        <a:schemeClr val="tx1"/>
                      </a:solidFill>
                      <a:prstDash val="solid"/>
                    </a:ln>
                  </pic:spPr>
                </pic:pic>
              </a:graphicData>
            </a:graphic>
          </wp:inline>
        </w:drawing>
      </w:r>
      <w:r w:rsidRPr="22056C84">
        <w:rPr>
          <w:rFonts w:ascii="Arial Nova" w:eastAsia="Arial Nova" w:hAnsi="Arial Nova" w:cs="Arial Nova"/>
          <w:sz w:val="24"/>
          <w:szCs w:val="24"/>
        </w:rPr>
        <w:t xml:space="preserve"> </w:t>
      </w:r>
      <w:r>
        <w:br/>
      </w:r>
      <w:r w:rsidR="06D2E283" w:rsidRPr="62CC6759">
        <w:rPr>
          <w:rFonts w:ascii="Arial Nova" w:eastAsia="Arial Nova" w:hAnsi="Arial Nova" w:cs="Arial Nova"/>
          <w:b/>
          <w:bCs/>
          <w:sz w:val="24"/>
          <w:szCs w:val="24"/>
        </w:rPr>
        <w:t xml:space="preserve">Δ </w:t>
      </w:r>
      <w:r w:rsidR="22056C84" w:rsidRPr="62CC6759">
        <w:rPr>
          <w:rFonts w:ascii="Arial Nova" w:eastAsia="Arial Nova" w:hAnsi="Arial Nova" w:cs="Arial Nova"/>
          <w:b/>
          <w:sz w:val="24"/>
          <w:szCs w:val="24"/>
        </w:rPr>
        <w:t>Figure 1 – 5 Moments for hand hygiene (</w:t>
      </w:r>
      <w:r w:rsidR="06D2E283" w:rsidRPr="62CC6759">
        <w:rPr>
          <w:rFonts w:ascii="Arial Nova" w:eastAsia="Arial Nova" w:hAnsi="Arial Nova" w:cs="Arial Nova"/>
          <w:b/>
          <w:bCs/>
          <w:sz w:val="24"/>
          <w:szCs w:val="24"/>
        </w:rPr>
        <w:t>World Health Organization</w:t>
      </w:r>
      <w:r w:rsidR="22056C84" w:rsidRPr="62CC6759">
        <w:rPr>
          <w:rFonts w:ascii="Arial Nova" w:eastAsia="Arial Nova" w:hAnsi="Arial Nova" w:cs="Arial Nova"/>
          <w:b/>
          <w:sz w:val="24"/>
          <w:szCs w:val="24"/>
        </w:rPr>
        <w:t>, 2009)</w:t>
      </w:r>
    </w:p>
    <w:p w14:paraId="1BCEE85B" w14:textId="7D15F707"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The implementation strategy is broken down into 5 components:</w:t>
      </w:r>
      <w:r w:rsidR="17EFB63A">
        <w:br/>
      </w:r>
      <w:r w:rsidR="17EFB63A">
        <w:br/>
      </w:r>
      <w:r w:rsidRPr="22056C84">
        <w:rPr>
          <w:rFonts w:ascii="Arial Nova" w:eastAsia="Arial Nova" w:hAnsi="Arial Nova" w:cs="Arial Nova"/>
          <w:sz w:val="24"/>
          <w:szCs w:val="24"/>
        </w:rPr>
        <w:t>1. System change – which includes infrastructure requirements, such as access to a safe water supply, soap and towels.</w:t>
      </w:r>
    </w:p>
    <w:p w14:paraId="736CE9A9" w14:textId="2C233E33"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2. Training / education – teaching staff of the importance of the 5 moments for hand hygiene (figure 1).</w:t>
      </w:r>
    </w:p>
    <w:p w14:paraId="6847511D" w14:textId="712719A2"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3. Evaluation and feedback – monitoring and feedback of hand hygiene compliance to healthcare workers.</w:t>
      </w:r>
    </w:p>
    <w:p w14:paraId="4278DBDD" w14:textId="303AB933"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4. Reminders in the workplace – providing prompts for healthcare workers on the importance of hand hygiene.</w:t>
      </w:r>
    </w:p>
    <w:p w14:paraId="4A5B99F3" w14:textId="4EFEEC0F"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5. Institutional safety climate – Participation of a healthcare organisation and creation of an environment which prioritises hand hygiene.</w:t>
      </w:r>
    </w:p>
    <w:p w14:paraId="3F4A947D" w14:textId="0609DCB4"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 xml:space="preserve">As a global organisation, </w:t>
      </w:r>
      <w:bookmarkStart w:id="0" w:name="_Int_kb1YgKJd"/>
      <w:r w:rsidRPr="22056C84">
        <w:rPr>
          <w:rFonts w:ascii="Arial Nova" w:eastAsia="Arial Nova" w:hAnsi="Arial Nova" w:cs="Arial Nova"/>
          <w:sz w:val="24"/>
          <w:szCs w:val="24"/>
        </w:rPr>
        <w:t>WHO’s</w:t>
      </w:r>
      <w:bookmarkEnd w:id="0"/>
      <w:r w:rsidRPr="22056C84">
        <w:rPr>
          <w:rFonts w:ascii="Arial Nova" w:eastAsia="Arial Nova" w:hAnsi="Arial Nova" w:cs="Arial Nova"/>
          <w:sz w:val="24"/>
          <w:szCs w:val="24"/>
        </w:rPr>
        <w:t xml:space="preserve"> strategy covers some aspects that apply less to economically developed countries, such as the United Kingdom. For example, challenges with obtaining a safe water supply are unlikely to be relevant to UK hospital settings but can be vital in developing countries. (Kanagasabai</w:t>
      </w:r>
      <w:r w:rsidR="06D2E283" w:rsidRPr="62CC6759">
        <w:rPr>
          <w:rFonts w:ascii="Arial Nova" w:eastAsia="Arial Nova" w:hAnsi="Arial Nova" w:cs="Arial Nova"/>
          <w:sz w:val="24"/>
          <w:szCs w:val="24"/>
        </w:rPr>
        <w:t xml:space="preserve"> </w:t>
      </w:r>
      <w:r w:rsidR="06D2E283" w:rsidRPr="62CC6759">
        <w:rPr>
          <w:rFonts w:ascii="Arial Nova" w:eastAsia="Arial Nova" w:hAnsi="Arial Nova" w:cs="Arial Nova"/>
          <w:i/>
          <w:iCs/>
          <w:sz w:val="24"/>
          <w:szCs w:val="24"/>
        </w:rPr>
        <w:t>et al.</w:t>
      </w:r>
      <w:r w:rsidRPr="62CC6759">
        <w:rPr>
          <w:rFonts w:ascii="Arial Nova" w:eastAsia="Arial Nova" w:hAnsi="Arial Nova" w:cs="Arial Nova"/>
          <w:i/>
          <w:sz w:val="24"/>
          <w:szCs w:val="24"/>
        </w:rPr>
        <w:t xml:space="preserve"> </w:t>
      </w:r>
      <w:r w:rsidRPr="22056C84">
        <w:rPr>
          <w:rFonts w:ascii="Arial Nova" w:eastAsia="Arial Nova" w:hAnsi="Arial Nova" w:cs="Arial Nova"/>
          <w:sz w:val="24"/>
          <w:szCs w:val="24"/>
        </w:rPr>
        <w:t>2021).</w:t>
      </w:r>
    </w:p>
    <w:p w14:paraId="53991651" w14:textId="521C6F48" w:rsidR="17EFB63A" w:rsidRDefault="22056C84" w:rsidP="22056C84">
      <w:pPr>
        <w:rPr>
          <w:rFonts w:ascii="Arial Nova" w:eastAsia="Arial Nova" w:hAnsi="Arial Nova" w:cs="Arial Nova"/>
          <w:sz w:val="24"/>
          <w:szCs w:val="24"/>
        </w:rPr>
      </w:pPr>
      <w:r w:rsidRPr="33F79CAC">
        <w:rPr>
          <w:rFonts w:ascii="Arial Nova" w:eastAsia="Arial Nova" w:hAnsi="Arial Nova" w:cs="Arial Nova"/>
          <w:sz w:val="24"/>
          <w:szCs w:val="24"/>
        </w:rPr>
        <w:t xml:space="preserve">This paper will primarily consider a digital solution to component 3 of the implementation strategy. While digital technologies may assist with the other components of the strategy, evaluation and feedback of hand hygiene practices, </w:t>
      </w:r>
      <w:r w:rsidRPr="33F79CAC">
        <w:rPr>
          <w:rFonts w:ascii="Arial Nova" w:eastAsia="Arial Nova" w:hAnsi="Arial Nova" w:cs="Arial Nova"/>
          <w:sz w:val="24"/>
          <w:szCs w:val="24"/>
        </w:rPr>
        <w:lastRenderedPageBreak/>
        <w:t>combined with reminders for staff are likely to be the most amenable to digital intervention and have the most scope for improvement.</w:t>
      </w:r>
    </w:p>
    <w:p w14:paraId="664D1D18" w14:textId="0DBE8B2C"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 xml:space="preserve">The overarching aim of both the component and the wider strategy is to increase healthcare workers’ compliance with hand hygiene, and therefore reduce the number of healthcare acquired infections among patients. </w:t>
      </w:r>
    </w:p>
    <w:p w14:paraId="411AD483" w14:textId="1848F6F2" w:rsidR="17EFB63A"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 xml:space="preserve">The WHO strategy has been shown to be effective in increasing hand hygiene, although in most studies this was indirectly measured through monitoring of alcohol-based hand rub consumption (Suzuki </w:t>
      </w:r>
      <w:r w:rsidRPr="62CC6759">
        <w:rPr>
          <w:rFonts w:ascii="Arial Nova" w:eastAsia="Arial Nova" w:hAnsi="Arial Nova" w:cs="Arial Nova"/>
          <w:i/>
          <w:sz w:val="24"/>
          <w:szCs w:val="24"/>
        </w:rPr>
        <w:t>et al</w:t>
      </w:r>
      <w:r w:rsidR="06D2E283" w:rsidRPr="62CC6759">
        <w:rPr>
          <w:rFonts w:ascii="Arial Nova" w:eastAsia="Arial Nova" w:hAnsi="Arial Nova" w:cs="Arial Nova"/>
          <w:i/>
          <w:iCs/>
          <w:sz w:val="24"/>
          <w:szCs w:val="24"/>
        </w:rPr>
        <w:t>.</w:t>
      </w:r>
      <w:r w:rsidRPr="22056C84">
        <w:rPr>
          <w:rFonts w:ascii="Arial Nova" w:eastAsia="Arial Nova" w:hAnsi="Arial Nova" w:cs="Arial Nova"/>
          <w:sz w:val="24"/>
          <w:szCs w:val="24"/>
        </w:rPr>
        <w:t xml:space="preserve"> 2020).</w:t>
      </w:r>
    </w:p>
    <w:p w14:paraId="06AAA1BF" w14:textId="15354A0F" w:rsidR="17EFB63A" w:rsidRDefault="17EFB63A" w:rsidP="17EFB63A">
      <w:pPr>
        <w:rPr>
          <w:rFonts w:ascii="Arial Nova" w:eastAsia="Arial Nova" w:hAnsi="Arial Nova" w:cs="Arial Nova"/>
          <w:b/>
          <w:bCs/>
          <w:sz w:val="28"/>
          <w:szCs w:val="28"/>
        </w:rPr>
      </w:pPr>
      <w:r w:rsidRPr="22056C84">
        <w:rPr>
          <w:rFonts w:ascii="Arial Nova" w:eastAsia="Arial Nova" w:hAnsi="Arial Nova" w:cs="Arial Nova"/>
          <w:sz w:val="24"/>
          <w:szCs w:val="24"/>
        </w:rPr>
        <w:t>Some literature has been previously published which explores some digital interventions to encourage hand hygiene among healthcare workers, although these are mainly small-scale (Pong, Holliday and Fernie, 2018; Higgins and Hannan, 2013).</w:t>
      </w:r>
      <w:r>
        <w:br/>
      </w:r>
      <w:r>
        <w:br/>
      </w:r>
      <w:r>
        <w:br/>
      </w:r>
      <w:r w:rsidRPr="22056C84">
        <w:rPr>
          <w:rFonts w:ascii="Arial Nova" w:eastAsia="Arial Nova" w:hAnsi="Arial Nova" w:cs="Arial Nova"/>
          <w:b/>
          <w:bCs/>
          <w:sz w:val="28"/>
          <w:szCs w:val="28"/>
        </w:rPr>
        <w:t>Methods</w:t>
      </w:r>
    </w:p>
    <w:p w14:paraId="31E0D8EC" w14:textId="77EECD11" w:rsidR="22056C84" w:rsidRDefault="22056C84" w:rsidP="22056C84">
      <w:pPr>
        <w:rPr>
          <w:rFonts w:ascii="Arial Nova" w:eastAsia="Arial Nova" w:hAnsi="Arial Nova" w:cs="Arial Nova"/>
          <w:sz w:val="24"/>
          <w:szCs w:val="24"/>
        </w:rPr>
      </w:pPr>
      <w:r w:rsidRPr="22056C84">
        <w:rPr>
          <w:rFonts w:ascii="Arial Nova" w:eastAsia="Arial Nova" w:hAnsi="Arial Nova" w:cs="Arial Nova"/>
          <w:sz w:val="24"/>
          <w:szCs w:val="24"/>
        </w:rPr>
        <w:t>In order to improve hand hygiene rates among healthcare staff, these rates must be reliably measured, so that the impact of any interventions can be demonstrated and understood. Direct observation has been frequently used to monitor hand hygiene, but this is labour intensive (Gould, Drey and Creedon, 2011). While being seen as the gold standard, variations in collection can affect the data’s validity (</w:t>
      </w:r>
      <w:r w:rsidR="06D2E283" w:rsidRPr="62CC6759">
        <w:rPr>
          <w:rFonts w:ascii="Arial Nova" w:eastAsia="Arial Nova" w:hAnsi="Arial Nova" w:cs="Arial Nova"/>
          <w:sz w:val="24"/>
          <w:szCs w:val="24"/>
        </w:rPr>
        <w:t>Jeanes</w:t>
      </w:r>
      <w:r w:rsidRPr="22056C84">
        <w:rPr>
          <w:rFonts w:ascii="Arial Nova" w:eastAsia="Arial Nova" w:hAnsi="Arial Nova" w:cs="Arial Nova"/>
          <w:sz w:val="24"/>
          <w:szCs w:val="24"/>
        </w:rPr>
        <w:t xml:space="preserve"> </w:t>
      </w:r>
      <w:r w:rsidRPr="62CC6759">
        <w:rPr>
          <w:rFonts w:ascii="Arial Nova" w:eastAsia="Arial Nova" w:hAnsi="Arial Nova" w:cs="Arial Nova"/>
          <w:i/>
          <w:sz w:val="24"/>
          <w:szCs w:val="24"/>
        </w:rPr>
        <w:t>et al</w:t>
      </w:r>
      <w:r w:rsidR="06D2E283" w:rsidRPr="62CC6759">
        <w:rPr>
          <w:rFonts w:ascii="Arial Nova" w:eastAsia="Arial Nova" w:hAnsi="Arial Nova" w:cs="Arial Nova"/>
          <w:i/>
          <w:iCs/>
          <w:sz w:val="24"/>
          <w:szCs w:val="24"/>
        </w:rPr>
        <w:t>.</w:t>
      </w:r>
      <w:r w:rsidRPr="62CC6759">
        <w:rPr>
          <w:rFonts w:ascii="Arial Nova" w:eastAsia="Arial Nova" w:hAnsi="Arial Nova" w:cs="Arial Nova"/>
          <w:i/>
          <w:sz w:val="24"/>
          <w:szCs w:val="24"/>
        </w:rPr>
        <w:t xml:space="preserve"> </w:t>
      </w:r>
      <w:r w:rsidRPr="22056C84">
        <w:rPr>
          <w:rFonts w:ascii="Arial Nova" w:eastAsia="Arial Nova" w:hAnsi="Arial Nova" w:cs="Arial Nova"/>
          <w:sz w:val="24"/>
          <w:szCs w:val="24"/>
        </w:rPr>
        <w:t xml:space="preserve">2015). Gould, Drey and Creedon (2011), highlighted cost as a barrier to the use of electronic alternatives. As technology costs often decrease over time, this </w:t>
      </w:r>
      <w:r w:rsidR="06D2E283" w:rsidRPr="62CC6759">
        <w:rPr>
          <w:rFonts w:ascii="Arial Nova" w:eastAsia="Arial Nova" w:hAnsi="Arial Nova" w:cs="Arial Nova"/>
          <w:sz w:val="24"/>
          <w:szCs w:val="24"/>
        </w:rPr>
        <w:t>would be</w:t>
      </w:r>
      <w:r w:rsidRPr="22056C84">
        <w:rPr>
          <w:rFonts w:ascii="Arial Nova" w:eastAsia="Arial Nova" w:hAnsi="Arial Nova" w:cs="Arial Nova"/>
          <w:sz w:val="24"/>
          <w:szCs w:val="24"/>
        </w:rPr>
        <w:t xml:space="preserve"> likely to be a less significant factor more than 10 years later.</w:t>
      </w:r>
      <w:r>
        <w:br/>
      </w:r>
      <w:r>
        <w:br/>
      </w:r>
      <w:r w:rsidRPr="22056C84">
        <w:rPr>
          <w:rFonts w:ascii="Arial Nova" w:eastAsia="Arial Nova" w:hAnsi="Arial Nova" w:cs="Arial Nova"/>
          <w:sz w:val="24"/>
          <w:szCs w:val="24"/>
        </w:rPr>
        <w:t xml:space="preserve">The gold standard of hand hygiene is considered to be direct observation, using a structured tool such as the Hand Hygiene Observational Tool (HHOT), developed by McAteer </w:t>
      </w:r>
      <w:r w:rsidRPr="62CC6759">
        <w:rPr>
          <w:rFonts w:ascii="Arial Nova" w:eastAsia="Arial Nova" w:hAnsi="Arial Nova" w:cs="Arial Nova"/>
          <w:i/>
          <w:sz w:val="24"/>
          <w:szCs w:val="24"/>
        </w:rPr>
        <w:t>et al</w:t>
      </w:r>
      <w:r w:rsidR="06D2E283" w:rsidRPr="62CC6759">
        <w:rPr>
          <w:rFonts w:ascii="Arial Nova" w:eastAsia="Arial Nova" w:hAnsi="Arial Nova" w:cs="Arial Nova"/>
          <w:i/>
          <w:iCs/>
          <w:sz w:val="24"/>
          <w:szCs w:val="24"/>
        </w:rPr>
        <w:t>.</w:t>
      </w:r>
      <w:r w:rsidRPr="22056C84">
        <w:rPr>
          <w:rFonts w:ascii="Arial Nova" w:eastAsia="Arial Nova" w:hAnsi="Arial Nova" w:cs="Arial Nova"/>
          <w:sz w:val="24"/>
          <w:szCs w:val="24"/>
        </w:rPr>
        <w:t xml:space="preserve"> (2008). Direct observation allows the measurement of the number of indications for hand hygiene, such as after touching a patient, and the proportion of those indications where hand hygiene was carried out.</w:t>
      </w:r>
    </w:p>
    <w:p w14:paraId="7C85B89E" w14:textId="37CB714A" w:rsidR="22056C84" w:rsidRDefault="22056C84" w:rsidP="22056C84">
      <w:pPr>
        <w:rPr>
          <w:rFonts w:ascii="Arial Nova" w:eastAsia="Arial Nova" w:hAnsi="Arial Nova" w:cs="Arial Nova"/>
          <w:sz w:val="24"/>
          <w:szCs w:val="24"/>
          <w:highlight w:val="yellow"/>
        </w:rPr>
      </w:pPr>
      <w:r w:rsidRPr="22056C84">
        <w:rPr>
          <w:rFonts w:ascii="Arial Nova" w:eastAsia="Arial Nova" w:hAnsi="Arial Nova" w:cs="Arial Nova"/>
          <w:sz w:val="24"/>
          <w:szCs w:val="24"/>
        </w:rPr>
        <w:t>This direct observation generates useful data, but is very labour intensive and cannot realistically be applied across a healthcare organisation on an ongoing basis. Monitoring is limited by the availability of trained observers and is more difficult in remote settings and out of hours</w:t>
      </w:r>
      <w:r w:rsidR="06D2E283" w:rsidRPr="62CC6759">
        <w:rPr>
          <w:rFonts w:ascii="Arial Nova" w:eastAsia="Arial Nova" w:hAnsi="Arial Nova" w:cs="Arial Nova"/>
          <w:sz w:val="24"/>
          <w:szCs w:val="24"/>
        </w:rPr>
        <w:t xml:space="preserve"> (Gould, 2010).</w:t>
      </w:r>
    </w:p>
    <w:p w14:paraId="6245ECE8" w14:textId="3BAC976F" w:rsidR="17EFB63A" w:rsidRDefault="17EFB63A" w:rsidP="22056C84">
      <w:pPr>
        <w:rPr>
          <w:rFonts w:ascii="Arial Nova" w:eastAsia="Arial Nova" w:hAnsi="Arial Nova" w:cs="Arial Nova"/>
          <w:sz w:val="24"/>
          <w:szCs w:val="24"/>
        </w:rPr>
      </w:pPr>
      <w:r w:rsidRPr="22056C84">
        <w:rPr>
          <w:rFonts w:ascii="Arial Nova" w:eastAsia="Arial Nova" w:hAnsi="Arial Nova" w:cs="Arial Nova"/>
          <w:sz w:val="24"/>
          <w:szCs w:val="24"/>
        </w:rPr>
        <w:t xml:space="preserve">Current technology is unlikely to be able to replicate the identification of indications for hand hygiene in as much detail as direct human observation. It should however be noted that direct observation methods are not infallible, as for example observers reported difficulties in detecting the use of personal hand rub dispensers and when patient care occurred out of sight, such as behind curtains for privacy (McAteer </w:t>
      </w:r>
      <w:r w:rsidRPr="62CC6759">
        <w:rPr>
          <w:rFonts w:ascii="Arial Nova" w:eastAsia="Arial Nova" w:hAnsi="Arial Nova" w:cs="Arial Nova"/>
          <w:i/>
          <w:sz w:val="24"/>
          <w:szCs w:val="24"/>
        </w:rPr>
        <w:t>et al</w:t>
      </w:r>
      <w:r w:rsidR="7EFEB40A" w:rsidRPr="62CC6759">
        <w:rPr>
          <w:rFonts w:ascii="Arial Nova" w:eastAsia="Arial Nova" w:hAnsi="Arial Nova" w:cs="Arial Nova"/>
          <w:i/>
          <w:iCs/>
          <w:sz w:val="24"/>
          <w:szCs w:val="24"/>
        </w:rPr>
        <w:t>.</w:t>
      </w:r>
      <w:r w:rsidRPr="22056C84">
        <w:rPr>
          <w:rFonts w:ascii="Arial Nova" w:eastAsia="Arial Nova" w:hAnsi="Arial Nova" w:cs="Arial Nova"/>
          <w:sz w:val="24"/>
          <w:szCs w:val="24"/>
        </w:rPr>
        <w:t xml:space="preserve"> 2008).</w:t>
      </w:r>
    </w:p>
    <w:p w14:paraId="1DD25C07" w14:textId="106D9681" w:rsidR="17EFB63A" w:rsidRDefault="17EFB63A" w:rsidP="22056C84">
      <w:pPr>
        <w:rPr>
          <w:rFonts w:ascii="Arial Nova" w:eastAsia="Arial Nova" w:hAnsi="Arial Nova" w:cs="Arial Nova"/>
          <w:b/>
          <w:bCs/>
          <w:sz w:val="28"/>
          <w:szCs w:val="28"/>
        </w:rPr>
      </w:pPr>
      <w:r w:rsidRPr="33F79CAC">
        <w:rPr>
          <w:rFonts w:ascii="Arial Nova" w:eastAsia="Arial Nova" w:hAnsi="Arial Nova" w:cs="Arial Nova"/>
          <w:sz w:val="24"/>
          <w:szCs w:val="24"/>
        </w:rPr>
        <w:lastRenderedPageBreak/>
        <w:t xml:space="preserve">An area of hand hygiene monitoring that has already been shown to be suitable for technological intervention is measuring the number times one or more healthcare workers wash their hands. Solutions range from simple counters </w:t>
      </w:r>
      <w:r w:rsidRPr="62CC6759">
        <w:rPr>
          <w:rFonts w:ascii="Arial Nova" w:eastAsia="Arial Nova" w:hAnsi="Arial Nova" w:cs="Arial Nova"/>
          <w:sz w:val="24"/>
          <w:szCs w:val="24"/>
        </w:rPr>
        <w:t xml:space="preserve">(Marra </w:t>
      </w:r>
      <w:r w:rsidRPr="62CC6759">
        <w:rPr>
          <w:rFonts w:ascii="Arial Nova" w:eastAsia="Arial Nova" w:hAnsi="Arial Nova" w:cs="Arial Nova"/>
          <w:i/>
          <w:sz w:val="24"/>
          <w:szCs w:val="24"/>
        </w:rPr>
        <w:t>et al</w:t>
      </w:r>
      <w:r w:rsidR="7EFEB40A" w:rsidRPr="62CC6759">
        <w:rPr>
          <w:rFonts w:ascii="Arial Nova" w:eastAsia="Arial Nova" w:hAnsi="Arial Nova" w:cs="Arial Nova"/>
          <w:i/>
          <w:iCs/>
          <w:sz w:val="24"/>
          <w:szCs w:val="24"/>
        </w:rPr>
        <w:t>.</w:t>
      </w:r>
      <w:r w:rsidRPr="62CC6759">
        <w:rPr>
          <w:rFonts w:ascii="Arial Nova" w:eastAsia="Arial Nova" w:hAnsi="Arial Nova" w:cs="Arial Nova"/>
          <w:sz w:val="24"/>
          <w:szCs w:val="24"/>
        </w:rPr>
        <w:t xml:space="preserve"> 2010)</w:t>
      </w:r>
      <w:r w:rsidRPr="33F79CAC">
        <w:rPr>
          <w:rFonts w:ascii="Arial Nova" w:eastAsia="Arial Nova" w:hAnsi="Arial Nova" w:cs="Arial Nova"/>
          <w:sz w:val="24"/>
          <w:szCs w:val="24"/>
        </w:rPr>
        <w:t xml:space="preserve"> to wearable technology, such as a smart ring described in Zhang </w:t>
      </w:r>
      <w:r w:rsidRPr="62CC6759">
        <w:rPr>
          <w:rFonts w:ascii="Arial Nova" w:eastAsia="Arial Nova" w:hAnsi="Arial Nova" w:cs="Arial Nova"/>
          <w:i/>
          <w:sz w:val="24"/>
          <w:szCs w:val="24"/>
        </w:rPr>
        <w:t>et al.</w:t>
      </w:r>
      <w:r w:rsidRPr="33F79CAC">
        <w:rPr>
          <w:rFonts w:ascii="Arial Nova" w:eastAsia="Arial Nova" w:hAnsi="Arial Nova" w:cs="Arial Nova"/>
          <w:sz w:val="24"/>
          <w:szCs w:val="24"/>
        </w:rPr>
        <w:t xml:space="preserve"> (2018). Although the paper does not consider whether the ring itself introduces a risk of accumulating bacteria, which has been demonstrated in other hand hygiene studies (</w:t>
      </w:r>
      <w:r w:rsidR="7EFEB40A" w:rsidRPr="62CC6759">
        <w:rPr>
          <w:rFonts w:ascii="Arial Nova" w:eastAsia="Arial Nova" w:hAnsi="Arial Nova" w:cs="Arial Nova"/>
          <w:sz w:val="24"/>
          <w:szCs w:val="24"/>
        </w:rPr>
        <w:t>Alur</w:t>
      </w:r>
      <w:r w:rsidRPr="33F79CAC">
        <w:rPr>
          <w:rFonts w:ascii="Arial Nova" w:eastAsia="Arial Nova" w:hAnsi="Arial Nova" w:cs="Arial Nova"/>
          <w:sz w:val="24"/>
          <w:szCs w:val="24"/>
        </w:rPr>
        <w:t xml:space="preserve"> </w:t>
      </w:r>
      <w:r w:rsidRPr="62CC6759">
        <w:rPr>
          <w:rFonts w:ascii="Arial Nova" w:eastAsia="Arial Nova" w:hAnsi="Arial Nova" w:cs="Arial Nova"/>
          <w:i/>
          <w:sz w:val="24"/>
          <w:szCs w:val="24"/>
        </w:rPr>
        <w:t>et al.</w:t>
      </w:r>
      <w:r w:rsidRPr="33F79CAC">
        <w:rPr>
          <w:rFonts w:ascii="Arial Nova" w:eastAsia="Arial Nova" w:hAnsi="Arial Nova" w:cs="Arial Nova"/>
          <w:sz w:val="24"/>
          <w:szCs w:val="24"/>
        </w:rPr>
        <w:t xml:space="preserve"> 2009). Some technological interventions attempt to measure the quality of hand hygiene using automatic video auditing at sinks (Lacey </w:t>
      </w:r>
      <w:r w:rsidRPr="62CC6759">
        <w:rPr>
          <w:rFonts w:ascii="Arial Nova" w:eastAsia="Arial Nova" w:hAnsi="Arial Nova" w:cs="Arial Nova"/>
          <w:i/>
          <w:sz w:val="24"/>
          <w:szCs w:val="24"/>
        </w:rPr>
        <w:t>et al.</w:t>
      </w:r>
      <w:r w:rsidRPr="33F79CAC">
        <w:rPr>
          <w:rFonts w:ascii="Arial Nova" w:eastAsia="Arial Nova" w:hAnsi="Arial Nova" w:cs="Arial Nova"/>
          <w:sz w:val="24"/>
          <w:szCs w:val="24"/>
        </w:rPr>
        <w:t xml:space="preserve"> 2020).</w:t>
      </w:r>
    </w:p>
    <w:p w14:paraId="02105786" w14:textId="39B925F8" w:rsidR="17EFB63A" w:rsidRDefault="17EFB63A" w:rsidP="22056C84">
      <w:pPr>
        <w:rPr>
          <w:rFonts w:ascii="Arial Nova" w:eastAsia="Arial Nova" w:hAnsi="Arial Nova" w:cs="Arial Nova"/>
          <w:b/>
          <w:bCs/>
          <w:sz w:val="28"/>
          <w:szCs w:val="28"/>
        </w:rPr>
      </w:pPr>
      <w:r w:rsidRPr="33F79CAC">
        <w:rPr>
          <w:rFonts w:ascii="Arial Nova" w:eastAsia="Arial Nova" w:hAnsi="Arial Nova" w:cs="Arial Nova"/>
          <w:sz w:val="24"/>
          <w:szCs w:val="24"/>
        </w:rPr>
        <w:t>This paper considers a digital technology solution to automate monitoring of hand hygiene and provide reminders to staff in secondary care settings within Cardiff and Vale University Health Board.</w:t>
      </w:r>
    </w:p>
    <w:p w14:paraId="379C3B4E" w14:textId="783AE561" w:rsidR="62CC6759" w:rsidRDefault="62CC6759" w:rsidP="62CC6759">
      <w:pPr>
        <w:rPr>
          <w:rFonts w:ascii="Arial Nova" w:eastAsia="Arial Nova" w:hAnsi="Arial Nova" w:cs="Arial Nova"/>
          <w:b/>
          <w:bCs/>
          <w:sz w:val="24"/>
          <w:szCs w:val="24"/>
        </w:rPr>
      </w:pPr>
      <w:r w:rsidRPr="62CC6759">
        <w:rPr>
          <w:rFonts w:ascii="Arial Nova" w:eastAsia="Arial Nova" w:hAnsi="Arial Nova" w:cs="Arial Nova"/>
          <w:sz w:val="24"/>
          <w:szCs w:val="24"/>
        </w:rPr>
        <w:t>The design requirements in this paper were developed from a review of existing literature, the author’s knowledge of the Health Board and the overview of hand hygiene monitoring by Boyce (2017). Following specification of the design requirements, a gap analysis considered the existing infrastructure and capabilities within the Health Board.</w:t>
      </w:r>
    </w:p>
    <w:p w14:paraId="6245A047" w14:textId="09BD2F78"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Finally, an analysis of three options was undertaken to inform the choice of strategy explored in the discussion section.</w:t>
      </w:r>
    </w:p>
    <w:p w14:paraId="38DB9044" w14:textId="72CE4D6F" w:rsidR="62CC6759" w:rsidRDefault="62CC6759"/>
    <w:p w14:paraId="0A5C8356" w14:textId="6AB1A1EC" w:rsidR="17EFB63A" w:rsidRPr="00F52342" w:rsidRDefault="7EFEB40A" w:rsidP="33F79CAC">
      <w:pPr>
        <w:rPr>
          <w:rFonts w:ascii="Arial Nova" w:eastAsia="Arial Nova" w:hAnsi="Arial Nova" w:cs="Arial Nova"/>
          <w:b/>
          <w:bCs/>
          <w:sz w:val="28"/>
          <w:szCs w:val="28"/>
        </w:rPr>
      </w:pPr>
      <w:r w:rsidRPr="62CC6759">
        <w:rPr>
          <w:rFonts w:ascii="Arial Nova" w:eastAsia="Arial Nova" w:hAnsi="Arial Nova" w:cs="Arial Nova"/>
          <w:b/>
          <w:bCs/>
          <w:sz w:val="28"/>
          <w:szCs w:val="28"/>
        </w:rPr>
        <w:t>Results</w:t>
      </w:r>
      <w:r w:rsidR="00F52342">
        <w:rPr>
          <w:rFonts w:ascii="Arial Nova" w:eastAsia="Arial Nova" w:hAnsi="Arial Nova" w:cs="Arial Nova"/>
          <w:b/>
          <w:bCs/>
          <w:sz w:val="28"/>
          <w:szCs w:val="28"/>
        </w:rPr>
        <w:br/>
      </w:r>
      <w:r w:rsidR="17EFB63A">
        <w:br/>
      </w:r>
      <w:r w:rsidR="22056C84" w:rsidRPr="33F79CAC">
        <w:rPr>
          <w:rFonts w:ascii="Arial Nova" w:eastAsia="Arial Nova" w:hAnsi="Arial Nova" w:cs="Arial Nova"/>
          <w:b/>
          <w:bCs/>
          <w:i/>
          <w:iCs/>
          <w:sz w:val="24"/>
          <w:szCs w:val="24"/>
        </w:rPr>
        <w:t>Design requirements</w:t>
      </w:r>
    </w:p>
    <w:p w14:paraId="2BBE1207" w14:textId="44FAF888" w:rsidR="17EFB63A" w:rsidRDefault="06D2E283" w:rsidP="62CC6759">
      <w:pPr>
        <w:rPr>
          <w:rFonts w:ascii="Arial Nova" w:eastAsia="Arial Nova" w:hAnsi="Arial Nova" w:cs="Arial Nova"/>
          <w:sz w:val="24"/>
          <w:szCs w:val="24"/>
        </w:rPr>
      </w:pPr>
      <w:r w:rsidRPr="62CC6759">
        <w:rPr>
          <w:rFonts w:ascii="Arial Nova" w:eastAsia="Arial Nova" w:hAnsi="Arial Nova" w:cs="Arial Nova"/>
          <w:i/>
          <w:iCs/>
          <w:sz w:val="24"/>
          <w:szCs w:val="24"/>
        </w:rPr>
        <w:t>Functional</w:t>
      </w:r>
      <w:r w:rsidR="33F79CAC" w:rsidRPr="62CC6759">
        <w:rPr>
          <w:rFonts w:ascii="Arial Nova" w:eastAsia="Arial Nova" w:hAnsi="Arial Nova" w:cs="Arial Nova"/>
          <w:i/>
          <w:sz w:val="24"/>
          <w:szCs w:val="24"/>
        </w:rPr>
        <w:t xml:space="preserve"> requirements</w:t>
      </w:r>
      <w:r w:rsidR="17EFB63A">
        <w:br/>
      </w:r>
      <w:r w:rsidR="17EFB63A">
        <w:br/>
      </w:r>
      <w:r w:rsidRPr="62CC6759">
        <w:rPr>
          <w:rFonts w:ascii="Arial Nova" w:eastAsia="Arial Nova" w:hAnsi="Arial Nova" w:cs="Arial Nova"/>
          <w:sz w:val="24"/>
          <w:szCs w:val="24"/>
        </w:rPr>
        <w:t xml:space="preserve">1. </w:t>
      </w:r>
      <w:r w:rsidR="22056C84" w:rsidRPr="33F79CAC">
        <w:rPr>
          <w:rFonts w:ascii="Arial Nova" w:eastAsia="Arial Nova" w:hAnsi="Arial Nova" w:cs="Arial Nova"/>
          <w:sz w:val="24"/>
          <w:szCs w:val="24"/>
        </w:rPr>
        <w:t xml:space="preserve">Count </w:t>
      </w:r>
      <w:r w:rsidRPr="62CC6759">
        <w:rPr>
          <w:rFonts w:ascii="Arial Nova" w:eastAsia="Arial Nova" w:hAnsi="Arial Nova" w:cs="Arial Nova"/>
          <w:sz w:val="24"/>
          <w:szCs w:val="24"/>
        </w:rPr>
        <w:t>the number of hand hygiene events</w:t>
      </w:r>
    </w:p>
    <w:p w14:paraId="44BF684D" w14:textId="23058D36" w:rsidR="17EFB63A" w:rsidRDefault="17EFB63A" w:rsidP="33F79CAC">
      <w:pPr>
        <w:rPr>
          <w:rFonts w:ascii="Arial Nova" w:eastAsia="Arial Nova" w:hAnsi="Arial Nova" w:cs="Arial Nova"/>
          <w:sz w:val="24"/>
          <w:szCs w:val="24"/>
        </w:rPr>
      </w:pPr>
      <w:r w:rsidRPr="33F79CAC">
        <w:rPr>
          <w:rFonts w:ascii="Arial Nova" w:eastAsia="Arial Nova" w:hAnsi="Arial Nova" w:cs="Arial Nova"/>
          <w:sz w:val="24"/>
          <w:szCs w:val="24"/>
        </w:rPr>
        <w:t>As with any quality improvement project, a baseline measurement is required to compare with measurements after intervention (The Health Foundation, 2021). In order to establish this baseline level of hand hygiene within a healthcare facility, the number of hand hygiene events (hand washing at a sink or use of handrub) needs to be measured. This form of hand hygiene monitoring has been implemented in a number of healthcare settings and subject to published studies (Larson et al, 2000; Morgan et al, 2012).</w:t>
      </w:r>
      <w:r>
        <w:br/>
      </w:r>
      <w:r>
        <w:br/>
      </w:r>
      <w:r w:rsidR="06D2E283" w:rsidRPr="62CC6759">
        <w:rPr>
          <w:rFonts w:ascii="Arial Nova" w:eastAsia="Arial Nova" w:hAnsi="Arial Nova" w:cs="Arial Nova"/>
          <w:sz w:val="24"/>
          <w:szCs w:val="24"/>
        </w:rPr>
        <w:t>2. Capture date and time</w:t>
      </w:r>
    </w:p>
    <w:p w14:paraId="469D1E5F" w14:textId="3EEE317F" w:rsidR="17EFB63A" w:rsidRDefault="33F79CAC" w:rsidP="62CC6759">
      <w:pPr>
        <w:rPr>
          <w:rFonts w:ascii="Arial Nova" w:eastAsia="Arial Nova" w:hAnsi="Arial Nova" w:cs="Arial Nova"/>
          <w:sz w:val="24"/>
          <w:szCs w:val="24"/>
        </w:rPr>
      </w:pPr>
      <w:r w:rsidRPr="33F79CAC">
        <w:rPr>
          <w:rFonts w:ascii="Arial Nova" w:eastAsia="Arial Nova" w:hAnsi="Arial Nova" w:cs="Arial Nova"/>
          <w:sz w:val="24"/>
          <w:szCs w:val="24"/>
        </w:rPr>
        <w:t xml:space="preserve">While recording a count of the number of times hand hygiene is performed by monitoring activations of sinks or handrub dispensers can provide data over time to establish trends, capturing the date and time of each activation gives additional insight into pattens of hand hygiene across daily and weekly shift patterns (Marra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62CC6759">
        <w:rPr>
          <w:rFonts w:ascii="Arial Nova" w:eastAsia="Arial Nova" w:hAnsi="Arial Nova" w:cs="Arial Nova"/>
          <w:sz w:val="24"/>
          <w:szCs w:val="24"/>
        </w:rPr>
        <w:t xml:space="preserve"> 2010). </w:t>
      </w:r>
      <w:r w:rsidR="17EFB63A">
        <w:br/>
      </w:r>
      <w:r w:rsidR="17EFB63A">
        <w:lastRenderedPageBreak/>
        <w:br/>
      </w:r>
      <w:r w:rsidR="06D2E283" w:rsidRPr="62CC6759">
        <w:rPr>
          <w:rFonts w:ascii="Arial Nova" w:eastAsia="Arial Nova" w:hAnsi="Arial Nova" w:cs="Arial Nova"/>
          <w:sz w:val="24"/>
          <w:szCs w:val="24"/>
        </w:rPr>
        <w:t xml:space="preserve">3. </w:t>
      </w:r>
      <w:r w:rsidR="22056C84" w:rsidRPr="33F79CAC">
        <w:rPr>
          <w:rFonts w:ascii="Arial Nova" w:eastAsia="Arial Nova" w:hAnsi="Arial Nova" w:cs="Arial Nova"/>
          <w:sz w:val="24"/>
          <w:szCs w:val="24"/>
        </w:rPr>
        <w:t>Have an identifier that can be linked to a sink/handrub location</w:t>
      </w:r>
    </w:p>
    <w:p w14:paraId="6AE633C6" w14:textId="03409A1B" w:rsidR="17EFB63A" w:rsidRDefault="33F79CAC" w:rsidP="62CC6759">
      <w:pPr>
        <w:rPr>
          <w:rFonts w:ascii="Arial Nova" w:eastAsia="Arial Nova" w:hAnsi="Arial Nova" w:cs="Arial Nova"/>
          <w:b/>
          <w:bCs/>
          <w:sz w:val="28"/>
          <w:szCs w:val="28"/>
        </w:rPr>
      </w:pPr>
      <w:r w:rsidRPr="33F79CAC">
        <w:rPr>
          <w:rFonts w:ascii="Arial Nova" w:eastAsia="Arial Nova" w:hAnsi="Arial Nova" w:cs="Arial Nova"/>
          <w:sz w:val="24"/>
          <w:szCs w:val="24"/>
        </w:rPr>
        <w:t xml:space="preserve">In addition to date and time recording, establishing the pattern of usage between hand hygiene locations can be used to target interventions. Location data has previously been used in conjunction with the movement data of hand hygiene auditors to study the impact of the Hawthorne effect on hand hygiene compliance (Srigley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33F79CAC">
        <w:rPr>
          <w:rFonts w:ascii="Arial Nova" w:eastAsia="Arial Nova" w:hAnsi="Arial Nova" w:cs="Arial Nova"/>
          <w:sz w:val="24"/>
          <w:szCs w:val="24"/>
        </w:rPr>
        <w:t xml:space="preserve"> 2014). </w:t>
      </w:r>
      <w:r w:rsidR="17EFB63A">
        <w:br/>
      </w:r>
      <w:r w:rsidR="17EFB63A">
        <w:br/>
      </w:r>
      <w:r w:rsidR="06D2E283" w:rsidRPr="62CC6759">
        <w:rPr>
          <w:rFonts w:ascii="Arial Nova" w:eastAsia="Arial Nova" w:hAnsi="Arial Nova" w:cs="Arial Nova"/>
          <w:sz w:val="24"/>
          <w:szCs w:val="24"/>
        </w:rPr>
        <w:t xml:space="preserve">4. </w:t>
      </w:r>
      <w:r w:rsidR="22056C84" w:rsidRPr="33F79CAC">
        <w:rPr>
          <w:rFonts w:ascii="Arial Nova" w:eastAsia="Arial Nova" w:hAnsi="Arial Nova" w:cs="Arial Nova"/>
          <w:sz w:val="24"/>
          <w:szCs w:val="24"/>
        </w:rPr>
        <w:t>Not negatively impact the operation of the sink or handrub dispenser</w:t>
      </w:r>
    </w:p>
    <w:p w14:paraId="52966E9F" w14:textId="4A9BD0DB"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Any monitoring system or related intervention should not negatively impact the user’s ability to complete thorough hand washing or decontamination with handrub in line with internationally accepted standards </w:t>
      </w:r>
      <w:r w:rsidR="17EFB63A" w:rsidRPr="33F79CAC">
        <w:rPr>
          <w:rFonts w:ascii="Arial Nova" w:eastAsia="Arial Nova" w:hAnsi="Arial Nova" w:cs="Arial Nova"/>
          <w:sz w:val="24"/>
          <w:szCs w:val="24"/>
        </w:rPr>
        <w:t>(World Health Organization, 2009).</w:t>
      </w:r>
      <w:r w:rsidR="17EFB63A">
        <w:br/>
      </w:r>
      <w:r w:rsidR="17EFB63A">
        <w:br/>
      </w:r>
      <w:r w:rsidR="06D2E283" w:rsidRPr="62CC6759">
        <w:rPr>
          <w:rFonts w:ascii="Arial Nova" w:eastAsia="Arial Nova" w:hAnsi="Arial Nova" w:cs="Arial Nova"/>
          <w:sz w:val="24"/>
          <w:szCs w:val="24"/>
        </w:rPr>
        <w:t>5. Be easy to install and not require mains power</w:t>
      </w:r>
    </w:p>
    <w:p w14:paraId="7C8CE9A0" w14:textId="14339470" w:rsidR="17EFB63A" w:rsidRDefault="33F79CAC" w:rsidP="62CC6759">
      <w:pPr>
        <w:rPr>
          <w:rFonts w:ascii="Arial Nova" w:eastAsia="Arial Nova" w:hAnsi="Arial Nova" w:cs="Arial Nova"/>
          <w:sz w:val="24"/>
          <w:szCs w:val="24"/>
        </w:rPr>
      </w:pPr>
      <w:r w:rsidRPr="62CC6759">
        <w:rPr>
          <w:rFonts w:ascii="Arial Nova" w:eastAsia="Arial Nova" w:hAnsi="Arial Nova" w:cs="Arial Nova"/>
          <w:sz w:val="24"/>
          <w:szCs w:val="24"/>
        </w:rPr>
        <w:t xml:space="preserve">While hardwired solutions have been used in some single-area interventions, when considering a hospital or health board wide implementation, the cost and disruption of a hardwired system is likely to be prohibitive. The work required to install a hardwired system is even reported to be a potential source of infection (Ward </w:t>
      </w:r>
      <w:r w:rsidRPr="62CC6759">
        <w:rPr>
          <w:rFonts w:ascii="Arial Nova" w:eastAsia="Arial Nova" w:hAnsi="Arial Nova" w:cs="Arial Nova"/>
          <w:i/>
          <w:iCs/>
          <w:sz w:val="24"/>
          <w:szCs w:val="24"/>
        </w:rPr>
        <w:t xml:space="preserve">et al. </w:t>
      </w:r>
      <w:r w:rsidRPr="62CC6759">
        <w:rPr>
          <w:rFonts w:ascii="Arial Nova" w:eastAsia="Arial Nova" w:hAnsi="Arial Nova" w:cs="Arial Nova"/>
          <w:sz w:val="24"/>
          <w:szCs w:val="24"/>
        </w:rPr>
        <w:t>2014).</w:t>
      </w:r>
      <w:r w:rsidR="17EFB63A">
        <w:br/>
      </w:r>
      <w:r w:rsidR="17EFB63A">
        <w:br/>
      </w:r>
      <w:r w:rsidR="06D2E283" w:rsidRPr="62CC6759">
        <w:rPr>
          <w:rFonts w:ascii="Arial Nova" w:eastAsia="Arial Nova" w:hAnsi="Arial Nova" w:cs="Arial Nova"/>
          <w:sz w:val="24"/>
          <w:szCs w:val="24"/>
        </w:rPr>
        <w:t xml:space="preserve">6. </w:t>
      </w:r>
      <w:r w:rsidR="22056C84" w:rsidRPr="33F79CAC">
        <w:rPr>
          <w:rFonts w:ascii="Arial Nova" w:eastAsia="Arial Nova" w:hAnsi="Arial Nova" w:cs="Arial Nova"/>
          <w:sz w:val="24"/>
          <w:szCs w:val="24"/>
        </w:rPr>
        <w:t>Transmit data in real-time using a wireless method</w:t>
      </w:r>
    </w:p>
    <w:p w14:paraId="1400E959" w14:textId="5F2361BC"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Installation of a hardwired data system is likely to present similar issues to those of hardwired power explained by Ward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62CC6759">
        <w:rPr>
          <w:rFonts w:ascii="Arial Nova" w:eastAsia="Arial Nova" w:hAnsi="Arial Nova" w:cs="Arial Nova"/>
          <w:i/>
          <w:sz w:val="24"/>
          <w:szCs w:val="24"/>
        </w:rPr>
        <w:t xml:space="preserve"> </w:t>
      </w:r>
      <w:r w:rsidRPr="33F79CAC">
        <w:rPr>
          <w:rFonts w:ascii="Arial Nova" w:eastAsia="Arial Nova" w:hAnsi="Arial Nova" w:cs="Arial Nova"/>
          <w:sz w:val="24"/>
          <w:szCs w:val="24"/>
        </w:rPr>
        <w:t>(2014). While some electronic monitoring systems require regular manual download of data, real-time data transmission is preferable as it allows for staff reminders and reduces staff time spent administering the system.</w:t>
      </w:r>
    </w:p>
    <w:p w14:paraId="7A9175B1" w14:textId="7756E9BE" w:rsidR="33F79CAC" w:rsidRDefault="33F79CAC" w:rsidP="33F79CAC">
      <w:pPr>
        <w:rPr>
          <w:rFonts w:ascii="Arial Nova" w:eastAsia="Arial Nova" w:hAnsi="Arial Nova" w:cs="Arial Nova"/>
          <w:sz w:val="24"/>
          <w:szCs w:val="24"/>
        </w:rPr>
      </w:pPr>
    </w:p>
    <w:p w14:paraId="4E6A8AF3" w14:textId="5DE6D732" w:rsidR="33F79CAC" w:rsidRDefault="33F79CAC" w:rsidP="33F79CAC">
      <w:pPr>
        <w:rPr>
          <w:rFonts w:ascii="Arial Nova" w:eastAsia="Arial Nova" w:hAnsi="Arial Nova" w:cs="Arial Nova"/>
          <w:i/>
          <w:iCs/>
          <w:sz w:val="24"/>
          <w:szCs w:val="24"/>
        </w:rPr>
      </w:pPr>
      <w:r w:rsidRPr="33F79CAC">
        <w:rPr>
          <w:rFonts w:ascii="Arial Nova" w:eastAsia="Arial Nova" w:hAnsi="Arial Nova" w:cs="Arial Nova"/>
          <w:i/>
          <w:iCs/>
          <w:sz w:val="24"/>
          <w:szCs w:val="24"/>
        </w:rPr>
        <w:t>Non-functional requirements</w:t>
      </w:r>
      <w:r>
        <w:br/>
      </w:r>
      <w:r>
        <w:br/>
      </w:r>
      <w:r w:rsidRPr="33F79CAC">
        <w:rPr>
          <w:rFonts w:ascii="Arial Nova" w:eastAsia="Arial Nova" w:hAnsi="Arial Nova" w:cs="Arial Nova"/>
          <w:sz w:val="24"/>
          <w:szCs w:val="24"/>
        </w:rPr>
        <w:t xml:space="preserve">While the task of recording hand hygiene activities via counters in sinks and handrub dispensers is straightforward, the system needs to be reliable. This required reliability is twofold – the system needs to capture the activations 24/7 without interruption, and the functional hand hygiene aspect must be robust enough to withstand hundreds of uses per week (Conway, 2016; Srigley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33F79CAC">
        <w:rPr>
          <w:rFonts w:ascii="Arial Nova" w:eastAsia="Arial Nova" w:hAnsi="Arial Nova" w:cs="Arial Nova"/>
          <w:sz w:val="24"/>
          <w:szCs w:val="24"/>
        </w:rPr>
        <w:t xml:space="preserve"> 2014). The practicality, cost and staff time of battery charging or replacement must be considered, with some systems needing monthly battery changes (Filho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33F79CAC">
        <w:rPr>
          <w:rFonts w:ascii="Arial Nova" w:eastAsia="Arial Nova" w:hAnsi="Arial Nova" w:cs="Arial Nova"/>
          <w:sz w:val="24"/>
          <w:szCs w:val="24"/>
        </w:rPr>
        <w:t xml:space="preserve"> 2014). While this may be achievable within a small unit, the impact of this ongoing task becomes more significant when considering a hospital or healthcare provider wide deployment. Faulty or inoperable counters can affect data accuracy (Filho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33F79CAC">
        <w:rPr>
          <w:rFonts w:ascii="Arial Nova" w:eastAsia="Arial Nova" w:hAnsi="Arial Nova" w:cs="Arial Nova"/>
          <w:sz w:val="24"/>
          <w:szCs w:val="24"/>
        </w:rPr>
        <w:t xml:space="preserve"> 2014).</w:t>
      </w:r>
    </w:p>
    <w:p w14:paraId="1DAC0BEB" w14:textId="47EECDEC"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lastRenderedPageBreak/>
        <w:t xml:space="preserve">Accuracy in counting hand hygiene activities is important, and the system should be designed to ensure accuracy. For example, by including a function to ignore multiple activations within a set time period to prevent double-counting of a single event. The system used by Filho </w:t>
      </w:r>
      <w:r w:rsidRPr="62CC6759">
        <w:rPr>
          <w:rFonts w:ascii="Arial Nova" w:eastAsia="Arial Nova" w:hAnsi="Arial Nova" w:cs="Arial Nova"/>
          <w:i/>
          <w:sz w:val="24"/>
          <w:szCs w:val="24"/>
        </w:rPr>
        <w:t>et al</w:t>
      </w:r>
      <w:r w:rsidRPr="62CC6759">
        <w:rPr>
          <w:rFonts w:ascii="Arial Nova" w:eastAsia="Arial Nova" w:hAnsi="Arial Nova" w:cs="Arial Nova"/>
          <w:i/>
          <w:iCs/>
          <w:sz w:val="24"/>
          <w:szCs w:val="24"/>
        </w:rPr>
        <w:t>.</w:t>
      </w:r>
      <w:r w:rsidRPr="33F79CAC">
        <w:rPr>
          <w:rFonts w:ascii="Arial Nova" w:eastAsia="Arial Nova" w:hAnsi="Arial Nova" w:cs="Arial Nova"/>
          <w:sz w:val="24"/>
          <w:szCs w:val="24"/>
        </w:rPr>
        <w:t xml:space="preserve"> (2014) was designed to count more than one activation within a two second period as a single event.</w:t>
      </w:r>
    </w:p>
    <w:p w14:paraId="2A81A35D" w14:textId="1F99D307" w:rsidR="33F79CAC" w:rsidRDefault="33F79CAC" w:rsidP="33F79CAC">
      <w:pPr>
        <w:rPr>
          <w:rFonts w:ascii="Arial Nova" w:eastAsia="Arial Nova" w:hAnsi="Arial Nova" w:cs="Arial Nova"/>
          <w:sz w:val="24"/>
          <w:szCs w:val="24"/>
        </w:rPr>
      </w:pPr>
    </w:p>
    <w:p w14:paraId="0065563B" w14:textId="3342EC11" w:rsidR="33F79CAC" w:rsidRDefault="33F79CAC" w:rsidP="33F79CAC">
      <w:pPr>
        <w:rPr>
          <w:rFonts w:ascii="Arial Nova" w:eastAsia="Arial Nova" w:hAnsi="Arial Nova" w:cs="Arial Nova"/>
          <w:i/>
          <w:iCs/>
          <w:sz w:val="24"/>
          <w:szCs w:val="24"/>
        </w:rPr>
      </w:pPr>
      <w:r w:rsidRPr="33F79CAC">
        <w:rPr>
          <w:rFonts w:ascii="Arial Nova" w:eastAsia="Arial Nova" w:hAnsi="Arial Nova" w:cs="Arial Nova"/>
          <w:i/>
          <w:iCs/>
          <w:sz w:val="24"/>
          <w:szCs w:val="24"/>
        </w:rPr>
        <w:t>Data collection and analysis</w:t>
      </w:r>
      <w:r>
        <w:br/>
      </w:r>
      <w:r>
        <w:br/>
      </w:r>
      <w:r w:rsidRPr="33F79CAC">
        <w:rPr>
          <w:rFonts w:ascii="Arial Nova" w:eastAsia="Arial Nova" w:hAnsi="Arial Nova" w:cs="Arial Nova"/>
          <w:sz w:val="24"/>
          <w:szCs w:val="24"/>
        </w:rPr>
        <w:t>The primary function of a hand hygiene monitoring system is to collect data which can be used to identify patterns of use and the impact of any interventions, such as a staff education programme, for example. The data produced by the system should be structured in a way which aids analysis and reporting, as feedback on hand hygiene compliance is an integral part of the ‘evaluation and feedback’ component of the implementation strategy required to achieve the policy goal (</w:t>
      </w:r>
      <w:r w:rsidRPr="62CC6759">
        <w:rPr>
          <w:rFonts w:ascii="Arial Nova" w:eastAsia="Arial Nova" w:hAnsi="Arial Nova" w:cs="Arial Nova"/>
          <w:sz w:val="24"/>
          <w:szCs w:val="24"/>
        </w:rPr>
        <w:t>World Heatlh Organization, 2009).</w:t>
      </w:r>
    </w:p>
    <w:p w14:paraId="37901743" w14:textId="1607FCF5" w:rsidR="17EFB63A" w:rsidRDefault="33F79CAC" w:rsidP="33F79CAC">
      <w:pPr>
        <w:rPr>
          <w:rFonts w:ascii="Arial Nova" w:eastAsia="Arial Nova" w:hAnsi="Arial Nova" w:cs="Arial Nova"/>
          <w:sz w:val="24"/>
          <w:szCs w:val="24"/>
        </w:rPr>
      </w:pPr>
      <w:r>
        <w:br/>
      </w:r>
      <w:r w:rsidRPr="33F79CAC">
        <w:rPr>
          <w:rFonts w:ascii="Arial Nova" w:eastAsia="Arial Nova" w:hAnsi="Arial Nova" w:cs="Arial Nova"/>
          <w:b/>
          <w:bCs/>
          <w:sz w:val="24"/>
          <w:szCs w:val="24"/>
        </w:rPr>
        <w:t>Gap analysis</w:t>
      </w:r>
    </w:p>
    <w:p w14:paraId="046B3A97" w14:textId="78228146"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Within Cardiff and Vale University Health Board, hand hygiene audits are undertaken by ward staff and/or infection prevention and control staff. These audits are completed once per month per ward (Jones, 2022).</w:t>
      </w:r>
      <w:r w:rsidR="17EFB63A">
        <w:br/>
      </w:r>
    </w:p>
    <w:p w14:paraId="71AD4DE7" w14:textId="5B6C841A" w:rsidR="17EFB63A" w:rsidRDefault="33F79CAC" w:rsidP="62CC6759">
      <w:pPr>
        <w:rPr>
          <w:rFonts w:ascii="Arial Nova" w:eastAsia="Arial Nova" w:hAnsi="Arial Nova" w:cs="Arial Nova"/>
          <w:b/>
          <w:bCs/>
          <w:sz w:val="28"/>
          <w:szCs w:val="28"/>
        </w:rPr>
      </w:pPr>
      <w:r w:rsidRPr="33F79CAC">
        <w:rPr>
          <w:rFonts w:ascii="Arial Nova" w:eastAsia="Arial Nova" w:hAnsi="Arial Nova" w:cs="Arial Nova"/>
          <w:i/>
          <w:iCs/>
          <w:sz w:val="24"/>
          <w:szCs w:val="24"/>
        </w:rPr>
        <w:t xml:space="preserve">Measure 1 </w:t>
      </w:r>
      <w:r w:rsidRPr="62CC6759">
        <w:rPr>
          <w:rFonts w:ascii="Arial Nova" w:eastAsia="Arial Nova" w:hAnsi="Arial Nova" w:cs="Arial Nova"/>
          <w:i/>
          <w:iCs/>
          <w:sz w:val="24"/>
          <w:szCs w:val="24"/>
        </w:rPr>
        <w:t>–</w:t>
      </w:r>
      <w:r w:rsidRPr="33F79CAC">
        <w:rPr>
          <w:rFonts w:ascii="Arial Nova" w:eastAsia="Arial Nova" w:hAnsi="Arial Nova" w:cs="Arial Nova"/>
          <w:i/>
          <w:iCs/>
          <w:sz w:val="24"/>
          <w:szCs w:val="24"/>
        </w:rPr>
        <w:t xml:space="preserve"> Monitoring</w:t>
      </w:r>
    </w:p>
    <w:p w14:paraId="0C3FE22B" w14:textId="5577EB2F"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Currently the hand hygiene audit programme only captures approximately </w:t>
      </w:r>
      <w:r w:rsidRPr="62CC6759">
        <w:rPr>
          <w:rFonts w:ascii="Arial Nova" w:eastAsia="Arial Nova" w:hAnsi="Arial Nova" w:cs="Arial Nova"/>
          <w:sz w:val="24"/>
          <w:szCs w:val="24"/>
        </w:rPr>
        <w:t>0.05</w:t>
      </w:r>
      <w:r w:rsidRPr="33F79CAC">
        <w:rPr>
          <w:rFonts w:ascii="Arial Nova" w:eastAsia="Arial Nova" w:hAnsi="Arial Nova" w:cs="Arial Nova"/>
          <w:sz w:val="24"/>
          <w:szCs w:val="24"/>
        </w:rPr>
        <w:t>% of the time each month. In order to gain a greater understanding of patterns with hand hygiene across days and months, a significant increase in monitoring is required</w:t>
      </w:r>
      <w:r w:rsidRPr="62CC6759">
        <w:rPr>
          <w:rFonts w:ascii="Arial Nova" w:eastAsia="Arial Nova" w:hAnsi="Arial Nova" w:cs="Arial Nova"/>
          <w:sz w:val="24"/>
          <w:szCs w:val="24"/>
        </w:rPr>
        <w:t xml:space="preserve"> to reduce the possibility of an insufficient sample size affecting the validity of data analysis (Boyce, 2014)</w:t>
      </w:r>
    </w:p>
    <w:p w14:paraId="3A22B3BF" w14:textId="21EA0228" w:rsidR="17EFB63A" w:rsidRDefault="33F79CAC" w:rsidP="62CC6759">
      <w:pPr>
        <w:rPr>
          <w:rFonts w:ascii="Arial Nova" w:eastAsia="Arial Nova" w:hAnsi="Arial Nova" w:cs="Arial Nova"/>
          <w:i/>
          <w:iCs/>
          <w:sz w:val="24"/>
          <w:szCs w:val="24"/>
        </w:rPr>
      </w:pPr>
      <w:r w:rsidRPr="33F79CAC">
        <w:rPr>
          <w:rFonts w:ascii="Arial Nova" w:eastAsia="Arial Nova" w:hAnsi="Arial Nova" w:cs="Arial Nova"/>
          <w:i/>
          <w:iCs/>
          <w:sz w:val="24"/>
          <w:szCs w:val="24"/>
        </w:rPr>
        <w:t>Aim 1 – Increase monitoring to 95% of each month</w:t>
      </w:r>
      <w:r w:rsidRPr="62CC6759">
        <w:rPr>
          <w:rFonts w:ascii="Arial Nova" w:eastAsia="Arial Nova" w:hAnsi="Arial Nova" w:cs="Arial Nova"/>
          <w:i/>
          <w:iCs/>
          <w:sz w:val="24"/>
          <w:szCs w:val="24"/>
        </w:rPr>
        <w:t>.</w:t>
      </w:r>
      <w:r>
        <w:br/>
      </w:r>
    </w:p>
    <w:p w14:paraId="0BB5B9F1" w14:textId="0815F512" w:rsidR="17EFB63A" w:rsidRDefault="17EFB63A" w:rsidP="62CC6759">
      <w:pPr>
        <w:rPr>
          <w:rFonts w:ascii="Arial Nova" w:eastAsia="Arial Nova" w:hAnsi="Arial Nova" w:cs="Arial Nova"/>
          <w:sz w:val="24"/>
          <w:szCs w:val="24"/>
        </w:rPr>
      </w:pPr>
      <w:r>
        <w:br/>
      </w:r>
      <w:r w:rsidR="33F79CAC" w:rsidRPr="33F79CAC">
        <w:rPr>
          <w:rFonts w:ascii="Arial Nova" w:eastAsia="Arial Nova" w:hAnsi="Arial Nova" w:cs="Arial Nova"/>
          <w:i/>
          <w:iCs/>
          <w:sz w:val="24"/>
          <w:szCs w:val="24"/>
        </w:rPr>
        <w:t>Measure 2 – Staff time</w:t>
      </w:r>
    </w:p>
    <w:p w14:paraId="5FB3D565" w14:textId="4701180F"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The direct observation required to undertake the existing level of hand hygiene audits is 20 minutes per ward per month (Cardiff and Vale University Health Board, 2015). With approximately 80 wards, taken across the Health Board this equates to 27 hours per month of staff time (Cardiff and Vale University Health Board, 2022</w:t>
      </w:r>
      <w:r w:rsidRPr="62CC6759">
        <w:rPr>
          <w:rFonts w:ascii="Arial Nova" w:eastAsia="Arial Nova" w:hAnsi="Arial Nova" w:cs="Arial Nova"/>
          <w:sz w:val="24"/>
          <w:szCs w:val="24"/>
        </w:rPr>
        <w:t>).</w:t>
      </w:r>
      <w:r w:rsidRPr="33F79CAC">
        <w:rPr>
          <w:rFonts w:ascii="Arial Nova" w:eastAsia="Arial Nova" w:hAnsi="Arial Nova" w:cs="Arial Nova"/>
          <w:sz w:val="24"/>
          <w:szCs w:val="24"/>
        </w:rPr>
        <w:t xml:space="preserve"> Using an estimate of Band 4 pay at £11.56 per hour, this gives a total annual cost for the existing </w:t>
      </w:r>
      <w:r w:rsidRPr="33F79CAC">
        <w:rPr>
          <w:rFonts w:ascii="Arial Nova" w:eastAsia="Arial Nova" w:hAnsi="Arial Nova" w:cs="Arial Nova"/>
          <w:sz w:val="24"/>
          <w:szCs w:val="24"/>
        </w:rPr>
        <w:lastRenderedPageBreak/>
        <w:t>programme of £3520 (Nursing Notes, 2022). This estimation only includes the time taken directly for observations, and does not include any time for analysis.</w:t>
      </w:r>
    </w:p>
    <w:p w14:paraId="20B171EA" w14:textId="49B83DCB" w:rsidR="17EFB63A" w:rsidRDefault="33F79CAC" w:rsidP="62CC6759">
      <w:pPr>
        <w:rPr>
          <w:rFonts w:ascii="Arial Nova" w:eastAsia="Arial Nova" w:hAnsi="Arial Nova" w:cs="Arial Nova"/>
          <w:sz w:val="24"/>
          <w:szCs w:val="24"/>
        </w:rPr>
      </w:pPr>
      <w:r w:rsidRPr="62CC6759">
        <w:rPr>
          <w:rFonts w:ascii="Arial Nova" w:eastAsia="Arial Nova" w:hAnsi="Arial Nova" w:cs="Arial Nova"/>
          <w:sz w:val="24"/>
          <w:szCs w:val="24"/>
        </w:rPr>
        <w:t>As well as the financial cost to the organisation of the direct observation audits, the programme takes staff away from patient care to undertake the audits.</w:t>
      </w:r>
      <w:r>
        <w:br/>
      </w:r>
      <w:r>
        <w:br/>
      </w:r>
      <w:r w:rsidRPr="62CC6759">
        <w:rPr>
          <w:rFonts w:ascii="Arial Nova" w:eastAsia="Arial Nova" w:hAnsi="Arial Nova" w:cs="Arial Nova"/>
          <w:i/>
          <w:iCs/>
          <w:sz w:val="24"/>
          <w:szCs w:val="24"/>
        </w:rPr>
        <w:t>Aim 2 – Decrease the staff time required to undertake hand hygiene audits to less than 5 minutes per ward per month.</w:t>
      </w:r>
      <w:r>
        <w:br/>
      </w:r>
      <w:r>
        <w:br/>
      </w:r>
      <w:r>
        <w:br/>
      </w:r>
      <w:r w:rsidRPr="62CC6759">
        <w:rPr>
          <w:rFonts w:ascii="Arial Nova" w:eastAsia="Arial Nova" w:hAnsi="Arial Nova" w:cs="Arial Nova"/>
          <w:i/>
          <w:iCs/>
          <w:sz w:val="24"/>
          <w:szCs w:val="24"/>
        </w:rPr>
        <w:t>Measure 3 – Hand hygiene compliance</w:t>
      </w:r>
    </w:p>
    <w:p w14:paraId="65B9A315" w14:textId="0C7019D2"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The most recently available published data shows a good level of compliance with hand hygiene, although this may be influenced by the Hawthorne effect (Cardiff and Vale University Health Board, </w:t>
      </w:r>
      <w:r w:rsidRPr="62CC6759">
        <w:rPr>
          <w:rFonts w:ascii="Arial Nova" w:eastAsia="Arial Nova" w:hAnsi="Arial Nova" w:cs="Arial Nova"/>
          <w:sz w:val="24"/>
          <w:szCs w:val="24"/>
        </w:rPr>
        <w:t xml:space="preserve">2021a; Srigley </w:t>
      </w:r>
      <w:r w:rsidRPr="62CC6759">
        <w:rPr>
          <w:rFonts w:ascii="Arial Nova" w:eastAsia="Arial Nova" w:hAnsi="Arial Nova" w:cs="Arial Nova"/>
          <w:i/>
          <w:iCs/>
          <w:sz w:val="24"/>
          <w:szCs w:val="24"/>
        </w:rPr>
        <w:t xml:space="preserve">et al. </w:t>
      </w:r>
      <w:r w:rsidRPr="62CC6759">
        <w:rPr>
          <w:rFonts w:ascii="Arial Nova" w:eastAsia="Arial Nova" w:hAnsi="Arial Nova" w:cs="Arial Nova"/>
          <w:sz w:val="24"/>
          <w:szCs w:val="24"/>
        </w:rPr>
        <w:t>2014).</w:t>
      </w:r>
      <w:r>
        <w:br/>
      </w:r>
    </w:p>
    <w:p w14:paraId="042E5D38" w14:textId="1CC0E046" w:rsidR="17EFB63A" w:rsidRDefault="33F79CAC" w:rsidP="17EFB63A">
      <w:r>
        <w:rPr>
          <w:noProof/>
        </w:rPr>
        <w:drawing>
          <wp:inline distT="0" distB="0" distL="0" distR="0" wp14:anchorId="382BD100" wp14:editId="37CA5036">
            <wp:extent cx="4572000" cy="1343025"/>
            <wp:effectExtent l="0" t="0" r="0" b="0"/>
            <wp:docPr id="1626916560" name="Picture 162691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916560"/>
                    <pic:cNvPicPr/>
                  </pic:nvPicPr>
                  <pic:blipFill>
                    <a:blip r:embed="rId6">
                      <a:extLst>
                        <a:ext uri="{28A0092B-C50C-407E-A947-70E740481C1C}">
                          <a14:useLocalDpi xmlns:a14="http://schemas.microsoft.com/office/drawing/2010/main" val="0"/>
                        </a:ext>
                      </a:extLst>
                    </a:blip>
                    <a:stretch>
                      <a:fillRect/>
                    </a:stretch>
                  </pic:blipFill>
                  <pic:spPr>
                    <a:xfrm>
                      <a:off x="0" y="0"/>
                      <a:ext cx="4572000" cy="1343025"/>
                    </a:xfrm>
                    <a:prstGeom prst="rect">
                      <a:avLst/>
                    </a:prstGeom>
                  </pic:spPr>
                </pic:pic>
              </a:graphicData>
            </a:graphic>
          </wp:inline>
        </w:drawing>
      </w:r>
    </w:p>
    <w:p w14:paraId="25C27FEC" w14:textId="194DEB56" w:rsidR="62CC6759" w:rsidRDefault="62CC6759" w:rsidP="62CC6759">
      <w:pPr>
        <w:rPr>
          <w:rFonts w:ascii="Arial Nova" w:eastAsia="Arial Nova" w:hAnsi="Arial Nova" w:cs="Arial Nova"/>
          <w:b/>
          <w:bCs/>
          <w:sz w:val="24"/>
          <w:szCs w:val="24"/>
        </w:rPr>
      </w:pPr>
      <w:r w:rsidRPr="62CC6759">
        <w:rPr>
          <w:rFonts w:ascii="Arial Nova" w:eastAsia="Arial Nova" w:hAnsi="Arial Nova" w:cs="Arial Nova"/>
          <w:b/>
          <w:bCs/>
          <w:sz w:val="24"/>
          <w:szCs w:val="24"/>
        </w:rPr>
        <w:t>Δ Figure 2 – Hand hygiene audit scores (Cardiff and Vale UHB, 2021a)</w:t>
      </w:r>
      <w:r>
        <w:br/>
      </w:r>
    </w:p>
    <w:p w14:paraId="34B6C999" w14:textId="09E06EC5"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As discussed under Measure 1, the direct observation audits provide a limited snapshot of compliance and are primarily completed in normal working hours. This provides incomplete assurance of hand hygiene compliance across the 24/7 delivery of care within the Health Board.</w:t>
      </w:r>
    </w:p>
    <w:p w14:paraId="2DDB6FB4" w14:textId="59036442" w:rsidR="17EFB63A" w:rsidRDefault="33F79CAC" w:rsidP="33F79CAC">
      <w:pPr>
        <w:rPr>
          <w:rFonts w:ascii="Arial Nova" w:eastAsia="Arial Nova" w:hAnsi="Arial Nova" w:cs="Arial Nova"/>
          <w:sz w:val="24"/>
          <w:szCs w:val="24"/>
        </w:rPr>
      </w:pPr>
      <w:r w:rsidRPr="33F79CAC">
        <w:rPr>
          <w:rFonts w:ascii="Arial Nova" w:eastAsia="Arial Nova" w:hAnsi="Arial Nova" w:cs="Arial Nova"/>
          <w:i/>
          <w:iCs/>
          <w:sz w:val="24"/>
          <w:szCs w:val="24"/>
        </w:rPr>
        <w:t>Aim 3 – Increase the hand hygiene compliance scores and strengthen assurance that the scores recorded are not artificially inflated due to the Hawthorne effect.</w:t>
      </w:r>
    </w:p>
    <w:p w14:paraId="7CABC164" w14:textId="53E08978" w:rsidR="17EFB63A" w:rsidRDefault="17EFB63A" w:rsidP="33F79CAC">
      <w:pPr>
        <w:rPr>
          <w:rFonts w:ascii="Arial Nova" w:eastAsia="Arial Nova" w:hAnsi="Arial Nova" w:cs="Arial Nova"/>
          <w:i/>
          <w:iCs/>
          <w:sz w:val="24"/>
          <w:szCs w:val="24"/>
        </w:rPr>
      </w:pPr>
    </w:p>
    <w:p w14:paraId="6D404F4B" w14:textId="024092FA" w:rsidR="17EFB63A" w:rsidRDefault="33F79CAC" w:rsidP="33F79CAC">
      <w:pPr>
        <w:rPr>
          <w:rFonts w:ascii="Arial Nova" w:eastAsia="Arial Nova" w:hAnsi="Arial Nova" w:cs="Arial Nova"/>
          <w:i/>
          <w:iCs/>
          <w:sz w:val="24"/>
          <w:szCs w:val="24"/>
        </w:rPr>
      </w:pPr>
      <w:r w:rsidRPr="33F79CAC">
        <w:rPr>
          <w:rFonts w:ascii="Arial Nova" w:eastAsia="Arial Nova" w:hAnsi="Arial Nova" w:cs="Arial Nova"/>
          <w:i/>
          <w:iCs/>
          <w:sz w:val="24"/>
          <w:szCs w:val="24"/>
        </w:rPr>
        <w:t>Existing technical capabilities</w:t>
      </w:r>
      <w:r w:rsidR="17EFB63A">
        <w:br/>
      </w:r>
      <w:r w:rsidR="17EFB63A">
        <w:br/>
      </w:r>
      <w:r w:rsidRPr="33F79CAC">
        <w:rPr>
          <w:rFonts w:ascii="Arial Nova" w:eastAsia="Arial Nova" w:hAnsi="Arial Nova" w:cs="Arial Nova"/>
          <w:sz w:val="24"/>
          <w:szCs w:val="24"/>
        </w:rPr>
        <w:t>Considering the technical requirements set out above, the following infrastructure could be used to aid implementation of a digital solution:</w:t>
      </w:r>
    </w:p>
    <w:p w14:paraId="21528E59" w14:textId="3606F61D"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Networking – The Health Board has an existing network across its hospital sites, with extensive </w:t>
      </w:r>
      <w:r w:rsidRPr="62CC6759">
        <w:rPr>
          <w:rFonts w:ascii="Arial Nova" w:eastAsia="Arial Nova" w:hAnsi="Arial Nova" w:cs="Arial Nova"/>
          <w:sz w:val="24"/>
          <w:szCs w:val="24"/>
        </w:rPr>
        <w:t>Wi-Fi</w:t>
      </w:r>
      <w:r w:rsidRPr="33F79CAC">
        <w:rPr>
          <w:rFonts w:ascii="Arial Nova" w:eastAsia="Arial Nova" w:hAnsi="Arial Nova" w:cs="Arial Nova"/>
          <w:sz w:val="24"/>
          <w:szCs w:val="24"/>
        </w:rPr>
        <w:t xml:space="preserve"> coverage </w:t>
      </w:r>
      <w:r w:rsidRPr="62CC6759">
        <w:rPr>
          <w:rFonts w:ascii="Arial Nova" w:eastAsia="Arial Nova" w:hAnsi="Arial Nova" w:cs="Arial Nova"/>
          <w:sz w:val="24"/>
          <w:szCs w:val="24"/>
        </w:rPr>
        <w:t>(Cardiff and Vale University Health Board, 2016).</w:t>
      </w:r>
      <w:r w:rsidRPr="33F79CAC">
        <w:rPr>
          <w:rFonts w:ascii="Arial Nova" w:eastAsia="Arial Nova" w:hAnsi="Arial Nova" w:cs="Arial Nova"/>
          <w:sz w:val="24"/>
          <w:szCs w:val="24"/>
        </w:rPr>
        <w:t xml:space="preserve"> This </w:t>
      </w:r>
      <w:r w:rsidRPr="62CC6759">
        <w:rPr>
          <w:rFonts w:ascii="Arial Nova" w:eastAsia="Arial Nova" w:hAnsi="Arial Nova" w:cs="Arial Nova"/>
          <w:sz w:val="24"/>
          <w:szCs w:val="24"/>
        </w:rPr>
        <w:t>Wi-Fi</w:t>
      </w:r>
      <w:r w:rsidRPr="33F79CAC">
        <w:rPr>
          <w:rFonts w:ascii="Arial Nova" w:eastAsia="Arial Nova" w:hAnsi="Arial Nova" w:cs="Arial Nova"/>
          <w:sz w:val="24"/>
          <w:szCs w:val="24"/>
        </w:rPr>
        <w:t xml:space="preserve"> </w:t>
      </w:r>
      <w:r w:rsidRPr="33F79CAC">
        <w:rPr>
          <w:rFonts w:ascii="Arial Nova" w:eastAsia="Arial Nova" w:hAnsi="Arial Nova" w:cs="Arial Nova"/>
          <w:sz w:val="24"/>
          <w:szCs w:val="24"/>
        </w:rPr>
        <w:lastRenderedPageBreak/>
        <w:t xml:space="preserve">network is already used to enable digital technologies, such as point of care testing equipment. </w:t>
      </w:r>
    </w:p>
    <w:p w14:paraId="2BB65865" w14:textId="6E7E53AC" w:rsidR="17EFB63A" w:rsidRDefault="17EFB63A" w:rsidP="17EFB63A">
      <w:r>
        <w:br/>
      </w:r>
      <w:r w:rsidR="33F79CAC" w:rsidRPr="33F79CAC">
        <w:rPr>
          <w:rFonts w:ascii="Arial Nova" w:eastAsia="Arial Nova" w:hAnsi="Arial Nova" w:cs="Arial Nova"/>
          <w:sz w:val="24"/>
          <w:szCs w:val="24"/>
        </w:rPr>
        <w:t xml:space="preserve">Data analysis – Business intelligence and data analysis capability is already available within the Health Board, with an IBM Cognos system. </w:t>
      </w:r>
      <w:r w:rsidR="33F79CAC" w:rsidRPr="62CC6759">
        <w:rPr>
          <w:rFonts w:ascii="Arial Nova" w:eastAsia="Arial Nova" w:hAnsi="Arial Nova" w:cs="Arial Nova"/>
          <w:sz w:val="24"/>
          <w:szCs w:val="24"/>
        </w:rPr>
        <w:t xml:space="preserve">This is due to be supplemented by or replaced with Microsoft Power BI (Cardiff and Vale University Health Board, 2021b). </w:t>
      </w:r>
      <w:r w:rsidRPr="33F79CAC">
        <w:rPr>
          <w:rFonts w:ascii="Arial Nova" w:eastAsia="Arial Nova" w:hAnsi="Arial Nova" w:cs="Arial Nova"/>
          <w:sz w:val="24"/>
          <w:szCs w:val="24"/>
        </w:rPr>
        <w:t>The business intelligence system allows analysis of multiple data sources and output to live dashboards.</w:t>
      </w:r>
      <w:r>
        <w:br/>
      </w:r>
    </w:p>
    <w:p w14:paraId="73FEBEEC" w14:textId="4B1E8230" w:rsidR="17EFB63A" w:rsidRDefault="33F79CAC" w:rsidP="17EFB63A">
      <w:r w:rsidRPr="33F79CAC">
        <w:rPr>
          <w:rFonts w:ascii="Arial Nova" w:eastAsia="Arial Nova" w:hAnsi="Arial Nova" w:cs="Arial Nova"/>
          <w:b/>
          <w:bCs/>
          <w:sz w:val="24"/>
          <w:szCs w:val="24"/>
        </w:rPr>
        <w:t>Options appraisal</w:t>
      </w:r>
    </w:p>
    <w:p w14:paraId="5066C976" w14:textId="055BD9E2"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In order to achieve the policy aim, three main options were considered:</w:t>
      </w:r>
    </w:p>
    <w:p w14:paraId="7C60BB0D" w14:textId="160C985D" w:rsidR="17EFB63A" w:rsidRDefault="33F79CAC" w:rsidP="33F79CAC">
      <w:pPr>
        <w:pStyle w:val="ListParagraph"/>
        <w:numPr>
          <w:ilvl w:val="0"/>
          <w:numId w:val="1"/>
        </w:numPr>
        <w:rPr>
          <w:rFonts w:ascii="Arial Nova" w:eastAsia="Arial Nova" w:hAnsi="Arial Nova" w:cs="Arial Nova"/>
          <w:sz w:val="24"/>
          <w:szCs w:val="24"/>
        </w:rPr>
      </w:pPr>
      <w:r w:rsidRPr="33F79CAC">
        <w:rPr>
          <w:rFonts w:ascii="Arial Nova" w:eastAsia="Arial Nova" w:hAnsi="Arial Nova" w:cs="Arial Nova"/>
          <w:sz w:val="24"/>
          <w:szCs w:val="24"/>
        </w:rPr>
        <w:t xml:space="preserve">Purchasing a complete system, including counters and data capture/analysis </w:t>
      </w:r>
      <w:r w:rsidRPr="62CC6759">
        <w:rPr>
          <w:rFonts w:ascii="Arial Nova" w:eastAsia="Arial Nova" w:hAnsi="Arial Nova" w:cs="Arial Nova"/>
          <w:sz w:val="24"/>
          <w:szCs w:val="24"/>
        </w:rPr>
        <w:t xml:space="preserve">software </w:t>
      </w:r>
      <w:r w:rsidRPr="33F79CAC">
        <w:rPr>
          <w:rFonts w:ascii="Arial Nova" w:eastAsia="Arial Nova" w:hAnsi="Arial Nova" w:cs="Arial Nova"/>
          <w:sz w:val="24"/>
          <w:szCs w:val="24"/>
        </w:rPr>
        <w:t>(‘Buy’).</w:t>
      </w:r>
    </w:p>
    <w:p w14:paraId="72CB8477" w14:textId="087870BE" w:rsidR="17EFB63A" w:rsidRDefault="33F79CAC" w:rsidP="33F79CAC">
      <w:pPr>
        <w:pStyle w:val="ListParagraph"/>
        <w:numPr>
          <w:ilvl w:val="0"/>
          <w:numId w:val="1"/>
        </w:numPr>
        <w:rPr>
          <w:sz w:val="24"/>
          <w:szCs w:val="24"/>
        </w:rPr>
      </w:pPr>
      <w:r w:rsidRPr="33F79CAC">
        <w:rPr>
          <w:rFonts w:ascii="Arial Nova" w:eastAsia="Arial Nova" w:hAnsi="Arial Nova" w:cs="Arial Nova"/>
          <w:sz w:val="24"/>
          <w:szCs w:val="24"/>
        </w:rPr>
        <w:t xml:space="preserve">Purchasing counters and using existing data capture </w:t>
      </w:r>
      <w:r w:rsidRPr="62CC6759">
        <w:rPr>
          <w:rFonts w:ascii="Arial Nova" w:eastAsia="Arial Nova" w:hAnsi="Arial Nova" w:cs="Arial Nova"/>
          <w:sz w:val="24"/>
          <w:szCs w:val="24"/>
        </w:rPr>
        <w:t>and</w:t>
      </w:r>
      <w:r w:rsidRPr="33F79CAC">
        <w:rPr>
          <w:rFonts w:ascii="Arial Nova" w:eastAsia="Arial Nova" w:hAnsi="Arial Nova" w:cs="Arial Nova"/>
          <w:sz w:val="24"/>
          <w:szCs w:val="24"/>
        </w:rPr>
        <w:t xml:space="preserve"> analysis capabilities (‘Hybrid’).</w:t>
      </w:r>
    </w:p>
    <w:p w14:paraId="3338381A" w14:textId="36D11AE6" w:rsidR="17EFB63A" w:rsidRDefault="33F79CAC" w:rsidP="33F79CAC">
      <w:pPr>
        <w:pStyle w:val="ListParagraph"/>
        <w:numPr>
          <w:ilvl w:val="0"/>
          <w:numId w:val="1"/>
        </w:numPr>
        <w:rPr>
          <w:sz w:val="24"/>
          <w:szCs w:val="24"/>
        </w:rPr>
      </w:pPr>
      <w:r w:rsidRPr="33F79CAC">
        <w:rPr>
          <w:rFonts w:ascii="Arial Nova" w:eastAsia="Arial Nova" w:hAnsi="Arial Nova" w:cs="Arial Nova"/>
          <w:sz w:val="24"/>
          <w:szCs w:val="24"/>
        </w:rPr>
        <w:t>Designing and building a complete system in-house (‘Build’).</w:t>
      </w:r>
    </w:p>
    <w:p w14:paraId="0C5595FF" w14:textId="44BE6B86"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While a complete options appraisal was outside of the scope of the paper, a basic Strengths, Weaknesses, Opportunities, and Threats (SWOT) analysis was undertaken for each of the three options to identify areas for consideration (Local Partnerships, 2012). The SWOT analysis is set out in table 1.</w:t>
      </w:r>
    </w:p>
    <w:p w14:paraId="50327540" w14:textId="3885D0DD" w:rsidR="17EFB63A" w:rsidRDefault="17EFB63A" w:rsidP="33F79CAC">
      <w:pPr>
        <w:rPr>
          <w:rFonts w:ascii="Arial Nova" w:eastAsia="Arial Nova" w:hAnsi="Arial Nova" w:cs="Arial Nova"/>
          <w:sz w:val="24"/>
          <w:szCs w:val="24"/>
        </w:rPr>
      </w:pPr>
    </w:p>
    <w:tbl>
      <w:tblPr>
        <w:tblStyle w:val="TableGrid"/>
        <w:tblW w:w="9360" w:type="dxa"/>
        <w:tblLayout w:type="fixed"/>
        <w:tblLook w:val="06A0" w:firstRow="1" w:lastRow="0" w:firstColumn="1" w:lastColumn="0" w:noHBand="1" w:noVBand="1"/>
      </w:tblPr>
      <w:tblGrid>
        <w:gridCol w:w="988"/>
        <w:gridCol w:w="2126"/>
        <w:gridCol w:w="2126"/>
        <w:gridCol w:w="1843"/>
        <w:gridCol w:w="2277"/>
      </w:tblGrid>
      <w:tr w:rsidR="33F79CAC" w14:paraId="2CFD999C" w14:textId="77777777" w:rsidTr="2BF8E696">
        <w:tc>
          <w:tcPr>
            <w:tcW w:w="988" w:type="dxa"/>
            <w:shd w:val="clear" w:color="auto" w:fill="262626" w:themeFill="text1" w:themeFillTint="D9"/>
          </w:tcPr>
          <w:p w14:paraId="12B26982" w14:textId="74199173"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Option</w:t>
            </w:r>
          </w:p>
        </w:tc>
        <w:tc>
          <w:tcPr>
            <w:tcW w:w="2126" w:type="dxa"/>
            <w:shd w:val="clear" w:color="auto" w:fill="262626" w:themeFill="text1" w:themeFillTint="D9"/>
          </w:tcPr>
          <w:p w14:paraId="51B3E613" w14:textId="3E56A5F9"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Strengths</w:t>
            </w:r>
          </w:p>
        </w:tc>
        <w:tc>
          <w:tcPr>
            <w:tcW w:w="2126" w:type="dxa"/>
            <w:shd w:val="clear" w:color="auto" w:fill="262626" w:themeFill="text1" w:themeFillTint="D9"/>
          </w:tcPr>
          <w:p w14:paraId="05C122A8" w14:textId="03036414"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Weaknesses</w:t>
            </w:r>
          </w:p>
        </w:tc>
        <w:tc>
          <w:tcPr>
            <w:tcW w:w="1843" w:type="dxa"/>
            <w:shd w:val="clear" w:color="auto" w:fill="262626" w:themeFill="text1" w:themeFillTint="D9"/>
          </w:tcPr>
          <w:p w14:paraId="0A0B7387" w14:textId="153DC46C"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Opportunities</w:t>
            </w:r>
          </w:p>
        </w:tc>
        <w:tc>
          <w:tcPr>
            <w:tcW w:w="2277" w:type="dxa"/>
            <w:shd w:val="clear" w:color="auto" w:fill="262626" w:themeFill="text1" w:themeFillTint="D9"/>
          </w:tcPr>
          <w:p w14:paraId="557AD9B5" w14:textId="0C2E6676"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Threats</w:t>
            </w:r>
          </w:p>
        </w:tc>
      </w:tr>
      <w:tr w:rsidR="33F79CAC" w14:paraId="0A901617" w14:textId="77777777" w:rsidTr="2BF8E696">
        <w:tc>
          <w:tcPr>
            <w:tcW w:w="988" w:type="dxa"/>
          </w:tcPr>
          <w:p w14:paraId="384BD2CF" w14:textId="74DED220" w:rsidR="33F79CAC" w:rsidRDefault="33F79CAC" w:rsidP="33F79CAC">
            <w:pPr>
              <w:rPr>
                <w:rFonts w:ascii="Arial Nova" w:eastAsia="Arial Nova" w:hAnsi="Arial Nova" w:cs="Arial Nova"/>
                <w:b/>
                <w:sz w:val="24"/>
                <w:szCs w:val="24"/>
              </w:rPr>
            </w:pPr>
            <w:r w:rsidRPr="62CC6759">
              <w:rPr>
                <w:rFonts w:ascii="Arial Nova" w:eastAsia="Arial Nova" w:hAnsi="Arial Nova" w:cs="Arial Nova"/>
                <w:b/>
                <w:sz w:val="24"/>
                <w:szCs w:val="24"/>
              </w:rPr>
              <w:t>Buy</w:t>
            </w:r>
          </w:p>
        </w:tc>
        <w:tc>
          <w:tcPr>
            <w:tcW w:w="2126" w:type="dxa"/>
          </w:tcPr>
          <w:p w14:paraId="2060A8A1" w14:textId="651493C4"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Rapid deployment </w:t>
            </w:r>
            <w:r w:rsidRPr="62CC6759">
              <w:rPr>
                <w:rFonts w:ascii="Arial Nova" w:eastAsia="Arial Nova" w:hAnsi="Arial Nova" w:cs="Arial Nova"/>
                <w:sz w:val="24"/>
                <w:szCs w:val="24"/>
              </w:rPr>
              <w:t xml:space="preserve">possible, </w:t>
            </w:r>
            <w:r w:rsidRPr="33F79CAC">
              <w:rPr>
                <w:rFonts w:ascii="Arial Nova" w:eastAsia="Arial Nova" w:hAnsi="Arial Nova" w:cs="Arial Nova"/>
                <w:sz w:val="24"/>
                <w:szCs w:val="24"/>
              </w:rPr>
              <w:t>as limited development would be required.</w:t>
            </w:r>
          </w:p>
          <w:p w14:paraId="6050A70C" w14:textId="569ECC1C" w:rsidR="33F79CAC" w:rsidRDefault="33F79CAC" w:rsidP="33F79CAC">
            <w:pPr>
              <w:rPr>
                <w:rFonts w:ascii="Arial Nova" w:eastAsia="Arial Nova" w:hAnsi="Arial Nova" w:cs="Arial Nova"/>
                <w:sz w:val="24"/>
                <w:szCs w:val="24"/>
              </w:rPr>
            </w:pPr>
          </w:p>
          <w:p w14:paraId="15CF44F2" w14:textId="07FC0A30"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Proven system used in other healthcare settings.</w:t>
            </w:r>
          </w:p>
        </w:tc>
        <w:tc>
          <w:tcPr>
            <w:tcW w:w="2126" w:type="dxa"/>
          </w:tcPr>
          <w:p w14:paraId="70BA72E3" w14:textId="5935E753" w:rsidR="33F79CAC" w:rsidRDefault="33F79CAC" w:rsidP="33F79CAC">
            <w:pPr>
              <w:rPr>
                <w:rFonts w:ascii="Arial Nova" w:eastAsia="Arial Nova" w:hAnsi="Arial Nova" w:cs="Arial Nova"/>
                <w:sz w:val="24"/>
                <w:szCs w:val="24"/>
              </w:rPr>
            </w:pPr>
            <w:r w:rsidRPr="62CC6759">
              <w:rPr>
                <w:rFonts w:ascii="Arial Nova" w:eastAsia="Arial Nova" w:hAnsi="Arial Nova" w:cs="Arial Nova"/>
                <w:sz w:val="24"/>
                <w:szCs w:val="24"/>
              </w:rPr>
              <w:t>Likely to be more expensive than other options, although only limited information on costs is published (Conway, 2016).</w:t>
            </w:r>
          </w:p>
          <w:p w14:paraId="62076DDC" w14:textId="1DD1CD2E" w:rsidR="33F79CAC" w:rsidRDefault="33F79CAC" w:rsidP="33F79CAC">
            <w:pPr>
              <w:rPr>
                <w:rFonts w:ascii="Arial Nova" w:eastAsia="Arial Nova" w:hAnsi="Arial Nova" w:cs="Arial Nova"/>
                <w:sz w:val="24"/>
                <w:szCs w:val="24"/>
              </w:rPr>
            </w:pPr>
          </w:p>
          <w:p w14:paraId="2FC19805" w14:textId="52D80FB4"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Staff time to train on proprietary data analysis software.</w:t>
            </w:r>
          </w:p>
        </w:tc>
        <w:tc>
          <w:tcPr>
            <w:tcW w:w="1843" w:type="dxa"/>
          </w:tcPr>
          <w:p w14:paraId="4C33FEFD" w14:textId="31E1957C"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 xml:space="preserve">System may have already been independently verified </w:t>
            </w:r>
          </w:p>
          <w:p w14:paraId="6A2B9D49" w14:textId="7CD40381" w:rsidR="33F79CAC" w:rsidRDefault="33F79CAC" w:rsidP="33F79CAC">
            <w:pPr>
              <w:rPr>
                <w:rFonts w:ascii="Arial Nova" w:eastAsia="Arial Nova" w:hAnsi="Arial Nova" w:cs="Arial Nova"/>
                <w:sz w:val="24"/>
                <w:szCs w:val="24"/>
              </w:rPr>
            </w:pPr>
          </w:p>
          <w:p w14:paraId="0A542D61" w14:textId="24BD897A"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Learning from other organisations using the system</w:t>
            </w:r>
          </w:p>
        </w:tc>
        <w:tc>
          <w:tcPr>
            <w:tcW w:w="2277" w:type="dxa"/>
          </w:tcPr>
          <w:p w14:paraId="776D56B8" w14:textId="5C2F25CE"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Integration with existing business intelligence system may be difficult or incur additional cost.</w:t>
            </w:r>
          </w:p>
          <w:p w14:paraId="79A9C171" w14:textId="725C14D0" w:rsidR="33F79CAC" w:rsidRDefault="33F79CAC" w:rsidP="33F79CAC">
            <w:pPr>
              <w:rPr>
                <w:rFonts w:ascii="Arial Nova" w:eastAsia="Arial Nova" w:hAnsi="Arial Nova" w:cs="Arial Nova"/>
                <w:sz w:val="24"/>
                <w:szCs w:val="24"/>
              </w:rPr>
            </w:pPr>
          </w:p>
          <w:p w14:paraId="1835FD7C" w14:textId="1AC7ECA5" w:rsidR="33F79CAC" w:rsidRDefault="33F79CAC" w:rsidP="33F79CAC">
            <w:pPr>
              <w:rPr>
                <w:rFonts w:ascii="Arial Nova" w:eastAsia="Arial Nova" w:hAnsi="Arial Nova" w:cs="Arial Nova"/>
                <w:sz w:val="24"/>
                <w:szCs w:val="24"/>
              </w:rPr>
            </w:pPr>
            <w:r w:rsidRPr="62CC6759">
              <w:rPr>
                <w:rFonts w:ascii="Arial Nova" w:eastAsia="Arial Nova" w:hAnsi="Arial Nova" w:cs="Arial Nova"/>
                <w:sz w:val="24"/>
                <w:szCs w:val="24"/>
              </w:rPr>
              <w:t>May be locked</w:t>
            </w:r>
            <w:r w:rsidRPr="33F79CAC">
              <w:rPr>
                <w:rFonts w:ascii="Arial Nova" w:eastAsia="Arial Nova" w:hAnsi="Arial Nova" w:cs="Arial Nova"/>
                <w:sz w:val="24"/>
                <w:szCs w:val="24"/>
              </w:rPr>
              <w:t xml:space="preserve"> into one vendor and gives potential problems if soap or handrub refills change and are not compatible</w:t>
            </w:r>
            <w:r w:rsidRPr="62CC6759">
              <w:rPr>
                <w:rFonts w:ascii="Arial Nova" w:eastAsia="Arial Nova" w:hAnsi="Arial Nova" w:cs="Arial Nova"/>
                <w:sz w:val="24"/>
                <w:szCs w:val="24"/>
              </w:rPr>
              <w:t xml:space="preserve"> (Pineles </w:t>
            </w:r>
            <w:r w:rsidRPr="62CC6759">
              <w:rPr>
                <w:rFonts w:ascii="Arial Nova" w:eastAsia="Arial Nova" w:hAnsi="Arial Nova" w:cs="Arial Nova"/>
                <w:i/>
                <w:iCs/>
                <w:sz w:val="24"/>
                <w:szCs w:val="24"/>
              </w:rPr>
              <w:t>et al.</w:t>
            </w:r>
            <w:r w:rsidRPr="62CC6759">
              <w:rPr>
                <w:rFonts w:ascii="Arial Nova" w:eastAsia="Arial Nova" w:hAnsi="Arial Nova" w:cs="Arial Nova"/>
                <w:sz w:val="24"/>
                <w:szCs w:val="24"/>
              </w:rPr>
              <w:t xml:space="preserve"> 2014).</w:t>
            </w:r>
            <w:r>
              <w:br/>
            </w:r>
          </w:p>
        </w:tc>
      </w:tr>
      <w:tr w:rsidR="33F79CAC" w14:paraId="48F0E8DD" w14:textId="77777777" w:rsidTr="2BF8E696">
        <w:tc>
          <w:tcPr>
            <w:tcW w:w="988" w:type="dxa"/>
          </w:tcPr>
          <w:p w14:paraId="56FA3B89" w14:textId="6E3EEABD" w:rsidR="33F79CAC" w:rsidRDefault="33F79CAC" w:rsidP="33F79CAC">
            <w:pPr>
              <w:rPr>
                <w:rFonts w:ascii="Arial Nova" w:eastAsia="Arial Nova" w:hAnsi="Arial Nova" w:cs="Arial Nova"/>
                <w:b/>
                <w:sz w:val="24"/>
                <w:szCs w:val="24"/>
              </w:rPr>
            </w:pPr>
            <w:r w:rsidRPr="62CC6759">
              <w:rPr>
                <w:rFonts w:ascii="Arial Nova" w:eastAsia="Arial Nova" w:hAnsi="Arial Nova" w:cs="Arial Nova"/>
                <w:b/>
                <w:sz w:val="24"/>
                <w:szCs w:val="24"/>
              </w:rPr>
              <w:lastRenderedPageBreak/>
              <w:t>Hybrid</w:t>
            </w:r>
          </w:p>
        </w:tc>
        <w:tc>
          <w:tcPr>
            <w:tcW w:w="2126" w:type="dxa"/>
          </w:tcPr>
          <w:p w14:paraId="0E5DCB0A" w14:textId="2F404CC3"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Using proven hand hygiene counters limits the development time required.</w:t>
            </w:r>
          </w:p>
          <w:p w14:paraId="2256BD00" w14:textId="42AA6144" w:rsidR="33F79CAC" w:rsidRDefault="33F79CAC" w:rsidP="33F79CAC">
            <w:pPr>
              <w:rPr>
                <w:rFonts w:ascii="Arial Nova" w:eastAsia="Arial Nova" w:hAnsi="Arial Nova" w:cs="Arial Nova"/>
                <w:sz w:val="24"/>
                <w:szCs w:val="24"/>
              </w:rPr>
            </w:pPr>
          </w:p>
          <w:p w14:paraId="08EABE8D" w14:textId="4BA55E34" w:rsidR="33F79CAC" w:rsidRDefault="33F79CAC" w:rsidP="33F79CAC">
            <w:pPr>
              <w:rPr>
                <w:rFonts w:ascii="Arial Nova" w:eastAsia="Arial Nova" w:hAnsi="Arial Nova" w:cs="Arial Nova"/>
                <w:sz w:val="24"/>
                <w:szCs w:val="24"/>
                <w:highlight w:val="yellow"/>
              </w:rPr>
            </w:pPr>
            <w:r w:rsidRPr="2BF8E696">
              <w:rPr>
                <w:rFonts w:ascii="Arial Nova" w:eastAsia="Arial Nova" w:hAnsi="Arial Nova" w:cs="Arial Nova"/>
                <w:sz w:val="24"/>
                <w:szCs w:val="24"/>
              </w:rPr>
              <w:t>Data can be analysed using the existing business intelligence system, which has a supporting department and training already in place (Cardiff and Vale UHB, 2021b).</w:t>
            </w:r>
            <w:r>
              <w:br/>
            </w:r>
          </w:p>
        </w:tc>
        <w:tc>
          <w:tcPr>
            <w:tcW w:w="2126" w:type="dxa"/>
          </w:tcPr>
          <w:p w14:paraId="7DDF8453" w14:textId="392757BF"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Integration with business intelligence system would lead to a longer development time than the ‘buy’ option.</w:t>
            </w:r>
          </w:p>
          <w:p w14:paraId="2334A784" w14:textId="6E59FC6A" w:rsidR="33F79CAC" w:rsidRDefault="33F79CAC" w:rsidP="33F79CAC">
            <w:pPr>
              <w:rPr>
                <w:rFonts w:ascii="Arial Nova" w:eastAsia="Arial Nova" w:hAnsi="Arial Nova" w:cs="Arial Nova"/>
                <w:sz w:val="24"/>
                <w:szCs w:val="24"/>
              </w:rPr>
            </w:pPr>
          </w:p>
          <w:p w14:paraId="072F63B3" w14:textId="1EB69772"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Less control than with the ‘build’ option as functionality may be limited by the specification of the purchased hand hygiene counters.</w:t>
            </w:r>
            <w:r>
              <w:br/>
            </w:r>
          </w:p>
        </w:tc>
        <w:tc>
          <w:tcPr>
            <w:tcW w:w="1843" w:type="dxa"/>
          </w:tcPr>
          <w:p w14:paraId="2097F75F" w14:textId="3134FDEB"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Integration with the business intelligence system allows for easier analysis and for use of other data sets, such as ward admission data.</w:t>
            </w:r>
          </w:p>
        </w:tc>
        <w:tc>
          <w:tcPr>
            <w:tcW w:w="2277" w:type="dxa"/>
          </w:tcPr>
          <w:p w14:paraId="46D473C3" w14:textId="54AF7A0F"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Reliance on existing infrastructure and capabilities.</w:t>
            </w:r>
          </w:p>
        </w:tc>
      </w:tr>
      <w:tr w:rsidR="33F79CAC" w14:paraId="1B4279B3" w14:textId="77777777" w:rsidTr="2BF8E696">
        <w:tc>
          <w:tcPr>
            <w:tcW w:w="988" w:type="dxa"/>
          </w:tcPr>
          <w:p w14:paraId="32E14BA9" w14:textId="3FAFD8A4" w:rsidR="33F79CAC" w:rsidRDefault="33F79CAC" w:rsidP="33F79CAC">
            <w:pPr>
              <w:rPr>
                <w:rFonts w:ascii="Arial Nova" w:eastAsia="Arial Nova" w:hAnsi="Arial Nova" w:cs="Arial Nova"/>
                <w:b/>
                <w:sz w:val="24"/>
                <w:szCs w:val="24"/>
              </w:rPr>
            </w:pPr>
            <w:r w:rsidRPr="62CC6759">
              <w:rPr>
                <w:rFonts w:ascii="Arial Nova" w:eastAsia="Arial Nova" w:hAnsi="Arial Nova" w:cs="Arial Nova"/>
                <w:b/>
                <w:sz w:val="24"/>
                <w:szCs w:val="24"/>
              </w:rPr>
              <w:t>Build</w:t>
            </w:r>
          </w:p>
        </w:tc>
        <w:tc>
          <w:tcPr>
            <w:tcW w:w="2126" w:type="dxa"/>
          </w:tcPr>
          <w:p w14:paraId="7BF07010" w14:textId="7CC403FE"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Health Board has control over entire system.</w:t>
            </w:r>
          </w:p>
          <w:p w14:paraId="3FCE41F6" w14:textId="5D307612" w:rsidR="33F79CAC" w:rsidRDefault="33F79CAC" w:rsidP="33F79CAC">
            <w:pPr>
              <w:rPr>
                <w:rFonts w:ascii="Arial Nova" w:eastAsia="Arial Nova" w:hAnsi="Arial Nova" w:cs="Arial Nova"/>
                <w:sz w:val="24"/>
                <w:szCs w:val="24"/>
              </w:rPr>
            </w:pPr>
          </w:p>
          <w:p w14:paraId="3B453C9F" w14:textId="30B5C080"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Counters could be designed specifically for soap / handrub dispensers already in use within the Health Board.</w:t>
            </w:r>
          </w:p>
        </w:tc>
        <w:tc>
          <w:tcPr>
            <w:tcW w:w="2126" w:type="dxa"/>
          </w:tcPr>
          <w:p w14:paraId="6BF5908F" w14:textId="3F3A0FC4"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Design and manufacturing process could lead to delays if issues are encountered.</w:t>
            </w:r>
          </w:p>
          <w:p w14:paraId="7235CDCC" w14:textId="3FB8A5E6" w:rsidR="33F79CAC" w:rsidRDefault="33F79CAC" w:rsidP="33F79CAC">
            <w:pPr>
              <w:rPr>
                <w:rFonts w:ascii="Arial Nova" w:eastAsia="Arial Nova" w:hAnsi="Arial Nova" w:cs="Arial Nova"/>
                <w:sz w:val="24"/>
                <w:szCs w:val="24"/>
              </w:rPr>
            </w:pPr>
          </w:p>
          <w:p w14:paraId="2F42CC4E" w14:textId="46747D79"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Requires in-house skills and knowledge to design and build both hardware and software.</w:t>
            </w:r>
          </w:p>
        </w:tc>
        <w:tc>
          <w:tcPr>
            <w:tcW w:w="1843" w:type="dxa"/>
          </w:tcPr>
          <w:p w14:paraId="1984B2B4" w14:textId="48EF5BC5"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System can be designed with future developments and integration in mind.</w:t>
            </w:r>
          </w:p>
          <w:p w14:paraId="258872AC" w14:textId="3CF760EA" w:rsidR="33F79CAC" w:rsidRDefault="33F79CAC" w:rsidP="33F79CAC">
            <w:pPr>
              <w:rPr>
                <w:rFonts w:ascii="Arial Nova" w:eastAsia="Arial Nova" w:hAnsi="Arial Nova" w:cs="Arial Nova"/>
                <w:sz w:val="24"/>
                <w:szCs w:val="24"/>
              </w:rPr>
            </w:pPr>
          </w:p>
          <w:p w14:paraId="7FA274D7" w14:textId="23A6C164"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Development cycles and deployment controlled by Health Board and could be altered to fit with operational needs.</w:t>
            </w:r>
          </w:p>
        </w:tc>
        <w:tc>
          <w:tcPr>
            <w:tcW w:w="2277" w:type="dxa"/>
          </w:tcPr>
          <w:p w14:paraId="3ADC06FA" w14:textId="32BE53AC"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System would have no independent verification.</w:t>
            </w:r>
          </w:p>
          <w:p w14:paraId="0209768B" w14:textId="794BE670" w:rsidR="33F79CAC" w:rsidRDefault="33F79CAC" w:rsidP="33F79CAC">
            <w:pPr>
              <w:rPr>
                <w:rFonts w:ascii="Arial Nova" w:eastAsia="Arial Nova" w:hAnsi="Arial Nova" w:cs="Arial Nova"/>
                <w:sz w:val="24"/>
                <w:szCs w:val="24"/>
              </w:rPr>
            </w:pPr>
          </w:p>
          <w:p w14:paraId="0A03C6B3" w14:textId="6182410B" w:rsidR="33F79CAC"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t>Any issues encountered would need to be managed locally, without the benefit of previous learning from system deployments in other organisations.</w:t>
            </w:r>
          </w:p>
          <w:p w14:paraId="126A86A7" w14:textId="0BDB954A" w:rsidR="33F79CAC" w:rsidRDefault="33F79CAC" w:rsidP="33F79CAC">
            <w:pPr>
              <w:rPr>
                <w:rFonts w:ascii="Arial Nova" w:eastAsia="Arial Nova" w:hAnsi="Arial Nova" w:cs="Arial Nova"/>
                <w:sz w:val="24"/>
                <w:szCs w:val="24"/>
              </w:rPr>
            </w:pPr>
          </w:p>
          <w:p w14:paraId="1F015CD6" w14:textId="0CDDEFD7" w:rsidR="33F79CAC" w:rsidRDefault="33F79CAC" w:rsidP="62CC6759">
            <w:pPr>
              <w:rPr>
                <w:rFonts w:ascii="Arial Nova" w:eastAsia="Arial Nova" w:hAnsi="Arial Nova" w:cs="Arial Nova"/>
                <w:sz w:val="24"/>
                <w:szCs w:val="24"/>
              </w:rPr>
            </w:pPr>
            <w:r w:rsidRPr="33F79CAC">
              <w:rPr>
                <w:rFonts w:ascii="Arial Nova" w:eastAsia="Arial Nova" w:hAnsi="Arial Nova" w:cs="Arial Nova"/>
                <w:sz w:val="24"/>
                <w:szCs w:val="24"/>
              </w:rPr>
              <w:t>Reliance on existing infrastructure and capabilities.</w:t>
            </w:r>
          </w:p>
          <w:p w14:paraId="16B2328D" w14:textId="12C6B061" w:rsidR="33F79CAC" w:rsidRDefault="33F79CAC" w:rsidP="33F79CAC">
            <w:pPr>
              <w:rPr>
                <w:rFonts w:ascii="Arial Nova" w:eastAsia="Arial Nova" w:hAnsi="Arial Nova" w:cs="Arial Nova"/>
                <w:sz w:val="24"/>
                <w:szCs w:val="24"/>
              </w:rPr>
            </w:pPr>
          </w:p>
        </w:tc>
      </w:tr>
    </w:tbl>
    <w:p w14:paraId="1F2BDD81" w14:textId="00A30493" w:rsidR="17EFB63A" w:rsidRDefault="62CC6759" w:rsidP="33F79CAC">
      <w:r w:rsidRPr="62CC6759">
        <w:rPr>
          <w:rFonts w:ascii="Arial Nova" w:eastAsia="Arial Nova" w:hAnsi="Arial Nova" w:cs="Arial Nova"/>
          <w:b/>
          <w:bCs/>
          <w:sz w:val="24"/>
          <w:szCs w:val="24"/>
        </w:rPr>
        <w:t>Δ Table 1 – SWOT analysis</w:t>
      </w:r>
    </w:p>
    <w:p w14:paraId="37089630" w14:textId="714F708D" w:rsidR="17EFB63A" w:rsidRDefault="33F79CAC" w:rsidP="33F79CAC">
      <w:pPr>
        <w:rPr>
          <w:rFonts w:ascii="Arial Nova" w:eastAsia="Arial Nova" w:hAnsi="Arial Nova" w:cs="Arial Nova"/>
          <w:sz w:val="24"/>
          <w:szCs w:val="24"/>
        </w:rPr>
      </w:pPr>
      <w:r w:rsidRPr="33F79CAC">
        <w:rPr>
          <w:rFonts w:ascii="Arial Nova" w:eastAsia="Arial Nova" w:hAnsi="Arial Nova" w:cs="Arial Nova"/>
          <w:sz w:val="24"/>
          <w:szCs w:val="24"/>
        </w:rPr>
        <w:lastRenderedPageBreak/>
        <w:t>Considered together, the SWOT analysis shows that the choice of ‘buy’, ‘hybrid’ or ‘build’ is a trade-off between four key factors as demonstrated in figure 3.</w:t>
      </w:r>
    </w:p>
    <w:p w14:paraId="3B265F2B" w14:textId="272C075B" w:rsidR="17EFB63A" w:rsidRDefault="002C5FB1" w:rsidP="33F79CAC">
      <w:pPr>
        <w:rPr>
          <w:rFonts w:ascii="Arial Nova" w:eastAsia="Arial Nova" w:hAnsi="Arial Nova" w:cs="Arial Nova"/>
          <w:sz w:val="24"/>
          <w:szCs w:val="24"/>
        </w:rPr>
      </w:pPr>
      <w:r>
        <w:rPr>
          <w:rFonts w:ascii="Arial Nova" w:eastAsia="Arial Nova" w:hAnsi="Arial Nova" w:cs="Arial Nova"/>
          <w:noProof/>
          <w:sz w:val="24"/>
          <w:szCs w:val="24"/>
        </w:rPr>
        <mc:AlternateContent>
          <mc:Choice Requires="wpg">
            <w:drawing>
              <wp:anchor distT="0" distB="0" distL="114300" distR="114300" simplePos="0" relativeHeight="251658240" behindDoc="0" locked="0" layoutInCell="1" allowOverlap="1" wp14:anchorId="5F23032D" wp14:editId="050C63FB">
                <wp:simplePos x="0" y="0"/>
                <wp:positionH relativeFrom="column">
                  <wp:posOffset>-226881</wp:posOffset>
                </wp:positionH>
                <wp:positionV relativeFrom="paragraph">
                  <wp:posOffset>204508</wp:posOffset>
                </wp:positionV>
                <wp:extent cx="6256325" cy="2895791"/>
                <wp:effectExtent l="0" t="0" r="0" b="0"/>
                <wp:wrapNone/>
                <wp:docPr id="21" name="Group 21"/>
                <wp:cNvGraphicFramePr/>
                <a:graphic xmlns:a="http://schemas.openxmlformats.org/drawingml/2006/main">
                  <a:graphicData uri="http://schemas.microsoft.com/office/word/2010/wordprocessingGroup">
                    <wpg:wgp>
                      <wpg:cNvGrpSpPr/>
                      <wpg:grpSpPr>
                        <a:xfrm>
                          <a:off x="0" y="0"/>
                          <a:ext cx="6256325" cy="2895791"/>
                          <a:chOff x="0" y="0"/>
                          <a:chExt cx="6256325" cy="2895791"/>
                        </a:xfrm>
                      </wpg:grpSpPr>
                      <wps:wsp>
                        <wps:cNvPr id="1" name="Right Arrow 1"/>
                        <wps:cNvSpPr/>
                        <wps:spPr>
                          <a:xfrm>
                            <a:off x="1663795" y="74577"/>
                            <a:ext cx="2895600" cy="393700"/>
                          </a:xfrm>
                          <a:prstGeom prst="rightArrow">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ight Arrow 2"/>
                        <wps:cNvSpPr/>
                        <wps:spPr>
                          <a:xfrm>
                            <a:off x="1663795" y="583341"/>
                            <a:ext cx="2895600" cy="393700"/>
                          </a:xfrm>
                          <a:prstGeom prst="rightArrow">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ight Arrow 3"/>
                        <wps:cNvSpPr/>
                        <wps:spPr>
                          <a:xfrm rot="10800000">
                            <a:off x="1662745" y="1841500"/>
                            <a:ext cx="2895600" cy="393700"/>
                          </a:xfrm>
                          <a:prstGeom prst="rightArrow">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ext Box 5"/>
                        <wps:cNvSpPr txBox="1"/>
                        <wps:spPr>
                          <a:xfrm>
                            <a:off x="4592625" y="0"/>
                            <a:ext cx="1663700" cy="482600"/>
                          </a:xfrm>
                          <a:prstGeom prst="rect">
                            <a:avLst/>
                          </a:prstGeom>
                          <a:noFill/>
                          <a:ln w="6350">
                            <a:noFill/>
                          </a:ln>
                        </wps:spPr>
                        <wps:txbx>
                          <w:txbxContent>
                            <w:p w14:paraId="3DE5EF37" w14:textId="1E444F9E" w:rsidR="007B1071" w:rsidRPr="00B04516" w:rsidRDefault="00B04516">
                              <w:pPr>
                                <w:rPr>
                                  <w:rFonts w:ascii="Arial Nova" w:hAnsi="Arial Nova"/>
                                  <w:sz w:val="24"/>
                                  <w:szCs w:val="24"/>
                                </w:rPr>
                              </w:pPr>
                              <w:r>
                                <w:rPr>
                                  <w:rFonts w:ascii="Arial Nova" w:hAnsi="Arial Nova"/>
                                  <w:sz w:val="24"/>
                                  <w:szCs w:val="24"/>
                                </w:rPr>
                                <w:t>Faster development and deployment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0625" y="34376"/>
                            <a:ext cx="1663700" cy="482600"/>
                          </a:xfrm>
                          <a:prstGeom prst="rect">
                            <a:avLst/>
                          </a:prstGeom>
                          <a:noFill/>
                          <a:ln w="6350">
                            <a:noFill/>
                          </a:ln>
                        </wps:spPr>
                        <wps:txbx>
                          <w:txbxContent>
                            <w:p w14:paraId="2E7F626D" w14:textId="38C9189D" w:rsidR="00415B17" w:rsidRPr="00B04516" w:rsidRDefault="00415B17" w:rsidP="00A8161B">
                              <w:pPr>
                                <w:jc w:val="right"/>
                                <w:rPr>
                                  <w:rFonts w:ascii="Arial Nova" w:hAnsi="Arial Nova"/>
                                  <w:sz w:val="24"/>
                                  <w:szCs w:val="24"/>
                                </w:rPr>
                              </w:pPr>
                              <w:r>
                                <w:rPr>
                                  <w:rFonts w:ascii="Arial Nova" w:hAnsi="Arial Nova"/>
                                  <w:sz w:val="24"/>
                                  <w:szCs w:val="24"/>
                                </w:rPr>
                                <w:t>Slower development and deployment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4592625" y="660018"/>
                            <a:ext cx="1663700" cy="482600"/>
                          </a:xfrm>
                          <a:prstGeom prst="rect">
                            <a:avLst/>
                          </a:prstGeom>
                          <a:noFill/>
                          <a:ln w="6350">
                            <a:noFill/>
                          </a:ln>
                        </wps:spPr>
                        <wps:txbx>
                          <w:txbxContent>
                            <w:p w14:paraId="359A3EF4" w14:textId="79765BE2" w:rsidR="00B04516" w:rsidRPr="00B04516" w:rsidRDefault="00415B17" w:rsidP="00B04516">
                              <w:pPr>
                                <w:rPr>
                                  <w:rFonts w:ascii="Arial Nova" w:hAnsi="Arial Nova"/>
                                  <w:sz w:val="24"/>
                                  <w:szCs w:val="24"/>
                                </w:rPr>
                              </w:pPr>
                              <w:r>
                                <w:rPr>
                                  <w:rFonts w:ascii="Arial Nova" w:hAnsi="Arial Nova"/>
                                  <w:sz w:val="24"/>
                                  <w:szCs w:val="24"/>
                                </w:rPr>
                                <w:t>Proven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20625" y="632517"/>
                            <a:ext cx="1663700" cy="482600"/>
                          </a:xfrm>
                          <a:prstGeom prst="rect">
                            <a:avLst/>
                          </a:prstGeom>
                          <a:noFill/>
                          <a:ln w="6350">
                            <a:noFill/>
                          </a:ln>
                        </wps:spPr>
                        <wps:txbx>
                          <w:txbxContent>
                            <w:p w14:paraId="2583EC54" w14:textId="23803C9F" w:rsidR="00415B17" w:rsidRPr="00B04516" w:rsidRDefault="00415B17" w:rsidP="00A8161B">
                              <w:pPr>
                                <w:jc w:val="right"/>
                                <w:rPr>
                                  <w:rFonts w:ascii="Arial Nova" w:hAnsi="Arial Nova"/>
                                  <w:sz w:val="24"/>
                                  <w:szCs w:val="24"/>
                                </w:rPr>
                              </w:pPr>
                              <w:r>
                                <w:rPr>
                                  <w:rFonts w:ascii="Arial Nova" w:hAnsi="Arial Nova"/>
                                  <w:sz w:val="24"/>
                                  <w:szCs w:val="24"/>
                                </w:rPr>
                                <w:t>Unproven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4592625" y="1904427"/>
                            <a:ext cx="1663700" cy="482600"/>
                          </a:xfrm>
                          <a:prstGeom prst="rect">
                            <a:avLst/>
                          </a:prstGeom>
                          <a:noFill/>
                          <a:ln w="6350">
                            <a:noFill/>
                          </a:ln>
                        </wps:spPr>
                        <wps:txbx>
                          <w:txbxContent>
                            <w:p w14:paraId="69C3A182" w14:textId="05F42053" w:rsidR="00415B17" w:rsidRPr="00B04516" w:rsidRDefault="00415B17" w:rsidP="00415B17">
                              <w:pPr>
                                <w:rPr>
                                  <w:rFonts w:ascii="Arial Nova" w:hAnsi="Arial Nova"/>
                                  <w:sz w:val="24"/>
                                  <w:szCs w:val="24"/>
                                </w:rPr>
                              </w:pPr>
                              <w:r>
                                <w:rPr>
                                  <w:rFonts w:ascii="Arial Nova" w:hAnsi="Arial Nova"/>
                                  <w:sz w:val="24"/>
                                  <w:szCs w:val="24"/>
                                </w:rPr>
                                <w:t>Higher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0" y="1876927"/>
                            <a:ext cx="1663700" cy="482600"/>
                          </a:xfrm>
                          <a:prstGeom prst="rect">
                            <a:avLst/>
                          </a:prstGeom>
                          <a:noFill/>
                          <a:ln w="6350">
                            <a:noFill/>
                          </a:ln>
                        </wps:spPr>
                        <wps:txbx>
                          <w:txbxContent>
                            <w:p w14:paraId="5416D889" w14:textId="25052A28" w:rsidR="00415B17" w:rsidRPr="00B04516" w:rsidRDefault="00415B17" w:rsidP="00A8161B">
                              <w:pPr>
                                <w:jc w:val="right"/>
                                <w:rPr>
                                  <w:rFonts w:ascii="Arial Nova" w:hAnsi="Arial Nova"/>
                                  <w:sz w:val="24"/>
                                  <w:szCs w:val="24"/>
                                </w:rPr>
                              </w:pPr>
                              <w:r>
                                <w:rPr>
                                  <w:rFonts w:ascii="Arial Nova" w:hAnsi="Arial Nova"/>
                                  <w:sz w:val="24"/>
                                  <w:szCs w:val="24"/>
                                </w:rPr>
                                <w:t>Lower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592625" y="2385690"/>
                            <a:ext cx="1663700" cy="482600"/>
                          </a:xfrm>
                          <a:prstGeom prst="rect">
                            <a:avLst/>
                          </a:prstGeom>
                          <a:noFill/>
                          <a:ln w="6350">
                            <a:noFill/>
                          </a:ln>
                        </wps:spPr>
                        <wps:txbx>
                          <w:txbxContent>
                            <w:p w14:paraId="3E5E7330" w14:textId="7246306F" w:rsidR="00415B17" w:rsidRPr="00B04516" w:rsidRDefault="00095C5C" w:rsidP="00415B17">
                              <w:pPr>
                                <w:rPr>
                                  <w:rFonts w:ascii="Arial Nova" w:hAnsi="Arial Nova"/>
                                  <w:sz w:val="24"/>
                                  <w:szCs w:val="24"/>
                                </w:rPr>
                              </w:pPr>
                              <w:r>
                                <w:rPr>
                                  <w:rFonts w:ascii="Arial Nova" w:hAnsi="Arial Nova"/>
                                  <w:sz w:val="24"/>
                                  <w:szCs w:val="24"/>
                                </w:rPr>
                                <w:t>Less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Right Arrow 4"/>
                        <wps:cNvSpPr/>
                        <wps:spPr>
                          <a:xfrm rot="10800000">
                            <a:off x="1662745" y="2350264"/>
                            <a:ext cx="2895600" cy="393700"/>
                          </a:xfrm>
                          <a:prstGeom prst="rightArrow">
                            <a:avLst/>
                          </a:prstGeom>
                          <a:solidFill>
                            <a:schemeClr val="bg1">
                              <a:lumMod val="75000"/>
                            </a:schemeClr>
                          </a:solidFill>
                          <a:ln>
                            <a:solidFill>
                              <a:schemeClr val="bg1">
                                <a:lumMod val="8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Text Box 12"/>
                        <wps:cNvSpPr txBox="1"/>
                        <wps:spPr>
                          <a:xfrm>
                            <a:off x="0" y="2413191"/>
                            <a:ext cx="1663700" cy="482600"/>
                          </a:xfrm>
                          <a:prstGeom prst="rect">
                            <a:avLst/>
                          </a:prstGeom>
                          <a:noFill/>
                          <a:ln w="6350">
                            <a:noFill/>
                          </a:ln>
                        </wps:spPr>
                        <wps:txbx>
                          <w:txbxContent>
                            <w:p w14:paraId="6A58B730" w14:textId="77ED6931" w:rsidR="00095C5C" w:rsidRPr="00B04516" w:rsidRDefault="00095C5C" w:rsidP="00A8161B">
                              <w:pPr>
                                <w:jc w:val="right"/>
                                <w:rPr>
                                  <w:rFonts w:ascii="Arial Nova" w:hAnsi="Arial Nova"/>
                                  <w:sz w:val="24"/>
                                  <w:szCs w:val="24"/>
                                </w:rPr>
                              </w:pPr>
                              <w:r>
                                <w:rPr>
                                  <w:rFonts w:ascii="Arial Nova" w:hAnsi="Arial Nova"/>
                                  <w:sz w:val="24"/>
                                  <w:szCs w:val="24"/>
                                </w:rPr>
                                <w:t>More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Straight Connector 17"/>
                        <wps:cNvCnPr/>
                        <wps:spPr>
                          <a:xfrm>
                            <a:off x="1980054" y="75627"/>
                            <a:ext cx="0" cy="2667001"/>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a:off x="3107585" y="75627"/>
                            <a:ext cx="0" cy="2667000"/>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a:off x="4214490" y="75627"/>
                            <a:ext cx="0" cy="2667001"/>
                          </a:xfrm>
                          <a:prstGeom prst="line">
                            <a:avLst/>
                          </a:prstGeom>
                          <a:ln>
                            <a:prstDash val="dash"/>
                          </a:ln>
                        </wps:spPr>
                        <wps:style>
                          <a:lnRef idx="1">
                            <a:schemeClr val="accent1"/>
                          </a:lnRef>
                          <a:fillRef idx="0">
                            <a:schemeClr val="accent1"/>
                          </a:fillRef>
                          <a:effectRef idx="0">
                            <a:schemeClr val="accent1"/>
                          </a:effectRef>
                          <a:fontRef idx="minor">
                            <a:schemeClr val="tx1"/>
                          </a:fontRef>
                        </wps:style>
                        <wps:bodyPr/>
                      </wps:wsp>
                      <wps:wsp>
                        <wps:cNvPr id="20" name="Rounded Rectangle 20"/>
                        <wps:cNvSpPr/>
                        <wps:spPr>
                          <a:xfrm>
                            <a:off x="1663795" y="1285660"/>
                            <a:ext cx="2929341" cy="254000"/>
                          </a:xfrm>
                          <a:prstGeom prst="round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1663795" y="1258160"/>
                            <a:ext cx="680644" cy="482600"/>
                          </a:xfrm>
                          <a:prstGeom prst="rect">
                            <a:avLst/>
                          </a:prstGeom>
                          <a:noFill/>
                          <a:ln w="6350">
                            <a:noFill/>
                          </a:ln>
                        </wps:spPr>
                        <wps:txbx>
                          <w:txbxContent>
                            <w:p w14:paraId="4C5781B1" w14:textId="6111D10C" w:rsidR="004A03BB" w:rsidRPr="004A03BB" w:rsidRDefault="004A03BB" w:rsidP="004A03BB">
                              <w:pPr>
                                <w:jc w:val="center"/>
                                <w:rPr>
                                  <w:rFonts w:ascii="Arial Nova" w:hAnsi="Arial Nova"/>
                                  <w:b/>
                                  <w:bCs/>
                                  <w:sz w:val="24"/>
                                  <w:szCs w:val="24"/>
                                </w:rPr>
                              </w:pPr>
                              <w:r w:rsidRPr="004A03BB">
                                <w:rPr>
                                  <w:rFonts w:ascii="Arial Nova" w:hAnsi="Arial Nova"/>
                                  <w:b/>
                                  <w:bCs/>
                                  <w:sz w:val="24"/>
                                  <w:szCs w:val="24"/>
                                </w:rPr>
                                <w:t>‘Build’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2674448" y="1258160"/>
                            <a:ext cx="804397" cy="482600"/>
                          </a:xfrm>
                          <a:prstGeom prst="rect">
                            <a:avLst/>
                          </a:prstGeom>
                          <a:noFill/>
                          <a:ln w="6350">
                            <a:noFill/>
                          </a:ln>
                        </wps:spPr>
                        <wps:txbx>
                          <w:txbxContent>
                            <w:p w14:paraId="76B6F9B9" w14:textId="70EAAC99" w:rsidR="004A03BB" w:rsidRPr="004A03BB" w:rsidRDefault="004A03BB" w:rsidP="004A03BB">
                              <w:pPr>
                                <w:jc w:val="center"/>
                                <w:rPr>
                                  <w:rFonts w:ascii="Arial Nova" w:hAnsi="Arial Nova"/>
                                  <w:b/>
                                  <w:bCs/>
                                  <w:sz w:val="24"/>
                                  <w:szCs w:val="24"/>
                                </w:rPr>
                              </w:pPr>
                              <w:r>
                                <w:rPr>
                                  <w:rFonts w:ascii="Arial Nova" w:hAnsi="Arial Nova"/>
                                  <w:b/>
                                  <w:bCs/>
                                  <w:sz w:val="24"/>
                                  <w:szCs w:val="24"/>
                                </w:rPr>
                                <w:t>‘Hybrid’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a:off x="3911982" y="1258160"/>
                            <a:ext cx="618671" cy="482600"/>
                          </a:xfrm>
                          <a:prstGeom prst="rect">
                            <a:avLst/>
                          </a:prstGeom>
                          <a:noFill/>
                          <a:ln w="6350">
                            <a:noFill/>
                          </a:ln>
                        </wps:spPr>
                        <wps:txbx>
                          <w:txbxContent>
                            <w:p w14:paraId="75EC4C7C" w14:textId="6A01D7CE" w:rsidR="004A03BB" w:rsidRPr="004A03BB" w:rsidRDefault="004A03BB" w:rsidP="004A03BB">
                              <w:pPr>
                                <w:jc w:val="center"/>
                                <w:rPr>
                                  <w:rFonts w:ascii="Arial Nova" w:hAnsi="Arial Nova"/>
                                  <w:b/>
                                  <w:bCs/>
                                  <w:sz w:val="24"/>
                                  <w:szCs w:val="24"/>
                                </w:rPr>
                              </w:pPr>
                              <w:r>
                                <w:rPr>
                                  <w:rFonts w:ascii="Arial Nova" w:hAnsi="Arial Nova"/>
                                  <w:b/>
                                  <w:bCs/>
                                  <w:sz w:val="24"/>
                                  <w:szCs w:val="24"/>
                                </w:rPr>
                                <w:t>‘Buy’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a14="http://schemas.microsoft.com/office/drawing/2010/main" xmlns:pic="http://schemas.openxmlformats.org/drawingml/2006/picture" xmlns:a="http://schemas.openxmlformats.org/drawingml/2006/main">
            <w:pict>
              <v:group id="Group 21" style="position:absolute;margin-left:-17.85pt;margin-top:16.1pt;width:492.6pt;height:228pt;z-index:251658240" coordsize="62563,28957" o:spid="_x0000_s1026" w14:anchorId="5F23032D"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">
                <v:shapetype id="_x0000_t13" coordsize="21600,21600" o:spt="13" adj="16200,5400" path="m@0,l@0@1,0@1,0@2@0@2@0,21600,21600,10800x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Right Arrow 1" style="position:absolute;left:16637;top:745;width:28956;height:3937;visibility:visible;mso-wrap-style:square;v-text-anchor:middle" o:spid="_x0000_s1027" fillcolor="#bfbfbf [2412]" strokecolor="#d8d8d8 [2732]" strokeweight="1pt" type="#_x0000_t13" adj="201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"/>
                <v:shape id="Right Arrow 2" style="position:absolute;left:16637;top:5833;width:28956;height:3937;visibility:visible;mso-wrap-style:square;v-text-anchor:middle" o:spid="_x0000_s1028" fillcolor="#bfbfbf [2412]" strokecolor="#d8d8d8 [2732]" strokeweight="1pt" type="#_x0000_t13" adj="201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"/>
                <v:shape id="Right Arrow 3" style="position:absolute;left:16627;top:18415;width:28956;height:3937;rotation:180;visibility:visible;mso-wrap-style:square;v-text-anchor:middle" o:spid="_x0000_s1029" fillcolor="#bfbfbf [2412]" strokecolor="#d8d8d8 [2732]" strokeweight="1pt" type="#_x0000_t13" adj="201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"/>
                <v:shapetype id="_x0000_t202" coordsize="21600,21600" o:spt="202" path="m,l,21600r21600,l21600,xe">
                  <v:stroke joinstyle="miter"/>
                  <v:path gradientshapeok="t" o:connecttype="rect"/>
                </v:shapetype>
                <v:shape id="Text Box 5" style="position:absolute;left:45926;width:16637;height:4826;visibility:visible;mso-wrap-style:square;v-text-anchor:top" o:spid="_x0000_s1030"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">
                  <v:textbox>
                    <w:txbxContent>
                      <w:p w:rsidRPr="00B04516" w:rsidR="007B1071" w:rsidRDefault="00B04516" w14:paraId="3DE5EF37" w14:textId="1E444F9E">
                        <w:pPr>
                          <w:rPr>
                            <w:rFonts w:ascii="Arial Nova" w:hAnsi="Arial Nova"/>
                            <w:sz w:val="24"/>
                            <w:szCs w:val="24"/>
                          </w:rPr>
                        </w:pPr>
                        <w:r>
                          <w:rPr>
                            <w:rFonts w:ascii="Arial Nova" w:hAnsi="Arial Nova"/>
                            <w:sz w:val="24"/>
                            <w:szCs w:val="24"/>
                          </w:rPr>
                          <w:t>Faster development and deployment</w:t>
                        </w:r>
                      </w:p>
                    </w:txbxContent>
                  </v:textbox>
                </v:shape>
                <v:shape id="Text Box 7" style="position:absolute;left:206;top:343;width:16637;height:4826;visibility:visible;mso-wrap-style:square;v-text-anchor:top" o:spid="_x0000_s1031"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">
                  <v:textbox>
                    <w:txbxContent>
                      <w:p w:rsidRPr="00B04516" w:rsidR="00415B17" w:rsidP="00A8161B" w:rsidRDefault="00415B17" w14:paraId="2E7F626D" w14:textId="38C9189D">
                        <w:pPr>
                          <w:jc w:val="right"/>
                          <w:rPr>
                            <w:rFonts w:ascii="Arial Nova" w:hAnsi="Arial Nova"/>
                            <w:sz w:val="24"/>
                            <w:szCs w:val="24"/>
                          </w:rPr>
                        </w:pPr>
                        <w:r>
                          <w:rPr>
                            <w:rFonts w:ascii="Arial Nova" w:hAnsi="Arial Nova"/>
                            <w:sz w:val="24"/>
                            <w:szCs w:val="24"/>
                          </w:rPr>
                          <w:t>Slower development and deployment</w:t>
                        </w:r>
                      </w:p>
                    </w:txbxContent>
                  </v:textbox>
                </v:shape>
                <v:shape id="Text Box 6" style="position:absolute;left:45926;top:6600;width:16637;height:4826;visibility:visible;mso-wrap-style:square;v-text-anchor:top" o:spid="_x0000_s1032"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">
                  <v:textbox>
                    <w:txbxContent>
                      <w:p w:rsidRPr="00B04516" w:rsidR="00B04516" w:rsidP="00B04516" w:rsidRDefault="00415B17" w14:paraId="359A3EF4" w14:textId="79765BE2">
                        <w:pPr>
                          <w:rPr>
                            <w:rFonts w:ascii="Arial Nova" w:hAnsi="Arial Nova"/>
                            <w:sz w:val="24"/>
                            <w:szCs w:val="24"/>
                          </w:rPr>
                        </w:pPr>
                        <w:r>
                          <w:rPr>
                            <w:rFonts w:ascii="Arial Nova" w:hAnsi="Arial Nova"/>
                            <w:sz w:val="24"/>
                            <w:szCs w:val="24"/>
                          </w:rPr>
                          <w:t>Proven system</w:t>
                        </w:r>
                      </w:p>
                    </w:txbxContent>
                  </v:textbox>
                </v:shape>
                <v:shape id="Text Box 8" style="position:absolute;left:206;top:6325;width:16637;height:4826;visibility:visible;mso-wrap-style:square;v-text-anchor:top" o:spid="_x0000_s1033"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">
                  <v:textbox>
                    <w:txbxContent>
                      <w:p w:rsidRPr="00B04516" w:rsidR="00415B17" w:rsidP="00A8161B" w:rsidRDefault="00415B17" w14:paraId="2583EC54" w14:textId="23803C9F">
                        <w:pPr>
                          <w:jc w:val="right"/>
                          <w:rPr>
                            <w:rFonts w:ascii="Arial Nova" w:hAnsi="Arial Nova"/>
                            <w:sz w:val="24"/>
                            <w:szCs w:val="24"/>
                          </w:rPr>
                        </w:pPr>
                        <w:r>
                          <w:rPr>
                            <w:rFonts w:ascii="Arial Nova" w:hAnsi="Arial Nova"/>
                            <w:sz w:val="24"/>
                            <w:szCs w:val="24"/>
                          </w:rPr>
                          <w:t>Unproven system</w:t>
                        </w:r>
                      </w:p>
                    </w:txbxContent>
                  </v:textbox>
                </v:shape>
                <v:shape id="Text Box 9" style="position:absolute;left:45926;top:19044;width:16637;height:4826;visibility:visible;mso-wrap-style:square;v-text-anchor:top" o:spid="_x0000_s1034"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">
                  <v:textbox>
                    <w:txbxContent>
                      <w:p w:rsidRPr="00B04516" w:rsidR="00415B17" w:rsidP="00415B17" w:rsidRDefault="00415B17" w14:paraId="69C3A182" w14:textId="05F42053">
                        <w:pPr>
                          <w:rPr>
                            <w:rFonts w:ascii="Arial Nova" w:hAnsi="Arial Nova"/>
                            <w:sz w:val="24"/>
                            <w:szCs w:val="24"/>
                          </w:rPr>
                        </w:pPr>
                        <w:r>
                          <w:rPr>
                            <w:rFonts w:ascii="Arial Nova" w:hAnsi="Arial Nova"/>
                            <w:sz w:val="24"/>
                            <w:szCs w:val="24"/>
                          </w:rPr>
                          <w:t>Higher cost</w:t>
                        </w:r>
                      </w:p>
                    </w:txbxContent>
                  </v:textbox>
                </v:shape>
                <v:shape id="Text Box 10" style="position:absolute;top:18769;width:16637;height:4826;visibility:visible;mso-wrap-style:square;v-text-anchor:top" o:spid="_x0000_s1035"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">
                  <v:textbox>
                    <w:txbxContent>
                      <w:p w:rsidRPr="00B04516" w:rsidR="00415B17" w:rsidP="00A8161B" w:rsidRDefault="00415B17" w14:paraId="5416D889" w14:textId="25052A28">
                        <w:pPr>
                          <w:jc w:val="right"/>
                          <w:rPr>
                            <w:rFonts w:ascii="Arial Nova" w:hAnsi="Arial Nova"/>
                            <w:sz w:val="24"/>
                            <w:szCs w:val="24"/>
                          </w:rPr>
                        </w:pPr>
                        <w:r>
                          <w:rPr>
                            <w:rFonts w:ascii="Arial Nova" w:hAnsi="Arial Nova"/>
                            <w:sz w:val="24"/>
                            <w:szCs w:val="24"/>
                          </w:rPr>
                          <w:t>Lower cost</w:t>
                        </w:r>
                      </w:p>
                    </w:txbxContent>
                  </v:textbox>
                </v:shape>
                <v:shape id="Text Box 11" style="position:absolute;left:45926;top:23856;width:16637;height:4826;visibility:visible;mso-wrap-style:square;v-text-anchor:top" o:spid="_x0000_s1036"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">
                  <v:textbox>
                    <w:txbxContent>
                      <w:p w:rsidRPr="00B04516" w:rsidR="00415B17" w:rsidP="00415B17" w:rsidRDefault="00095C5C" w14:paraId="3E5E7330" w14:textId="7246306F">
                        <w:pPr>
                          <w:rPr>
                            <w:rFonts w:ascii="Arial Nova" w:hAnsi="Arial Nova"/>
                            <w:sz w:val="24"/>
                            <w:szCs w:val="24"/>
                          </w:rPr>
                        </w:pPr>
                        <w:r>
                          <w:rPr>
                            <w:rFonts w:ascii="Arial Nova" w:hAnsi="Arial Nova"/>
                            <w:sz w:val="24"/>
                            <w:szCs w:val="24"/>
                          </w:rPr>
                          <w:t>Less control</w:t>
                        </w:r>
                      </w:p>
                    </w:txbxContent>
                  </v:textbox>
                </v:shape>
                <v:shape id="Right Arrow 4" style="position:absolute;left:16627;top:23502;width:28956;height:3937;rotation:180;visibility:visible;mso-wrap-style:square;v-text-anchor:middle" o:spid="_x0000_s1037" fillcolor="#bfbfbf [2412]" strokecolor="#d8d8d8 [2732]" strokeweight="1pt" type="#_x0000_t13" adj="201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"/>
                <v:shape id="Text Box 12" style="position:absolute;top:24131;width:16637;height:4826;visibility:visible;mso-wrap-style:square;v-text-anchor:top" o:spid="_x0000_s1038"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">
                  <v:textbox>
                    <w:txbxContent>
                      <w:p w:rsidRPr="00B04516" w:rsidR="00095C5C" w:rsidP="00A8161B" w:rsidRDefault="00095C5C" w14:paraId="6A58B730" w14:textId="77ED6931">
                        <w:pPr>
                          <w:jc w:val="right"/>
                          <w:rPr>
                            <w:rFonts w:ascii="Arial Nova" w:hAnsi="Arial Nova"/>
                            <w:sz w:val="24"/>
                            <w:szCs w:val="24"/>
                          </w:rPr>
                        </w:pPr>
                        <w:r>
                          <w:rPr>
                            <w:rFonts w:ascii="Arial Nova" w:hAnsi="Arial Nova"/>
                            <w:sz w:val="24"/>
                            <w:szCs w:val="24"/>
                          </w:rPr>
                          <w:t>More control</w:t>
                        </w:r>
                      </w:p>
                    </w:txbxContent>
                  </v:textbox>
                </v:shape>
                <v:line id="Straight Connector 17" style="position:absolute;visibility:visible;mso-wrap-style:square" o:spid="_x0000_s1039" strokecolor="#4472c4 [3204]" strokeweight=".5pt" o:connectortype="straight" from="19800,756" to="19800,27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">
                  <v:stroke joinstyle="miter" dashstyle="dash"/>
                </v:line>
                <v:line id="Straight Connector 18" style="position:absolute;visibility:visible;mso-wrap-style:square" o:spid="_x0000_s1040" strokecolor="#4472c4 [3204]" strokeweight=".5pt" o:connectortype="straight" from="31075,756" to="31075,27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">
                  <v:stroke joinstyle="miter" dashstyle="dash"/>
                </v:line>
                <v:line id="Straight Connector 19" style="position:absolute;visibility:visible;mso-wrap-style:square" o:spid="_x0000_s1041" strokecolor="#4472c4 [3204]" strokeweight=".5pt" o:connectortype="straight" from="42144,756" to="42144,2742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">
                  <v:stroke joinstyle="miter" dashstyle="dash"/>
                </v:line>
                <v:roundrect id="Rounded Rectangle 20" style="position:absolute;left:16637;top:12856;width:29294;height:2540;visibility:visible;mso-wrap-style:square;v-text-anchor:middle" o:spid="_x0000_s1042" fillcolor="#f2f2f2 [3052]" strokecolor="#1f3763 [1604]" strokeweight="1pt"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">
                  <v:stroke joinstyle="miter"/>
                </v:roundrect>
                <v:shape id="Text Box 14" style="position:absolute;left:16637;top:12581;width:6807;height:4826;visibility:visible;mso-wrap-style:square;v-text-anchor:top" o:spid="_x0000_s1043"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">
                  <v:textbox>
                    <w:txbxContent>
                      <w:p w:rsidRPr="004A03BB" w:rsidR="004A03BB" w:rsidP="004A03BB" w:rsidRDefault="004A03BB" w14:paraId="4C5781B1" w14:textId="6111D10C">
                        <w:pPr>
                          <w:jc w:val="center"/>
                          <w:rPr>
                            <w:rFonts w:ascii="Arial Nova" w:hAnsi="Arial Nova"/>
                            <w:b/>
                            <w:bCs/>
                            <w:sz w:val="24"/>
                            <w:szCs w:val="24"/>
                          </w:rPr>
                        </w:pPr>
                        <w:r w:rsidRPr="004A03BB">
                          <w:rPr>
                            <w:rFonts w:ascii="Arial Nova" w:hAnsi="Arial Nova"/>
                            <w:b/>
                            <w:bCs/>
                            <w:sz w:val="24"/>
                            <w:szCs w:val="24"/>
                          </w:rPr>
                          <w:t>‘Build’</w:t>
                        </w:r>
                      </w:p>
                    </w:txbxContent>
                  </v:textbox>
                </v:shape>
                <v:shape id="Text Box 15" style="position:absolute;left:26744;top:12581;width:8044;height:4826;visibility:visible;mso-wrap-style:square;v-text-anchor:top" o:spid="_x0000_s1044"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">
                  <v:textbox>
                    <w:txbxContent>
                      <w:p w:rsidRPr="004A03BB" w:rsidR="004A03BB" w:rsidP="004A03BB" w:rsidRDefault="004A03BB" w14:paraId="76B6F9B9" w14:textId="70EAAC99">
                        <w:pPr>
                          <w:jc w:val="center"/>
                          <w:rPr>
                            <w:rFonts w:ascii="Arial Nova" w:hAnsi="Arial Nova"/>
                            <w:b/>
                            <w:bCs/>
                            <w:sz w:val="24"/>
                            <w:szCs w:val="24"/>
                          </w:rPr>
                        </w:pPr>
                        <w:r>
                          <w:rPr>
                            <w:rFonts w:ascii="Arial Nova" w:hAnsi="Arial Nova"/>
                            <w:b/>
                            <w:bCs/>
                            <w:sz w:val="24"/>
                            <w:szCs w:val="24"/>
                          </w:rPr>
                          <w:t>‘Hybrid’</w:t>
                        </w:r>
                      </w:p>
                    </w:txbxContent>
                  </v:textbox>
                </v:shape>
                <v:shape id="Text Box 16" style="position:absolute;left:39119;top:12581;width:6187;height:4826;visibility:visible;mso-wrap-style:square;v-text-anchor:top" o:spid="_x0000_s1045" filled="f" stroked="f" strokeweight=".5pt"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">
                  <v:textbox>
                    <w:txbxContent>
                      <w:p w:rsidRPr="004A03BB" w:rsidR="004A03BB" w:rsidP="004A03BB" w:rsidRDefault="004A03BB" w14:paraId="75EC4C7C" w14:textId="6A01D7CE">
                        <w:pPr>
                          <w:jc w:val="center"/>
                          <w:rPr>
                            <w:rFonts w:ascii="Arial Nova" w:hAnsi="Arial Nova"/>
                            <w:b/>
                            <w:bCs/>
                            <w:sz w:val="24"/>
                            <w:szCs w:val="24"/>
                          </w:rPr>
                        </w:pPr>
                        <w:r>
                          <w:rPr>
                            <w:rFonts w:ascii="Arial Nova" w:hAnsi="Arial Nova"/>
                            <w:b/>
                            <w:bCs/>
                            <w:sz w:val="24"/>
                            <w:szCs w:val="24"/>
                          </w:rPr>
                          <w:t>‘Buy’</w:t>
                        </w:r>
                      </w:p>
                    </w:txbxContent>
                  </v:textbox>
                </v:shape>
              </v:group>
            </w:pict>
          </mc:Fallback>
        </mc:AlternateContent>
      </w:r>
    </w:p>
    <w:p w14:paraId="071A2F88" w14:textId="27EBE1B9" w:rsidR="17EFB63A" w:rsidRDefault="17EFB63A" w:rsidP="33F79CAC">
      <w:pPr>
        <w:rPr>
          <w:rFonts w:ascii="Arial Nova" w:eastAsia="Arial Nova" w:hAnsi="Arial Nova" w:cs="Arial Nova"/>
          <w:sz w:val="24"/>
          <w:szCs w:val="24"/>
        </w:rPr>
      </w:pPr>
    </w:p>
    <w:p w14:paraId="0BCF86FC" w14:textId="54EE457A" w:rsidR="17EFB63A" w:rsidRDefault="17EFB63A" w:rsidP="33F79CAC">
      <w:pPr>
        <w:rPr>
          <w:rFonts w:ascii="Arial Nova" w:eastAsia="Arial Nova" w:hAnsi="Arial Nova" w:cs="Arial Nova"/>
          <w:sz w:val="24"/>
          <w:szCs w:val="24"/>
        </w:rPr>
      </w:pPr>
    </w:p>
    <w:p w14:paraId="3F091E1F" w14:textId="48FCFB69" w:rsidR="17EFB63A" w:rsidRDefault="17EFB63A" w:rsidP="17EFB63A"/>
    <w:p w14:paraId="66096874" w14:textId="6A9D58BF" w:rsidR="007B1071" w:rsidRDefault="17EFB63A" w:rsidP="17EFB63A">
      <w:pPr>
        <w:rPr>
          <w:rFonts w:ascii="Arial Nova" w:eastAsia="Arial Nova" w:hAnsi="Arial Nova" w:cs="Arial Nova"/>
          <w:b/>
          <w:bCs/>
          <w:sz w:val="28"/>
          <w:szCs w:val="28"/>
        </w:rPr>
      </w:pPr>
      <w:r>
        <w:br/>
      </w:r>
    </w:p>
    <w:p w14:paraId="1D72F3CF" w14:textId="3803D19B" w:rsidR="007B1071" w:rsidRDefault="007B1071" w:rsidP="17EFB63A">
      <w:pPr>
        <w:rPr>
          <w:rFonts w:ascii="Arial Nova" w:eastAsia="Arial Nova" w:hAnsi="Arial Nova" w:cs="Arial Nova"/>
          <w:b/>
          <w:bCs/>
          <w:sz w:val="28"/>
          <w:szCs w:val="28"/>
        </w:rPr>
      </w:pPr>
    </w:p>
    <w:p w14:paraId="4364A5F9" w14:textId="0E0C2789" w:rsidR="007B1071" w:rsidRDefault="007B1071" w:rsidP="17EFB63A">
      <w:pPr>
        <w:rPr>
          <w:rFonts w:ascii="Arial Nova" w:eastAsia="Arial Nova" w:hAnsi="Arial Nova" w:cs="Arial Nova"/>
          <w:b/>
          <w:bCs/>
          <w:sz w:val="28"/>
          <w:szCs w:val="28"/>
        </w:rPr>
      </w:pPr>
    </w:p>
    <w:p w14:paraId="264B6D75" w14:textId="683883D2" w:rsidR="004A03BB" w:rsidRDefault="004A03BB" w:rsidP="17EFB63A">
      <w:pPr>
        <w:rPr>
          <w:rFonts w:ascii="Arial Nova" w:eastAsia="Arial Nova" w:hAnsi="Arial Nova" w:cs="Arial Nova"/>
          <w:b/>
          <w:bCs/>
          <w:sz w:val="28"/>
          <w:szCs w:val="28"/>
        </w:rPr>
      </w:pPr>
    </w:p>
    <w:p w14:paraId="5B25EC0D" w14:textId="58DD839D" w:rsidR="004A03BB" w:rsidRDefault="004A03BB" w:rsidP="17EFB63A">
      <w:pPr>
        <w:rPr>
          <w:rFonts w:ascii="Arial Nova" w:eastAsia="Arial Nova" w:hAnsi="Arial Nova" w:cs="Arial Nova"/>
          <w:b/>
          <w:bCs/>
          <w:sz w:val="28"/>
          <w:szCs w:val="28"/>
        </w:rPr>
      </w:pPr>
    </w:p>
    <w:p w14:paraId="450F1685" w14:textId="1A783AD4" w:rsidR="004A03BB" w:rsidRDefault="004A03BB" w:rsidP="17EFB63A">
      <w:pPr>
        <w:rPr>
          <w:rFonts w:ascii="Arial Nova" w:eastAsia="Arial Nova" w:hAnsi="Arial Nova" w:cs="Arial Nova"/>
          <w:b/>
          <w:bCs/>
          <w:sz w:val="28"/>
          <w:szCs w:val="28"/>
        </w:rPr>
      </w:pPr>
      <w:r>
        <w:br/>
      </w:r>
      <w:r w:rsidR="62CC6759" w:rsidRPr="62CC6759">
        <w:rPr>
          <w:rFonts w:ascii="Arial Nova" w:eastAsia="Arial Nova" w:hAnsi="Arial Nova" w:cs="Arial Nova"/>
          <w:b/>
          <w:bCs/>
          <w:sz w:val="24"/>
          <w:szCs w:val="24"/>
        </w:rPr>
        <w:t>Δ Figure 3 – Key factor trade-offs</w:t>
      </w:r>
    </w:p>
    <w:p w14:paraId="1A34B908" w14:textId="26F35CC1" w:rsidR="004A03BB" w:rsidRDefault="62CC6759" w:rsidP="17EFB63A">
      <w:pPr>
        <w:rPr>
          <w:rFonts w:ascii="Arial Nova" w:eastAsia="Arial Nova" w:hAnsi="Arial Nova" w:cs="Arial Nova"/>
          <w:sz w:val="24"/>
          <w:szCs w:val="24"/>
        </w:rPr>
      </w:pPr>
      <w:r w:rsidRPr="62CC6759">
        <w:rPr>
          <w:rFonts w:ascii="Arial Nova" w:eastAsia="Arial Nova" w:hAnsi="Arial Nova" w:cs="Arial Nova"/>
          <w:sz w:val="24"/>
          <w:szCs w:val="24"/>
        </w:rPr>
        <w:t>The choice of option for an organisation will depend on a number of factors, such as the funding model, in-house system development capability, risk appetite and required timescales. However, unless a specific requirement necessitates either the ‘build’ or ‘buy’ options, the ‘hybrid’ option is preferred as it avoids exposing the organisation to the risks of high cost and low control with ‘buy’, and the long timescales and risk of failure with ‘build’.</w:t>
      </w:r>
    </w:p>
    <w:p w14:paraId="423F64DA" w14:textId="43FAB522" w:rsidR="33F79CAC" w:rsidRDefault="17EFB63A" w:rsidP="33F79CAC">
      <w:pPr>
        <w:rPr>
          <w:rFonts w:ascii="Arial Nova" w:eastAsia="Arial Nova" w:hAnsi="Arial Nova" w:cs="Arial Nova"/>
          <w:b/>
          <w:bCs/>
          <w:sz w:val="28"/>
          <w:szCs w:val="28"/>
        </w:rPr>
      </w:pPr>
      <w:r>
        <w:br/>
      </w:r>
      <w:r>
        <w:br/>
      </w:r>
      <w:r w:rsidRPr="33F79CAC">
        <w:rPr>
          <w:rFonts w:ascii="Arial Nova" w:eastAsia="Arial Nova" w:hAnsi="Arial Nova" w:cs="Arial Nova"/>
          <w:b/>
          <w:bCs/>
          <w:sz w:val="28"/>
          <w:szCs w:val="28"/>
        </w:rPr>
        <w:t>Discussion</w:t>
      </w:r>
    </w:p>
    <w:p w14:paraId="3318212C" w14:textId="680C23A8"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As with many other aspects of healthcare, digital technology can be used to improve hand hygiene. However, it is important to remember that a digital solution alone does not necessarily lead to improvement. The solution discussed within this paper would improve the coverage of hand hygiene audits and reduce the staff time required to complete these, but it is the analysis of the digitally-obtained data that can inform improvements.</w:t>
      </w:r>
      <w:r>
        <w:br/>
      </w:r>
      <w:r>
        <w:br/>
      </w:r>
      <w:r w:rsidRPr="62CC6759">
        <w:rPr>
          <w:rFonts w:ascii="Arial Nova" w:eastAsia="Arial Nova" w:hAnsi="Arial Nova" w:cs="Arial Nova"/>
          <w:sz w:val="24"/>
          <w:szCs w:val="24"/>
        </w:rPr>
        <w:t xml:space="preserve">Staff acceptance of technology is a crucial factor to consider when developing a digital strategy. Levin </w:t>
      </w:r>
      <w:r w:rsidRPr="62CC6759">
        <w:rPr>
          <w:rFonts w:ascii="Arial Nova" w:eastAsia="Arial Nova" w:hAnsi="Arial Nova" w:cs="Arial Nova"/>
          <w:i/>
          <w:iCs/>
          <w:sz w:val="24"/>
          <w:szCs w:val="24"/>
        </w:rPr>
        <w:t>et al.</w:t>
      </w:r>
      <w:r w:rsidRPr="62CC6759">
        <w:rPr>
          <w:rFonts w:ascii="Arial Nova" w:eastAsia="Arial Nova" w:hAnsi="Arial Nova" w:cs="Arial Nova"/>
          <w:sz w:val="24"/>
          <w:szCs w:val="24"/>
        </w:rPr>
        <w:t xml:space="preserve"> (2019) describe staff members’ initial enthusiasm for an electronic hand hygiene monitoring and prompting system, which quickly deteriorated into disappointment and an unwillingness to continue using the system. Levin suggests the </w:t>
      </w:r>
      <w:r w:rsidRPr="62CC6759">
        <w:rPr>
          <w:rFonts w:ascii="Arial Nova" w:eastAsia="Arial Nova" w:hAnsi="Arial Nova" w:cs="Arial Nova"/>
          <w:sz w:val="24"/>
          <w:szCs w:val="24"/>
        </w:rPr>
        <w:lastRenderedPageBreak/>
        <w:t>primary cause for the dissatisfaction was low levels of accuracy in counting hand hygiene events. There is also potential for resistance when the digital system contradicts other guidance, such as with wearable sensors in the form of a wristband or ring, which goes against the ‘bare below the elbows’ principle.</w:t>
      </w:r>
      <w:r>
        <w:br/>
      </w:r>
      <w:r>
        <w:br/>
      </w:r>
      <w:r w:rsidRPr="62CC6759">
        <w:rPr>
          <w:rFonts w:ascii="Arial Nova" w:eastAsia="Arial Nova" w:hAnsi="Arial Nova" w:cs="Arial Nova"/>
          <w:sz w:val="24"/>
          <w:szCs w:val="24"/>
        </w:rPr>
        <w:t xml:space="preserve">Engagement with stakeholders early, and throughout an implementation is a known factor for successful information technology implementations within healthcare (Harrison </w:t>
      </w:r>
      <w:r w:rsidRPr="62CC6759">
        <w:rPr>
          <w:rFonts w:ascii="Arial Nova" w:eastAsia="Arial Nova" w:hAnsi="Arial Nova" w:cs="Arial Nova"/>
          <w:i/>
          <w:iCs/>
          <w:sz w:val="24"/>
          <w:szCs w:val="24"/>
        </w:rPr>
        <w:t xml:space="preserve">et al. </w:t>
      </w:r>
      <w:r w:rsidRPr="62CC6759">
        <w:rPr>
          <w:rFonts w:ascii="Arial Nova" w:eastAsia="Arial Nova" w:hAnsi="Arial Nova" w:cs="Arial Nova"/>
          <w:sz w:val="24"/>
          <w:szCs w:val="24"/>
        </w:rPr>
        <w:t xml:space="preserve">2021). It is vital that the workflows within a ward environment are understood before an electronic hand hygiene monitoring system is designed. For example, monitoring wall-mounted or bedside handrub dispensers is likely to give incomplete data if staff primarily use personal clip-on handrub bottles (Cheng </w:t>
      </w:r>
      <w:r w:rsidRPr="62CC6759">
        <w:rPr>
          <w:rFonts w:ascii="Arial Nova" w:eastAsia="Arial Nova" w:hAnsi="Arial Nova" w:cs="Arial Nova"/>
          <w:i/>
          <w:iCs/>
          <w:sz w:val="24"/>
          <w:szCs w:val="24"/>
        </w:rPr>
        <w:t>et al.</w:t>
      </w:r>
      <w:r w:rsidRPr="62CC6759">
        <w:rPr>
          <w:rFonts w:ascii="Arial Nova" w:eastAsia="Arial Nova" w:hAnsi="Arial Nova" w:cs="Arial Nova"/>
          <w:sz w:val="24"/>
          <w:szCs w:val="24"/>
        </w:rPr>
        <w:t xml:space="preserve"> 2011).</w:t>
      </w:r>
    </w:p>
    <w:p w14:paraId="4DC3E78B" w14:textId="2B3BA2FF"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 xml:space="preserve">Monitoring the success of the digital solution includes two aspects: ensuring that the system is functioning as per the design specifications, and measuring the impact on the policy goal of improving hand hygiene within the healthcare setting. Measures 1 and 2, considered in the gap analysis are direct measures of the system’s performance and easy to obtain. Measure 3 is less direct, but considers whether the digital solution has allowed the organisation to address the policy goal, although this is reliant on other factors such as the success of training which is informed by analysis of the collected data. </w:t>
      </w:r>
    </w:p>
    <w:p w14:paraId="53D1BD3A" w14:textId="1FD35BC0"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 xml:space="preserve">While accurately and widely measuring hand hygiene rates generates data which can be used to target improvement work, such as staff education, a digital solution as discussed in this paper also lays the foundation for more novel interventions such as automated reminders for individual healthcare workers (Bishop </w:t>
      </w:r>
      <w:r w:rsidRPr="62CC6759">
        <w:rPr>
          <w:rFonts w:ascii="Arial Nova" w:eastAsia="Arial Nova" w:hAnsi="Arial Nova" w:cs="Arial Nova"/>
          <w:i/>
          <w:iCs/>
          <w:sz w:val="24"/>
          <w:szCs w:val="24"/>
        </w:rPr>
        <w:t>et al.</w:t>
      </w:r>
      <w:r w:rsidRPr="62CC6759">
        <w:rPr>
          <w:rFonts w:ascii="Arial Nova" w:eastAsia="Arial Nova" w:hAnsi="Arial Nova" w:cs="Arial Nova"/>
          <w:sz w:val="24"/>
          <w:szCs w:val="24"/>
        </w:rPr>
        <w:t xml:space="preserve"> 2020).</w:t>
      </w:r>
    </w:p>
    <w:p w14:paraId="06012C21" w14:textId="17A34DD7"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The key weakness of digital monitoring of hand hygiene when compared to direct observation is the difficulty in automatically detecting hand hygiene opportunities (Boyce, 2017). The number of hand hygiene opportunities during a staff member’s interaction with a patient varies depending on the nature of the interaction.</w:t>
      </w:r>
    </w:p>
    <w:p w14:paraId="4E389E21" w14:textId="14E2592A"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Interestingly, the use of digital technology to assist in hand hygiene has crossed the boundary from healthcare into consumer electronics, with Amazon introducing a soap dispenser that pairs with a voice-assistant and includes a visual countdown of the recommended handwashing time (Bonifacic, 2021).</w:t>
      </w:r>
    </w:p>
    <w:p w14:paraId="64723502" w14:textId="7AD0705C" w:rsidR="62CC6759" w:rsidRDefault="62CC6759" w:rsidP="62CC6759">
      <w:pPr>
        <w:rPr>
          <w:rFonts w:ascii="Arial Nova" w:eastAsia="Arial Nova" w:hAnsi="Arial Nova" w:cs="Arial Nova"/>
          <w:b/>
          <w:bCs/>
          <w:sz w:val="28"/>
          <w:szCs w:val="28"/>
        </w:rPr>
      </w:pPr>
      <w:r w:rsidRPr="62CC6759">
        <w:rPr>
          <w:rFonts w:ascii="Arial Nova" w:eastAsia="Arial Nova" w:hAnsi="Arial Nova" w:cs="Arial Nova"/>
          <w:sz w:val="24"/>
          <w:szCs w:val="24"/>
        </w:rPr>
        <w:t xml:space="preserve">Literature shows that healthcare staff understand the importance of good hand hygiene and its impact on reducing hospital acquired infections, but lapses in this practice can happen. Although reported results are variable, there is a role for digital technology to assist healthcare organisations in their pursuit of improved hand hygiene compliance. </w:t>
      </w:r>
    </w:p>
    <w:p w14:paraId="19739AF7" w14:textId="636B5738"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 xml:space="preserve">The 5 moments for hand hygiene are widely known, and the task of hand hygiene is simple. It is important that any digital system to support this does not increase complexity for staff or introduce additional risks. The use of electronic monitoring in </w:t>
      </w:r>
      <w:r w:rsidRPr="62CC6759">
        <w:rPr>
          <w:rFonts w:ascii="Arial Nova" w:eastAsia="Arial Nova" w:hAnsi="Arial Nova" w:cs="Arial Nova"/>
          <w:sz w:val="24"/>
          <w:szCs w:val="24"/>
        </w:rPr>
        <w:lastRenderedPageBreak/>
        <w:t>healthcare settings has already proven the value of simple steps, such as considering the placement of handrub dispensers to maximise their use. Boyce (2014) sensibly suggests that staff time saved by automating hand hygiene audits could be used to identify barriers to compliance and to improve teaching.</w:t>
      </w:r>
    </w:p>
    <w:p w14:paraId="2BE577F0" w14:textId="10A10E52" w:rsidR="62CC6759" w:rsidRDefault="62CC6759" w:rsidP="62CC6759">
      <w:pPr>
        <w:rPr>
          <w:rFonts w:ascii="Arial Nova" w:eastAsia="Arial Nova" w:hAnsi="Arial Nova" w:cs="Arial Nova"/>
          <w:sz w:val="24"/>
          <w:szCs w:val="24"/>
        </w:rPr>
      </w:pPr>
      <w:r w:rsidRPr="62CC6759">
        <w:rPr>
          <w:rFonts w:ascii="Arial Nova" w:eastAsia="Arial Nova" w:hAnsi="Arial Nova" w:cs="Arial Nova"/>
          <w:sz w:val="24"/>
          <w:szCs w:val="24"/>
        </w:rPr>
        <w:t>Monitoring alone does not improve compliance with hand hygiene, however sustainable and widespread improvement within an organisation is unlikely to be achieved without accurate monitoring. This has traditionally taken significant amounts of staff time and still given extremely limited coverage. Digital solutions can address these issues and lay the foundations for innovative interventions to help staff improve their compliance with the 5 moments for hand hygiene, and in turn reducing the risk of infection for the patients within their care.</w:t>
      </w:r>
      <w:r>
        <w:br/>
      </w:r>
    </w:p>
    <w:p w14:paraId="0DAF2061" w14:textId="1279F2BF" w:rsidR="00F52342" w:rsidRDefault="00F52342" w:rsidP="62CC6759">
      <w:pPr>
        <w:rPr>
          <w:rFonts w:ascii="Arial Nova" w:eastAsia="Arial Nova" w:hAnsi="Arial Nova" w:cs="Arial Nova"/>
          <w:sz w:val="24"/>
          <w:szCs w:val="24"/>
        </w:rPr>
      </w:pPr>
    </w:p>
    <w:p w14:paraId="6B624421" w14:textId="33DC8F6A" w:rsidR="00F52342" w:rsidRDefault="00F52342" w:rsidP="62CC6759">
      <w:pPr>
        <w:rPr>
          <w:rFonts w:ascii="Arial Nova" w:eastAsia="Arial Nova" w:hAnsi="Arial Nova" w:cs="Arial Nova"/>
          <w:sz w:val="24"/>
          <w:szCs w:val="24"/>
        </w:rPr>
      </w:pPr>
    </w:p>
    <w:p w14:paraId="2F769EDD" w14:textId="74B95774" w:rsidR="00F52342" w:rsidRDefault="00F52342" w:rsidP="62CC6759">
      <w:pPr>
        <w:rPr>
          <w:rFonts w:ascii="Arial Nova" w:eastAsia="Arial Nova" w:hAnsi="Arial Nova" w:cs="Arial Nova"/>
          <w:sz w:val="24"/>
          <w:szCs w:val="24"/>
        </w:rPr>
      </w:pPr>
    </w:p>
    <w:p w14:paraId="055CEED0" w14:textId="594243CE" w:rsidR="00F52342" w:rsidRDefault="00F52342" w:rsidP="62CC6759">
      <w:pPr>
        <w:rPr>
          <w:rFonts w:ascii="Arial Nova" w:eastAsia="Arial Nova" w:hAnsi="Arial Nova" w:cs="Arial Nova"/>
          <w:sz w:val="24"/>
          <w:szCs w:val="24"/>
        </w:rPr>
      </w:pPr>
    </w:p>
    <w:p w14:paraId="5E30100C" w14:textId="74E490DF" w:rsidR="00F52342" w:rsidRDefault="00F52342" w:rsidP="62CC6759">
      <w:pPr>
        <w:rPr>
          <w:rFonts w:ascii="Arial Nova" w:eastAsia="Arial Nova" w:hAnsi="Arial Nova" w:cs="Arial Nova"/>
          <w:sz w:val="24"/>
          <w:szCs w:val="24"/>
        </w:rPr>
      </w:pPr>
    </w:p>
    <w:p w14:paraId="7F96A628" w14:textId="51714324" w:rsidR="00F52342" w:rsidRDefault="00F52342" w:rsidP="62CC6759">
      <w:pPr>
        <w:rPr>
          <w:rFonts w:ascii="Arial Nova" w:eastAsia="Arial Nova" w:hAnsi="Arial Nova" w:cs="Arial Nova"/>
          <w:sz w:val="24"/>
          <w:szCs w:val="24"/>
        </w:rPr>
      </w:pPr>
    </w:p>
    <w:p w14:paraId="0129AA9A" w14:textId="3682865A" w:rsidR="00F52342" w:rsidRDefault="00F52342" w:rsidP="62CC6759">
      <w:pPr>
        <w:rPr>
          <w:rFonts w:ascii="Arial Nova" w:eastAsia="Arial Nova" w:hAnsi="Arial Nova" w:cs="Arial Nova"/>
          <w:sz w:val="24"/>
          <w:szCs w:val="24"/>
        </w:rPr>
      </w:pPr>
    </w:p>
    <w:p w14:paraId="4868EB36" w14:textId="7C14449D" w:rsidR="00F52342" w:rsidRDefault="00F52342" w:rsidP="62CC6759">
      <w:pPr>
        <w:rPr>
          <w:rFonts w:ascii="Arial Nova" w:eastAsia="Arial Nova" w:hAnsi="Arial Nova" w:cs="Arial Nova"/>
          <w:sz w:val="24"/>
          <w:szCs w:val="24"/>
        </w:rPr>
      </w:pPr>
    </w:p>
    <w:p w14:paraId="30993E9C" w14:textId="0203BF04" w:rsidR="00F52342" w:rsidRDefault="00F52342" w:rsidP="62CC6759">
      <w:pPr>
        <w:rPr>
          <w:rFonts w:ascii="Arial Nova" w:eastAsia="Arial Nova" w:hAnsi="Arial Nova" w:cs="Arial Nova"/>
          <w:sz w:val="24"/>
          <w:szCs w:val="24"/>
        </w:rPr>
      </w:pPr>
    </w:p>
    <w:p w14:paraId="64C3B5D9" w14:textId="432424EB" w:rsidR="00F52342" w:rsidRDefault="00F52342" w:rsidP="62CC6759">
      <w:pPr>
        <w:rPr>
          <w:rFonts w:ascii="Arial Nova" w:eastAsia="Arial Nova" w:hAnsi="Arial Nova" w:cs="Arial Nova"/>
          <w:sz w:val="24"/>
          <w:szCs w:val="24"/>
        </w:rPr>
      </w:pPr>
    </w:p>
    <w:p w14:paraId="5CA9291B" w14:textId="609AD390" w:rsidR="00F52342" w:rsidRDefault="00F52342" w:rsidP="62CC6759">
      <w:pPr>
        <w:rPr>
          <w:rFonts w:ascii="Arial Nova" w:eastAsia="Arial Nova" w:hAnsi="Arial Nova" w:cs="Arial Nova"/>
          <w:sz w:val="24"/>
          <w:szCs w:val="24"/>
        </w:rPr>
      </w:pPr>
    </w:p>
    <w:p w14:paraId="2EB32497" w14:textId="298F7033" w:rsidR="00F52342" w:rsidRDefault="00F52342" w:rsidP="62CC6759">
      <w:pPr>
        <w:rPr>
          <w:rFonts w:ascii="Arial Nova" w:eastAsia="Arial Nova" w:hAnsi="Arial Nova" w:cs="Arial Nova"/>
          <w:sz w:val="24"/>
          <w:szCs w:val="24"/>
        </w:rPr>
      </w:pPr>
    </w:p>
    <w:p w14:paraId="7ED028F8" w14:textId="12C0A723" w:rsidR="00F52342" w:rsidRDefault="00F52342" w:rsidP="62CC6759">
      <w:pPr>
        <w:rPr>
          <w:rFonts w:ascii="Arial Nova" w:eastAsia="Arial Nova" w:hAnsi="Arial Nova" w:cs="Arial Nova"/>
          <w:sz w:val="24"/>
          <w:szCs w:val="24"/>
        </w:rPr>
      </w:pPr>
    </w:p>
    <w:p w14:paraId="03D892B4" w14:textId="2680C495" w:rsidR="00F52342" w:rsidRDefault="00F52342" w:rsidP="62CC6759">
      <w:pPr>
        <w:rPr>
          <w:rFonts w:ascii="Arial Nova" w:eastAsia="Arial Nova" w:hAnsi="Arial Nova" w:cs="Arial Nova"/>
          <w:sz w:val="24"/>
          <w:szCs w:val="24"/>
        </w:rPr>
      </w:pPr>
    </w:p>
    <w:p w14:paraId="35023CA8" w14:textId="31DDB92C" w:rsidR="00F52342" w:rsidRDefault="00F52342" w:rsidP="62CC6759">
      <w:pPr>
        <w:rPr>
          <w:rFonts w:ascii="Arial Nova" w:eastAsia="Arial Nova" w:hAnsi="Arial Nova" w:cs="Arial Nova"/>
          <w:sz w:val="24"/>
          <w:szCs w:val="24"/>
        </w:rPr>
      </w:pPr>
    </w:p>
    <w:p w14:paraId="2215930B" w14:textId="30B6E078" w:rsidR="00F52342" w:rsidRDefault="00F52342" w:rsidP="62CC6759">
      <w:pPr>
        <w:rPr>
          <w:rFonts w:ascii="Arial Nova" w:eastAsia="Arial Nova" w:hAnsi="Arial Nova" w:cs="Arial Nova"/>
          <w:sz w:val="24"/>
          <w:szCs w:val="24"/>
        </w:rPr>
      </w:pPr>
    </w:p>
    <w:p w14:paraId="72CE1C67" w14:textId="6824A030" w:rsidR="00F52342" w:rsidRDefault="00F52342" w:rsidP="62CC6759">
      <w:pPr>
        <w:rPr>
          <w:rFonts w:ascii="Arial Nova" w:eastAsia="Arial Nova" w:hAnsi="Arial Nova" w:cs="Arial Nova"/>
          <w:sz w:val="24"/>
          <w:szCs w:val="24"/>
        </w:rPr>
      </w:pPr>
    </w:p>
    <w:p w14:paraId="60224C8B" w14:textId="1EDF5B0C" w:rsidR="00F52342" w:rsidRDefault="00F52342" w:rsidP="62CC6759">
      <w:pPr>
        <w:rPr>
          <w:rFonts w:ascii="Arial Nova" w:eastAsia="Arial Nova" w:hAnsi="Arial Nova" w:cs="Arial Nova"/>
          <w:sz w:val="24"/>
          <w:szCs w:val="24"/>
        </w:rPr>
      </w:pPr>
    </w:p>
    <w:p w14:paraId="79B49A12" w14:textId="77777777" w:rsidR="00F52342" w:rsidRDefault="00F52342" w:rsidP="62CC6759">
      <w:pPr>
        <w:rPr>
          <w:rFonts w:ascii="Arial Nova" w:eastAsia="Arial Nova" w:hAnsi="Arial Nova" w:cs="Arial Nova"/>
          <w:sz w:val="24"/>
          <w:szCs w:val="24"/>
        </w:rPr>
      </w:pPr>
    </w:p>
    <w:p w14:paraId="4C20407F" w14:textId="580DC941" w:rsidR="62CC6759" w:rsidRDefault="62CC6759" w:rsidP="62CC6759">
      <w:pPr>
        <w:rPr>
          <w:rFonts w:ascii="Arial Nova" w:eastAsia="Arial Nova" w:hAnsi="Arial Nova" w:cs="Arial Nova"/>
          <w:sz w:val="24"/>
          <w:szCs w:val="24"/>
        </w:rPr>
      </w:pPr>
      <w:r w:rsidRPr="62CC6759">
        <w:rPr>
          <w:rFonts w:ascii="Arial Nova" w:eastAsia="Arial Nova" w:hAnsi="Arial Nova" w:cs="Arial Nova"/>
          <w:b/>
          <w:bCs/>
          <w:sz w:val="28"/>
          <w:szCs w:val="28"/>
        </w:rPr>
        <w:lastRenderedPageBreak/>
        <w:t>References</w:t>
      </w:r>
    </w:p>
    <w:p w14:paraId="61DF0D9E" w14:textId="44D6F8A7"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Allegranzi, B. and Pittet, D. (2009) ‘Role of hand hygiene in healthcare-associated infection prevention’,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73(4), pp. 305-315. DOI: 10.1016/j.jhin.2009.04.019</w:t>
      </w:r>
    </w:p>
    <w:p w14:paraId="615AF81F" w14:textId="3E1E0E14"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Alur, A.A.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(2009) ‘Simulated microbe removal around finger rings using different hand sanitation methods’, </w:t>
      </w:r>
      <w:r w:rsidRPr="62CC6759">
        <w:rPr>
          <w:rFonts w:ascii="Arial Nova" w:eastAsia="Arial Nova" w:hAnsi="Arial Nova" w:cs="Arial Nova"/>
          <w:i/>
          <w:iCs/>
          <w:color w:val="000000" w:themeColor="text1"/>
          <w:sz w:val="24"/>
          <w:szCs w:val="24"/>
        </w:rPr>
        <w:t xml:space="preserve">International Journal of Oral Science, </w:t>
      </w:r>
      <w:r w:rsidRPr="62CC6759">
        <w:rPr>
          <w:rFonts w:ascii="Arial Nova" w:eastAsia="Arial Nova" w:hAnsi="Arial Nova" w:cs="Arial Nova"/>
          <w:color w:val="000000" w:themeColor="text1"/>
          <w:sz w:val="24"/>
          <w:szCs w:val="24"/>
        </w:rPr>
        <w:t>1(3), pp. 136-142. DOI: 10.4248/IJOS.09061</w:t>
      </w:r>
    </w:p>
    <w:p w14:paraId="0E25C446" w14:textId="26B25C54"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Bishop, S.M.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(2020) ‘Impact of an automated hand hygiene reminder alert on healthcare worker hand hygiene compliance’,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48(8), p. S54. DOI: 10.1016/j.ajic.2020.06.027</w:t>
      </w:r>
    </w:p>
    <w:p w14:paraId="24916420" w14:textId="60772A3F"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Bonifacic, I. (2021) </w:t>
      </w:r>
      <w:r w:rsidRPr="62CC6759">
        <w:rPr>
          <w:rFonts w:ascii="Arial Nova" w:eastAsia="Arial Nova" w:hAnsi="Arial Nova" w:cs="Arial Nova"/>
          <w:i/>
          <w:iCs/>
          <w:color w:val="000000" w:themeColor="text1"/>
          <w:sz w:val="24"/>
          <w:szCs w:val="24"/>
        </w:rPr>
        <w:t xml:space="preserve">Amazon made a $55 soap dispenser that reminds you to wash for 20 seconds. </w:t>
      </w:r>
      <w:r w:rsidRPr="62CC6759">
        <w:rPr>
          <w:rFonts w:ascii="Arial Nova" w:eastAsia="Arial Nova" w:hAnsi="Arial Nova" w:cs="Arial Nova"/>
          <w:color w:val="000000" w:themeColor="text1"/>
          <w:sz w:val="24"/>
          <w:szCs w:val="24"/>
        </w:rPr>
        <w:t xml:space="preserve">Available at: </w:t>
      </w:r>
      <w:hyperlink r:id="rId7">
        <w:r w:rsidRPr="62CC6759">
          <w:rPr>
            <w:rStyle w:val="Hyperlink"/>
            <w:rFonts w:ascii="Arial Nova" w:eastAsia="Arial Nova" w:hAnsi="Arial Nova" w:cs="Arial Nova"/>
            <w:sz w:val="24"/>
            <w:szCs w:val="24"/>
          </w:rPr>
          <w:t>https://www.engadget.com/amazon-smart-soap-dispenser-200025903.html</w:t>
        </w:r>
      </w:hyperlink>
      <w:r w:rsidRPr="62CC6759">
        <w:rPr>
          <w:rFonts w:ascii="Arial Nova" w:eastAsia="Arial Nova" w:hAnsi="Arial Nova" w:cs="Arial Nova"/>
          <w:color w:val="000000" w:themeColor="text1"/>
          <w:sz w:val="24"/>
          <w:szCs w:val="24"/>
        </w:rPr>
        <w:t xml:space="preserve"> (Accessed: 10 May 2022).</w:t>
      </w:r>
    </w:p>
    <w:p w14:paraId="0E9EECF5" w14:textId="5F1BCC16"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Boyce, J.M. (2017) ‘Electronic monitoring in combination with direct observation as a means to significantly improve hand hygiene compliance’,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45(5), pp. 528-535. DOI: 0.1016/j.ajic.2016.11.029</w:t>
      </w:r>
    </w:p>
    <w:p w14:paraId="2B6185FA" w14:textId="111F41E8"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Cardiff and Vale University Health Board (2015) </w:t>
      </w:r>
      <w:r w:rsidRPr="62CC6759">
        <w:rPr>
          <w:rFonts w:ascii="Arial Nova" w:eastAsia="Arial Nova" w:hAnsi="Arial Nova" w:cs="Arial Nova"/>
          <w:i/>
          <w:iCs/>
          <w:color w:val="000000" w:themeColor="text1"/>
          <w:sz w:val="24"/>
          <w:szCs w:val="24"/>
        </w:rPr>
        <w:t xml:space="preserve">Hand hygiene audit proforma. </w:t>
      </w:r>
      <w:r w:rsidRPr="62CC6759">
        <w:rPr>
          <w:rFonts w:ascii="Arial Nova" w:eastAsia="Arial Nova" w:hAnsi="Arial Nova" w:cs="Arial Nova"/>
          <w:color w:val="000000" w:themeColor="text1"/>
          <w:sz w:val="24"/>
          <w:szCs w:val="24"/>
        </w:rPr>
        <w:t>Internal Cardiff and Vale University Health Board document. Unpublished.</w:t>
      </w:r>
    </w:p>
    <w:p w14:paraId="08D99E06" w14:textId="2C8A0254"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Cardiff and Vale University Health Board (2016) </w:t>
      </w:r>
      <w:r w:rsidRPr="62CC6759">
        <w:rPr>
          <w:rFonts w:ascii="Arial Nova" w:eastAsia="Arial Nova" w:hAnsi="Arial Nova" w:cs="Arial Nova"/>
          <w:i/>
          <w:iCs/>
          <w:color w:val="000000" w:themeColor="text1"/>
          <w:sz w:val="24"/>
          <w:szCs w:val="24"/>
        </w:rPr>
        <w:t xml:space="preserve">Information folder. </w:t>
      </w:r>
      <w:r w:rsidRPr="62CC6759">
        <w:rPr>
          <w:rFonts w:ascii="Arial Nova" w:eastAsia="Arial Nova" w:hAnsi="Arial Nova" w:cs="Arial Nova"/>
          <w:color w:val="000000" w:themeColor="text1"/>
          <w:sz w:val="24"/>
          <w:szCs w:val="24"/>
        </w:rPr>
        <w:t xml:space="preserve">Available at: </w:t>
      </w:r>
      <w:hyperlink r:id="rId8">
        <w:r w:rsidRPr="62CC6759">
          <w:rPr>
            <w:rStyle w:val="Hyperlink"/>
            <w:rFonts w:ascii="Arial Nova" w:eastAsia="Arial Nova" w:hAnsi="Arial Nova" w:cs="Arial Nova"/>
            <w:sz w:val="24"/>
            <w:szCs w:val="24"/>
          </w:rPr>
          <w:t>http://www.cardiffandvaleuhb.wales.nhs.uk/sitesplus/documents/1143/inpatient%20information%20folder%20english%20internet%20final%20250815.pdf</w:t>
        </w:r>
      </w:hyperlink>
      <w:r w:rsidRPr="62CC6759">
        <w:rPr>
          <w:rFonts w:ascii="Arial Nova" w:eastAsia="Arial Nova" w:hAnsi="Arial Nova" w:cs="Arial Nova"/>
          <w:color w:val="000000" w:themeColor="text1"/>
          <w:sz w:val="24"/>
          <w:szCs w:val="24"/>
        </w:rPr>
        <w:t xml:space="preserve"> (Accessed: 15 May 2022).</w:t>
      </w:r>
    </w:p>
    <w:p w14:paraId="48F3D9AC" w14:textId="66FC1756"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Cardiff and Vale University Health Board (2021a) </w:t>
      </w:r>
      <w:r w:rsidRPr="62CC6759">
        <w:rPr>
          <w:rFonts w:ascii="Arial Nova" w:eastAsia="Arial Nova" w:hAnsi="Arial Nova" w:cs="Arial Nova"/>
          <w:i/>
          <w:iCs/>
          <w:color w:val="000000" w:themeColor="text1"/>
          <w:sz w:val="24"/>
          <w:szCs w:val="24"/>
        </w:rPr>
        <w:t xml:space="preserve">QSE Public bundle. </w:t>
      </w:r>
      <w:r w:rsidRPr="62CC6759">
        <w:rPr>
          <w:rFonts w:ascii="Arial Nova" w:eastAsia="Arial Nova" w:hAnsi="Arial Nova" w:cs="Arial Nova"/>
          <w:color w:val="000000" w:themeColor="text1"/>
          <w:sz w:val="24"/>
          <w:szCs w:val="24"/>
        </w:rPr>
        <w:t xml:space="preserve">Available at: </w:t>
      </w:r>
      <w:hyperlink r:id="rId9">
        <w:r w:rsidRPr="62CC6759">
          <w:rPr>
            <w:rStyle w:val="Hyperlink"/>
            <w:rFonts w:ascii="Arial Nova" w:eastAsia="Arial Nova" w:hAnsi="Arial Nova" w:cs="Arial Nova"/>
            <w:i/>
            <w:iCs/>
            <w:sz w:val="24"/>
            <w:szCs w:val="24"/>
          </w:rPr>
          <w:t>https://cavuhb.nhs.wales/files/board-and-committees/quality-safety-and-patient-experience-committee-2021-22/15-06-2021-qse-public-bundle-pdf/</w:t>
        </w:r>
      </w:hyperlink>
      <w:r w:rsidRPr="62CC6759">
        <w:rPr>
          <w:rFonts w:ascii="Arial Nova" w:eastAsia="Arial Nova" w:hAnsi="Arial Nova" w:cs="Arial Nova"/>
          <w:i/>
          <w:iCs/>
          <w:color w:val="000000" w:themeColor="text1"/>
          <w:sz w:val="24"/>
          <w:szCs w:val="24"/>
        </w:rPr>
        <w:t xml:space="preserve"> </w:t>
      </w:r>
      <w:r w:rsidRPr="62CC6759">
        <w:rPr>
          <w:rFonts w:ascii="Arial Nova" w:eastAsia="Arial Nova" w:hAnsi="Arial Nova" w:cs="Arial Nova"/>
          <w:color w:val="000000" w:themeColor="text1"/>
          <w:sz w:val="24"/>
          <w:szCs w:val="24"/>
        </w:rPr>
        <w:t>(Accessed: 10 May 2022).</w:t>
      </w:r>
    </w:p>
    <w:p w14:paraId="7FE64C58" w14:textId="62AE1E63"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Cardiff and Vale University Health Board (2021b) </w:t>
      </w:r>
      <w:r w:rsidRPr="62CC6759">
        <w:rPr>
          <w:rFonts w:ascii="Arial Nova" w:eastAsia="Arial Nova" w:hAnsi="Arial Nova" w:cs="Arial Nova"/>
          <w:i/>
          <w:iCs/>
          <w:color w:val="000000" w:themeColor="text1"/>
          <w:sz w:val="24"/>
          <w:szCs w:val="24"/>
        </w:rPr>
        <w:t xml:space="preserve">Digital health intelligence boardbook. </w:t>
      </w:r>
      <w:r w:rsidRPr="62CC6759">
        <w:rPr>
          <w:rFonts w:ascii="Arial Nova" w:eastAsia="Arial Nova" w:hAnsi="Arial Nova" w:cs="Arial Nova"/>
          <w:color w:val="000000" w:themeColor="text1"/>
          <w:sz w:val="24"/>
          <w:szCs w:val="24"/>
        </w:rPr>
        <w:t xml:space="preserve">Available at: </w:t>
      </w:r>
      <w:hyperlink r:id="rId10">
        <w:r w:rsidRPr="62CC6759">
          <w:rPr>
            <w:rStyle w:val="Hyperlink"/>
            <w:rFonts w:ascii="Arial Nova" w:eastAsia="Arial Nova" w:hAnsi="Arial Nova" w:cs="Arial Nova"/>
            <w:sz w:val="24"/>
            <w:szCs w:val="24"/>
          </w:rPr>
          <w:t>https://cavuhb.nhs.wales/files/board-and-committees/digital-health-intelligence-committee-2021-22/2021-10-05-final-boardbook-v2-pdf/</w:t>
        </w:r>
      </w:hyperlink>
      <w:r w:rsidRPr="62CC6759">
        <w:rPr>
          <w:rFonts w:ascii="Arial Nova" w:eastAsia="Arial Nova" w:hAnsi="Arial Nova" w:cs="Arial Nova"/>
          <w:color w:val="000000" w:themeColor="text1"/>
          <w:sz w:val="24"/>
          <w:szCs w:val="24"/>
        </w:rPr>
        <w:t xml:space="preserve"> (Accessed: 9 May 2022).</w:t>
      </w:r>
    </w:p>
    <w:p w14:paraId="7ACC37F8" w14:textId="5528C332"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Cardiff and Vale University Health Board (2022) </w:t>
      </w:r>
      <w:r w:rsidRPr="62CC6759">
        <w:rPr>
          <w:rFonts w:ascii="Arial Nova" w:eastAsia="Arial Nova" w:hAnsi="Arial Nova" w:cs="Arial Nova"/>
          <w:i/>
          <w:iCs/>
          <w:color w:val="000000" w:themeColor="text1"/>
          <w:sz w:val="24"/>
          <w:szCs w:val="24"/>
        </w:rPr>
        <w:t xml:space="preserve">Hospitals and health centres. </w:t>
      </w:r>
      <w:r w:rsidRPr="62CC6759">
        <w:rPr>
          <w:rFonts w:ascii="Arial Nova" w:eastAsia="Arial Nova" w:hAnsi="Arial Nova" w:cs="Arial Nova"/>
          <w:color w:val="000000" w:themeColor="text1"/>
          <w:sz w:val="24"/>
          <w:szCs w:val="24"/>
        </w:rPr>
        <w:t xml:space="preserve">Available at: </w:t>
      </w:r>
      <w:hyperlink r:id="rId11">
        <w:r w:rsidRPr="62CC6759">
          <w:rPr>
            <w:rStyle w:val="Hyperlink"/>
            <w:rFonts w:ascii="Arial Nova" w:eastAsia="Arial Nova" w:hAnsi="Arial Nova" w:cs="Arial Nova"/>
            <w:sz w:val="24"/>
            <w:szCs w:val="24"/>
          </w:rPr>
          <w:t>https://cavuhb.nhs.wales/hospitals-and-health-centres/</w:t>
        </w:r>
      </w:hyperlink>
      <w:r w:rsidRPr="62CC6759">
        <w:rPr>
          <w:rFonts w:ascii="Arial Nova" w:eastAsia="Arial Nova" w:hAnsi="Arial Nova" w:cs="Arial Nova"/>
          <w:color w:val="000000" w:themeColor="text1"/>
          <w:sz w:val="24"/>
          <w:szCs w:val="24"/>
        </w:rPr>
        <w:t xml:space="preserve"> (Accessed: 9 May 2022).</w:t>
      </w:r>
    </w:p>
    <w:p w14:paraId="2E0509C8" w14:textId="1FEE9BB6"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Cheng, V.C.C.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(2011) ‘Introduction of an electronic monitoring system for monitoring compliance with moments 1 and 4 of the WHO “My 4 moments for hand </w:t>
      </w:r>
      <w:r w:rsidRPr="62CC6759">
        <w:rPr>
          <w:rFonts w:ascii="Arial Nova" w:eastAsia="Arial Nova" w:hAnsi="Arial Nova" w:cs="Arial Nova"/>
          <w:color w:val="000000" w:themeColor="text1"/>
          <w:sz w:val="24"/>
          <w:szCs w:val="24"/>
        </w:rPr>
        <w:lastRenderedPageBreak/>
        <w:t xml:space="preserve">hygiene” methodology’, </w:t>
      </w:r>
      <w:r w:rsidRPr="62CC6759">
        <w:rPr>
          <w:rFonts w:ascii="Arial Nova" w:eastAsia="Arial Nova" w:hAnsi="Arial Nova" w:cs="Arial Nova"/>
          <w:i/>
          <w:iCs/>
          <w:color w:val="000000" w:themeColor="text1"/>
          <w:sz w:val="24"/>
          <w:szCs w:val="24"/>
        </w:rPr>
        <w:t xml:space="preserve">BMC Infectious Diseases, </w:t>
      </w:r>
      <w:r w:rsidRPr="62CC6759">
        <w:rPr>
          <w:rFonts w:ascii="Arial Nova" w:eastAsia="Arial Nova" w:hAnsi="Arial Nova" w:cs="Arial Nova"/>
          <w:color w:val="000000" w:themeColor="text1"/>
          <w:sz w:val="24"/>
          <w:szCs w:val="24"/>
        </w:rPr>
        <w:t>11(1), p. 151. DOI: 10.1186/1471-2334-11-151</w:t>
      </w:r>
    </w:p>
    <w:p w14:paraId="31CF19DC" w14:textId="31472F8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Conway, L.J. (2016) ‘Challenges in implementing electronic hand hygiene monitoring systems’,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44(5), pp. 7-12. DOI: 10.1016/j.ajic.2015.11.031</w:t>
      </w:r>
    </w:p>
    <w:p w14:paraId="2986DA63" w14:textId="1517D4D3"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Debnath, R. (2010) </w:t>
      </w:r>
      <w:r w:rsidRPr="62CC6759">
        <w:rPr>
          <w:rFonts w:ascii="Arial Nova" w:eastAsia="Arial Nova" w:hAnsi="Arial Nova" w:cs="Arial Nova"/>
          <w:i/>
          <w:iCs/>
          <w:color w:val="000000" w:themeColor="text1"/>
          <w:sz w:val="24"/>
          <w:szCs w:val="24"/>
        </w:rPr>
        <w:t xml:space="preserve">Professional skills in nursing: A guide for the common foundation programme. </w:t>
      </w:r>
      <w:r w:rsidRPr="62CC6759">
        <w:rPr>
          <w:rFonts w:ascii="Arial Nova" w:eastAsia="Arial Nova" w:hAnsi="Arial Nova" w:cs="Arial Nova"/>
          <w:color w:val="000000" w:themeColor="text1"/>
          <w:sz w:val="24"/>
          <w:szCs w:val="24"/>
        </w:rPr>
        <w:t>London: SAGE.</w:t>
      </w:r>
    </w:p>
    <w:p w14:paraId="192BF8B9" w14:textId="4ECB27EF"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Filho, M.A.O. </w:t>
      </w:r>
      <w:r w:rsidRPr="62CC6759">
        <w:rPr>
          <w:rFonts w:ascii="Arial Nova" w:eastAsia="Arial Nova" w:hAnsi="Arial Nova" w:cs="Arial Nova"/>
          <w:i/>
          <w:iCs/>
          <w:color w:val="000000" w:themeColor="text1"/>
          <w:sz w:val="24"/>
          <w:szCs w:val="24"/>
        </w:rPr>
        <w:t>et al.</w:t>
      </w:r>
      <w:r w:rsidRPr="62CC6759">
        <w:rPr>
          <w:rFonts w:ascii="Arial Nova" w:eastAsia="Arial Nova" w:hAnsi="Arial Nova" w:cs="Arial Nova"/>
          <w:color w:val="000000" w:themeColor="text1"/>
          <w:sz w:val="24"/>
          <w:szCs w:val="24"/>
        </w:rPr>
        <w:t xml:space="preserve"> (2014) ‘Comparison of human and electronic observation for the measurement of compliance with hand hygiene’,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42(11), pp. 1188-1192. DOI: 10.1016/j.ajic.2014.07.031</w:t>
      </w:r>
    </w:p>
    <w:p w14:paraId="7E0D2412" w14:textId="0F58EF7D"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Gould, D. (2010) ‘Auditing hand hygiene practice’, </w:t>
      </w:r>
      <w:r w:rsidRPr="62CC6759">
        <w:rPr>
          <w:rFonts w:ascii="Arial Nova" w:eastAsia="Arial Nova" w:hAnsi="Arial Nova" w:cs="Arial Nova"/>
          <w:i/>
          <w:iCs/>
          <w:color w:val="000000" w:themeColor="text1"/>
          <w:sz w:val="24"/>
          <w:szCs w:val="24"/>
        </w:rPr>
        <w:t xml:space="preserve">Nursing Standard, </w:t>
      </w:r>
      <w:r w:rsidRPr="62CC6759">
        <w:rPr>
          <w:rFonts w:ascii="Arial Nova" w:eastAsia="Arial Nova" w:hAnsi="Arial Nova" w:cs="Arial Nova"/>
          <w:color w:val="000000" w:themeColor="text1"/>
          <w:sz w:val="24"/>
          <w:szCs w:val="24"/>
        </w:rPr>
        <w:t>25(2), pp. 50-56, DOI: 10.7748/ns2010.09.25.2.50.c7988</w:t>
      </w:r>
    </w:p>
    <w:p w14:paraId="0F53A75A" w14:textId="2B681835"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Gould, D.J. Drey, N.S. and Creedon, S. (2011) ‘Routine hand hygiene audit by direct observation: has nemesis arrived?’,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77(4), pp. 290-293, DOI: 10.1016/j.jhin.2010.12.011</w:t>
      </w:r>
    </w:p>
    <w:p w14:paraId="7B0BF344" w14:textId="45B5915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Harrison, R.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(2021) ‘Where do models for change management, improvement and implementation meet? A systematic review of the applications of change management models in healthcare’, </w:t>
      </w:r>
      <w:r w:rsidRPr="62CC6759">
        <w:rPr>
          <w:rFonts w:ascii="Arial Nova" w:eastAsia="Arial Nova" w:hAnsi="Arial Nova" w:cs="Arial Nova"/>
          <w:i/>
          <w:iCs/>
          <w:color w:val="000000" w:themeColor="text1"/>
          <w:sz w:val="24"/>
          <w:szCs w:val="24"/>
        </w:rPr>
        <w:t xml:space="preserve">Journal of Healthcare Leadership, </w:t>
      </w:r>
      <w:r w:rsidRPr="62CC6759">
        <w:rPr>
          <w:rFonts w:ascii="Arial Nova" w:eastAsia="Arial Nova" w:hAnsi="Arial Nova" w:cs="Arial Nova"/>
          <w:color w:val="000000" w:themeColor="text1"/>
          <w:sz w:val="24"/>
          <w:szCs w:val="24"/>
        </w:rPr>
        <w:t>13, pp. 85-108. DOI: 10.2147/JHL.S289176</w:t>
      </w:r>
    </w:p>
    <w:p w14:paraId="2F703FD4" w14:textId="67E2D84D"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Higgins, A. and Hannan, M.M. (2013) ‘Improved hand hygiene technique and compliance in healthcare workers using gaming technology’,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84(1), pp. 32-37, DOI: 10.1016/j.jhin.2013.02.004</w:t>
      </w:r>
    </w:p>
    <w:p w14:paraId="5733B737" w14:textId="5DC3D233"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Huang, F.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(2021) ‘COVID-19 outbreak and healthcare worker behavioural change toward hand hygiene practices’,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111, pp. 27-34. DOI: 10.1016/j.jhin.2021.03.004</w:t>
      </w:r>
    </w:p>
    <w:p w14:paraId="7496B213" w14:textId="15F6818B"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Jeanes, A.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(2015) ‘Collecting the data but missing the point: validity of hand hygiene audit data’,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90(2), pp. 156-162, DOI: 10.1016/j.jhin.2015.02.018</w:t>
      </w:r>
    </w:p>
    <w:p w14:paraId="35F27DA5" w14:textId="7354777F"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Jones, D. (2022) Electronic message sent to Matt McCarthy, 9 May.</w:t>
      </w:r>
    </w:p>
    <w:p w14:paraId="64D9AB89" w14:textId="0369F064"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Kanagasabai, U.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(2021) ‘The impact of water sanitation and hygiene (WASH) improvements on hand hygiene at two Liberian hospitals during the recovery phase of an ebola epidemic’, </w:t>
      </w:r>
      <w:r w:rsidRPr="62CC6759">
        <w:rPr>
          <w:rFonts w:ascii="Arial Nova" w:eastAsia="Arial Nova" w:hAnsi="Arial Nova" w:cs="Arial Nova"/>
          <w:i/>
          <w:iCs/>
          <w:color w:val="000000" w:themeColor="text1"/>
          <w:sz w:val="24"/>
          <w:szCs w:val="24"/>
        </w:rPr>
        <w:t xml:space="preserve">International Journal of Environmental Research and Public Health, </w:t>
      </w:r>
      <w:r w:rsidRPr="62CC6759">
        <w:rPr>
          <w:rFonts w:ascii="Arial Nova" w:eastAsia="Arial Nova" w:hAnsi="Arial Nova" w:cs="Arial Nova"/>
          <w:color w:val="000000" w:themeColor="text1"/>
          <w:sz w:val="24"/>
          <w:szCs w:val="24"/>
        </w:rPr>
        <w:t>18(7), pp. 3409. DOI: 10.3390/ijerph18073409</w:t>
      </w:r>
    </w:p>
    <w:p w14:paraId="7A4AA296" w14:textId="60A337B6"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lastRenderedPageBreak/>
        <w:t xml:space="preserve">Lacey, G.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(2020) ‘The impact of automatic video auditing with real-time feedback on the quality and quantity of handwash events in a hospital setting’,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48(2), pp. 162-166. DOI: 10.1016/j.ajic.2019.06.015</w:t>
      </w:r>
    </w:p>
    <w:p w14:paraId="50F56E8D" w14:textId="352FA5FB"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Larson, E.L.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(2000) ‘An organizational climate intervention associated with increased handwashing and decreased nosocomial infections’, </w:t>
      </w:r>
      <w:r w:rsidRPr="62CC6759">
        <w:rPr>
          <w:rFonts w:ascii="Arial Nova" w:eastAsia="Arial Nova" w:hAnsi="Arial Nova" w:cs="Arial Nova"/>
          <w:i/>
          <w:iCs/>
          <w:color w:val="000000" w:themeColor="text1"/>
          <w:sz w:val="24"/>
          <w:szCs w:val="24"/>
        </w:rPr>
        <w:t xml:space="preserve">Behavioral Medicine, </w:t>
      </w:r>
      <w:r w:rsidRPr="62CC6759">
        <w:rPr>
          <w:rFonts w:ascii="Arial Nova" w:eastAsia="Arial Nova" w:hAnsi="Arial Nova" w:cs="Arial Nova"/>
          <w:color w:val="000000" w:themeColor="text1"/>
          <w:sz w:val="24"/>
          <w:szCs w:val="24"/>
        </w:rPr>
        <w:t>26(1), pp. 14-22. DOI: 10.1080/08964280009595749</w:t>
      </w:r>
    </w:p>
    <w:p w14:paraId="01B71F22" w14:textId="074FA1D3"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Levin, P.D.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(2019) ‘Obstacles to the successful introduction of an electronic hand hygiene monitoring system, a cohort observational study’, </w:t>
      </w:r>
      <w:r w:rsidRPr="62CC6759">
        <w:rPr>
          <w:rFonts w:ascii="Arial Nova" w:eastAsia="Arial Nova" w:hAnsi="Arial Nova" w:cs="Arial Nova"/>
          <w:i/>
          <w:iCs/>
          <w:color w:val="000000" w:themeColor="text1"/>
          <w:sz w:val="24"/>
          <w:szCs w:val="24"/>
        </w:rPr>
        <w:t xml:space="preserve">Antimicrobial Resistance &amp; Infection Control, </w:t>
      </w:r>
      <w:r w:rsidRPr="62CC6759">
        <w:rPr>
          <w:rFonts w:ascii="Arial Nova" w:eastAsia="Arial Nova" w:hAnsi="Arial Nova" w:cs="Arial Nova"/>
          <w:color w:val="000000" w:themeColor="text1"/>
          <w:sz w:val="24"/>
          <w:szCs w:val="24"/>
        </w:rPr>
        <w:t>8(1), pp. 43. DOI: 10.1186/s13756-019-0498-2</w:t>
      </w:r>
    </w:p>
    <w:p w14:paraId="4A0934F1" w14:textId="46AA0242"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Local Partnerships (2012) </w:t>
      </w:r>
      <w:r w:rsidRPr="62CC6759">
        <w:rPr>
          <w:rFonts w:ascii="Arial Nova" w:eastAsia="Arial Nova" w:hAnsi="Arial Nova" w:cs="Arial Nova"/>
          <w:i/>
          <w:iCs/>
          <w:color w:val="000000" w:themeColor="text1"/>
          <w:sz w:val="24"/>
          <w:szCs w:val="24"/>
        </w:rPr>
        <w:t xml:space="preserve">Options appraisal workbook. </w:t>
      </w:r>
      <w:r w:rsidRPr="62CC6759">
        <w:rPr>
          <w:rFonts w:ascii="Arial Nova" w:eastAsia="Arial Nova" w:hAnsi="Arial Nova" w:cs="Arial Nova"/>
          <w:color w:val="000000" w:themeColor="text1"/>
          <w:sz w:val="24"/>
          <w:szCs w:val="24"/>
        </w:rPr>
        <w:t xml:space="preserve">Available at: </w:t>
      </w:r>
      <w:hyperlink r:id="rId12">
        <w:r w:rsidRPr="62CC6759">
          <w:rPr>
            <w:rStyle w:val="Hyperlink"/>
            <w:rFonts w:ascii="Arial Nova" w:eastAsia="Arial Nova" w:hAnsi="Arial Nova" w:cs="Arial Nova"/>
            <w:sz w:val="24"/>
            <w:szCs w:val="24"/>
          </w:rPr>
          <w:t>https://www.local.gov.uk/sites/default/files/documents/pas-options-appraisal-wor-7f5.pdf</w:t>
        </w:r>
      </w:hyperlink>
      <w:r w:rsidRPr="62CC6759">
        <w:rPr>
          <w:rFonts w:ascii="Arial Nova" w:eastAsia="Arial Nova" w:hAnsi="Arial Nova" w:cs="Arial Nova"/>
          <w:color w:val="000000" w:themeColor="text1"/>
          <w:sz w:val="24"/>
          <w:szCs w:val="24"/>
        </w:rPr>
        <w:t xml:space="preserve"> (Accessed: 5 May 2022).</w:t>
      </w:r>
    </w:p>
    <w:p w14:paraId="50E9A21C" w14:textId="7231124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Marra, A.R.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(2010) ‘Measuring rates of hand hygiene adherence in the intensive care setting: A comparative study of direct observation, product usage, and electronic counting devices’, </w:t>
      </w:r>
      <w:r w:rsidRPr="62CC6759">
        <w:rPr>
          <w:rFonts w:ascii="Arial Nova" w:eastAsia="Arial Nova" w:hAnsi="Arial Nova" w:cs="Arial Nova"/>
          <w:i/>
          <w:iCs/>
          <w:color w:val="000000" w:themeColor="text1"/>
          <w:sz w:val="24"/>
          <w:szCs w:val="24"/>
        </w:rPr>
        <w:t xml:space="preserve">Infection Control and Hospital Epidemiology, </w:t>
      </w:r>
      <w:r w:rsidRPr="62CC6759">
        <w:rPr>
          <w:rFonts w:ascii="Arial Nova" w:eastAsia="Arial Nova" w:hAnsi="Arial Nova" w:cs="Arial Nova"/>
          <w:color w:val="000000" w:themeColor="text1"/>
          <w:sz w:val="24"/>
          <w:szCs w:val="24"/>
        </w:rPr>
        <w:t>31(8), pp. 796-801. DOI: 10.1086/653999</w:t>
      </w:r>
    </w:p>
    <w:p w14:paraId="08F7BB87" w14:textId="06196BBE"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McAteer, J.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(2008) ‘Development of an observational measure of healthcare worker hand-hygiene behaviour: the hand-hygiene observational tool (HHOT)’, </w:t>
      </w:r>
      <w:r w:rsidRPr="62CC6759">
        <w:rPr>
          <w:rFonts w:ascii="Arial Nova" w:eastAsia="Arial Nova" w:hAnsi="Arial Nova" w:cs="Arial Nova"/>
          <w:i/>
          <w:iCs/>
          <w:color w:val="000000" w:themeColor="text1"/>
          <w:sz w:val="24"/>
          <w:szCs w:val="24"/>
        </w:rPr>
        <w:t xml:space="preserve">Journal of Hospital Infection, </w:t>
      </w:r>
      <w:r w:rsidRPr="62CC6759">
        <w:rPr>
          <w:rFonts w:ascii="Arial Nova" w:eastAsia="Arial Nova" w:hAnsi="Arial Nova" w:cs="Arial Nova"/>
          <w:color w:val="000000" w:themeColor="text1"/>
          <w:sz w:val="24"/>
          <w:szCs w:val="24"/>
        </w:rPr>
        <w:t>68(3), pp. 222-229, DOI: 10.1016/j.jhin.2007.12.009</w:t>
      </w:r>
    </w:p>
    <w:p w14:paraId="378E27B8" w14:textId="1426C700"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Morgan, D.J.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(2012) ‘Automated hand hygiene count devices may better measure compliance than human observation’,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40(10), pp. 955-959. DOI: 10.1016/j.ajic.2012.01.026</w:t>
      </w:r>
    </w:p>
    <w:p w14:paraId="6AC89106" w14:textId="594BD519"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Nursing Notes (2022) </w:t>
      </w:r>
      <w:r w:rsidRPr="62CC6759">
        <w:rPr>
          <w:rFonts w:ascii="Arial Nova" w:eastAsia="Arial Nova" w:hAnsi="Arial Nova" w:cs="Arial Nova"/>
          <w:i/>
          <w:iCs/>
          <w:color w:val="000000" w:themeColor="text1"/>
          <w:sz w:val="24"/>
          <w:szCs w:val="24"/>
        </w:rPr>
        <w:t xml:space="preserve">Agenda for change 2022/23 NHS pay scales. </w:t>
      </w:r>
      <w:r w:rsidRPr="62CC6759">
        <w:rPr>
          <w:rFonts w:ascii="Arial Nova" w:eastAsia="Arial Nova" w:hAnsi="Arial Nova" w:cs="Arial Nova"/>
          <w:color w:val="000000" w:themeColor="text1"/>
          <w:sz w:val="24"/>
          <w:szCs w:val="24"/>
        </w:rPr>
        <w:t xml:space="preserve">Available at: </w:t>
      </w:r>
      <w:hyperlink r:id="rId13">
        <w:r w:rsidRPr="62CC6759">
          <w:rPr>
            <w:rStyle w:val="Hyperlink"/>
            <w:rFonts w:ascii="Arial Nova" w:eastAsia="Arial Nova" w:hAnsi="Arial Nova" w:cs="Arial Nova"/>
            <w:sz w:val="24"/>
            <w:szCs w:val="24"/>
          </w:rPr>
          <w:t>https://nursingnotes.co.uk/agenda-for-change-nhs-pay-bands/</w:t>
        </w:r>
      </w:hyperlink>
      <w:r w:rsidRPr="62CC6759">
        <w:rPr>
          <w:rFonts w:ascii="Arial Nova" w:eastAsia="Arial Nova" w:hAnsi="Arial Nova" w:cs="Arial Nova"/>
          <w:color w:val="000000" w:themeColor="text1"/>
          <w:sz w:val="24"/>
          <w:szCs w:val="24"/>
        </w:rPr>
        <w:t xml:space="preserve"> (Accessed: 9 May 2022).</w:t>
      </w:r>
    </w:p>
    <w:p w14:paraId="2ACD06BD" w14:textId="15F74A21"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Pineles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(2014) ‘Accuracy of a radiofrequency identification (RFID) badge system to monitor hand hygiene behavior during routine clinical activities’,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42(2), pp. 144-147. DOI: 10.1016/j.ajic.2013.07.014</w:t>
      </w:r>
    </w:p>
    <w:p w14:paraId="5C3A29E2" w14:textId="5FC75098"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Pittet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(2004) ‘Hand hygiene among physicians: Performance, beliefs, and perceptions’, </w:t>
      </w:r>
      <w:r w:rsidRPr="62CC6759">
        <w:rPr>
          <w:rFonts w:ascii="Arial Nova" w:eastAsia="Arial Nova" w:hAnsi="Arial Nova" w:cs="Arial Nova"/>
          <w:i/>
          <w:iCs/>
          <w:color w:val="000000" w:themeColor="text1"/>
          <w:sz w:val="24"/>
          <w:szCs w:val="24"/>
        </w:rPr>
        <w:t xml:space="preserve">Annals of internal medicine, </w:t>
      </w:r>
      <w:r w:rsidRPr="62CC6759">
        <w:rPr>
          <w:rFonts w:ascii="Arial Nova" w:eastAsia="Arial Nova" w:hAnsi="Arial Nova" w:cs="Arial Nova"/>
          <w:color w:val="000000" w:themeColor="text1"/>
          <w:sz w:val="24"/>
          <w:szCs w:val="24"/>
        </w:rPr>
        <w:t>141(1), pp. 1-8. DOI: 10.7326/0003-4819-141-1-200407060-00008</w:t>
      </w:r>
    </w:p>
    <w:p w14:paraId="6FBD842A" w14:textId="23D9EE9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Pong, S., Holliday, P. and Fernie, G. (2018) ‘Effect of electronic real-time prompting on hand hygiene behaviors in health care workers’, </w:t>
      </w:r>
      <w:r w:rsidRPr="62CC6759">
        <w:rPr>
          <w:rFonts w:ascii="Arial Nova" w:eastAsia="Arial Nova" w:hAnsi="Arial Nova" w:cs="Arial Nova"/>
          <w:i/>
          <w:iCs/>
          <w:color w:val="000000" w:themeColor="text1"/>
          <w:sz w:val="24"/>
          <w:szCs w:val="24"/>
        </w:rPr>
        <w:t xml:space="preserve">Americal Journal of Infection Control, </w:t>
      </w:r>
      <w:r w:rsidRPr="62CC6759">
        <w:rPr>
          <w:rFonts w:ascii="Arial Nova" w:eastAsia="Arial Nova" w:hAnsi="Arial Nova" w:cs="Arial Nova"/>
          <w:color w:val="000000" w:themeColor="text1"/>
          <w:sz w:val="24"/>
          <w:szCs w:val="24"/>
        </w:rPr>
        <w:t>46(7), pp. 768-774, DOI: 10.1016/j.ajic.2017.12.018</w:t>
      </w:r>
    </w:p>
    <w:p w14:paraId="475F2019" w14:textId="108A5194"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Rafferty, A. and Nelson, S. (2010) </w:t>
      </w:r>
      <w:r w:rsidRPr="62CC6759">
        <w:rPr>
          <w:rFonts w:ascii="Arial Nova" w:eastAsia="Arial Nova" w:hAnsi="Arial Nova" w:cs="Arial Nova"/>
          <w:i/>
          <w:iCs/>
          <w:color w:val="000000" w:themeColor="text1"/>
          <w:sz w:val="24"/>
          <w:szCs w:val="24"/>
        </w:rPr>
        <w:t xml:space="preserve">Notes on Nightingale: The influence and legacy of a nursing icon. </w:t>
      </w:r>
      <w:r w:rsidRPr="62CC6759">
        <w:rPr>
          <w:rFonts w:ascii="Arial Nova" w:eastAsia="Arial Nova" w:hAnsi="Arial Nova" w:cs="Arial Nova"/>
          <w:color w:val="000000" w:themeColor="text1"/>
          <w:sz w:val="24"/>
          <w:szCs w:val="24"/>
        </w:rPr>
        <w:t>Ithaca: ILR Press.</w:t>
      </w:r>
    </w:p>
    <w:p w14:paraId="0D859E6F" w14:textId="17396A9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lastRenderedPageBreak/>
        <w:t xml:space="preserve">Srigley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(2014) ‘Quantification of the Hawthorne effect in hand hygiene compliance monitoring using an electronic monitoring system: a retrospective cohort study’, </w:t>
      </w:r>
      <w:r w:rsidRPr="62CC6759">
        <w:rPr>
          <w:rFonts w:ascii="Arial Nova" w:eastAsia="Arial Nova" w:hAnsi="Arial Nova" w:cs="Arial Nova"/>
          <w:i/>
          <w:iCs/>
          <w:color w:val="000000" w:themeColor="text1"/>
          <w:sz w:val="24"/>
          <w:szCs w:val="24"/>
        </w:rPr>
        <w:t xml:space="preserve">BMJ Quality &amp; Safety, </w:t>
      </w:r>
      <w:r w:rsidRPr="62CC6759">
        <w:rPr>
          <w:rFonts w:ascii="Arial Nova" w:eastAsia="Arial Nova" w:hAnsi="Arial Nova" w:cs="Arial Nova"/>
          <w:color w:val="000000" w:themeColor="text1"/>
          <w:sz w:val="24"/>
          <w:szCs w:val="24"/>
        </w:rPr>
        <w:t>23(12), pp. 974-980. DOI: 10.1136/bmjqs-2014-003080</w:t>
      </w:r>
    </w:p>
    <w:p w14:paraId="0E654619" w14:textId="57FC516B"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Suzuki, Y.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(2020) ‘The effect of a 5-year hand hygiene initiative based on the WHO multimodal hand hygiene improvement strategy: an interrupted time-series study’, </w:t>
      </w:r>
      <w:r w:rsidRPr="62CC6759">
        <w:rPr>
          <w:rFonts w:ascii="Arial Nova" w:eastAsia="Arial Nova" w:hAnsi="Arial Nova" w:cs="Arial Nova"/>
          <w:i/>
          <w:iCs/>
          <w:color w:val="000000" w:themeColor="text1"/>
          <w:sz w:val="24"/>
          <w:szCs w:val="24"/>
        </w:rPr>
        <w:t xml:space="preserve">Antimicrobial resistance &amp; infection control, </w:t>
      </w:r>
      <w:r w:rsidRPr="62CC6759">
        <w:rPr>
          <w:rFonts w:ascii="Arial Nova" w:eastAsia="Arial Nova" w:hAnsi="Arial Nova" w:cs="Arial Nova"/>
          <w:color w:val="000000" w:themeColor="text1"/>
          <w:sz w:val="24"/>
          <w:szCs w:val="24"/>
        </w:rPr>
        <w:t>9(1), pp. 75. DOI: 10.1186/s13756-020-00732-7</w:t>
      </w:r>
    </w:p>
    <w:p w14:paraId="6A211C0F" w14:textId="6A7AE0EF"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The Health Foundation (2021) </w:t>
      </w:r>
      <w:r w:rsidRPr="62CC6759">
        <w:rPr>
          <w:rFonts w:ascii="Arial Nova" w:eastAsia="Arial Nova" w:hAnsi="Arial Nova" w:cs="Arial Nova"/>
          <w:i/>
          <w:iCs/>
          <w:color w:val="000000" w:themeColor="text1"/>
          <w:sz w:val="24"/>
          <w:szCs w:val="24"/>
        </w:rPr>
        <w:t xml:space="preserve">Quality improvement made simple. </w:t>
      </w:r>
      <w:r w:rsidRPr="62CC6759">
        <w:rPr>
          <w:rFonts w:ascii="Arial Nova" w:eastAsia="Arial Nova" w:hAnsi="Arial Nova" w:cs="Arial Nova"/>
          <w:color w:val="000000" w:themeColor="text1"/>
          <w:sz w:val="24"/>
          <w:szCs w:val="24"/>
        </w:rPr>
        <w:t xml:space="preserve">Available at: </w:t>
      </w:r>
      <w:hyperlink r:id="rId14">
        <w:r w:rsidRPr="62CC6759">
          <w:rPr>
            <w:rStyle w:val="Hyperlink"/>
            <w:rFonts w:ascii="Arial Nova" w:eastAsia="Arial Nova" w:hAnsi="Arial Nova" w:cs="Arial Nova"/>
            <w:sz w:val="24"/>
            <w:szCs w:val="24"/>
          </w:rPr>
          <w:t>https://www.health.org.uk/publications/quality-improvement-made-simple</w:t>
        </w:r>
      </w:hyperlink>
      <w:r w:rsidRPr="62CC6759">
        <w:rPr>
          <w:rFonts w:ascii="Arial Nova" w:eastAsia="Arial Nova" w:hAnsi="Arial Nova" w:cs="Arial Nova"/>
          <w:color w:val="000000" w:themeColor="text1"/>
          <w:sz w:val="24"/>
          <w:szCs w:val="24"/>
        </w:rPr>
        <w:t xml:space="preserve"> (Accessed: 18 April 2022).</w:t>
      </w:r>
    </w:p>
    <w:p w14:paraId="65617AFB" w14:textId="60AB1831"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Wang, T.Z.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(2019) 'Antimicrobial resistance in nephrology’, </w:t>
      </w:r>
      <w:r w:rsidRPr="62CC6759">
        <w:rPr>
          <w:rFonts w:ascii="Arial Nova" w:eastAsia="Arial Nova" w:hAnsi="Arial Nova" w:cs="Arial Nova"/>
          <w:i/>
          <w:iCs/>
          <w:color w:val="000000" w:themeColor="text1"/>
          <w:sz w:val="24"/>
          <w:szCs w:val="24"/>
        </w:rPr>
        <w:t xml:space="preserve">Nature reviews: Nephrology, </w:t>
      </w:r>
      <w:r w:rsidRPr="62CC6759">
        <w:rPr>
          <w:rFonts w:ascii="Arial Nova" w:eastAsia="Arial Nova" w:hAnsi="Arial Nova" w:cs="Arial Nova"/>
          <w:color w:val="000000" w:themeColor="text1"/>
          <w:sz w:val="24"/>
          <w:szCs w:val="24"/>
        </w:rPr>
        <w:t>15(8), pp. 463-481. DOI: 10.1038/s41581-019-0150-7</w:t>
      </w:r>
    </w:p>
    <w:p w14:paraId="0C242AFC" w14:textId="22093D7A"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Ward, M.A.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(2014) ‘Automated and electronically assisted hand hygiene monitoring systems: A systematic review’, </w:t>
      </w:r>
      <w:r w:rsidRPr="62CC6759">
        <w:rPr>
          <w:rFonts w:ascii="Arial Nova" w:eastAsia="Arial Nova" w:hAnsi="Arial Nova" w:cs="Arial Nova"/>
          <w:i/>
          <w:iCs/>
          <w:color w:val="000000" w:themeColor="text1"/>
          <w:sz w:val="24"/>
          <w:szCs w:val="24"/>
        </w:rPr>
        <w:t xml:space="preserve">American Journal of infection control, </w:t>
      </w:r>
      <w:r w:rsidRPr="62CC6759">
        <w:rPr>
          <w:rFonts w:ascii="Arial Nova" w:eastAsia="Arial Nova" w:hAnsi="Arial Nova" w:cs="Arial Nova"/>
          <w:color w:val="000000" w:themeColor="text1"/>
          <w:sz w:val="24"/>
          <w:szCs w:val="24"/>
        </w:rPr>
        <w:t>42(5), pp. 472-478. DOI: 10.1016/j.ajic.2014.01.002</w:t>
      </w:r>
    </w:p>
    <w:p w14:paraId="5914C608" w14:textId="3B6F5925"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World Health Organization (2009) </w:t>
      </w:r>
      <w:r w:rsidRPr="62CC6759">
        <w:rPr>
          <w:rFonts w:ascii="Arial Nova" w:eastAsia="Arial Nova" w:hAnsi="Arial Nova" w:cs="Arial Nova"/>
          <w:i/>
          <w:iCs/>
          <w:color w:val="000000" w:themeColor="text1"/>
          <w:sz w:val="24"/>
          <w:szCs w:val="24"/>
        </w:rPr>
        <w:t xml:space="preserve">Guide to implementation. </w:t>
      </w:r>
      <w:r w:rsidRPr="62CC6759">
        <w:rPr>
          <w:rFonts w:ascii="Arial Nova" w:eastAsia="Arial Nova" w:hAnsi="Arial Nova" w:cs="Arial Nova"/>
          <w:color w:val="000000" w:themeColor="text1"/>
          <w:sz w:val="24"/>
          <w:szCs w:val="24"/>
        </w:rPr>
        <w:t xml:space="preserve">Available at:  </w:t>
      </w:r>
      <w:hyperlink r:id="rId15">
        <w:r w:rsidRPr="62CC6759">
          <w:rPr>
            <w:rStyle w:val="Hyperlink"/>
            <w:rFonts w:ascii="Arial Nova" w:eastAsia="Arial Nova" w:hAnsi="Arial Nova" w:cs="Arial Nova"/>
            <w:sz w:val="24"/>
            <w:szCs w:val="24"/>
          </w:rPr>
          <w:t>https://apps.who.int/iris/handle/10665/70030</w:t>
        </w:r>
      </w:hyperlink>
      <w:r w:rsidRPr="62CC6759">
        <w:rPr>
          <w:rFonts w:ascii="Arial Nova" w:eastAsia="Arial Nova" w:hAnsi="Arial Nova" w:cs="Arial Nova"/>
          <w:color w:val="000000" w:themeColor="text1"/>
          <w:sz w:val="24"/>
          <w:szCs w:val="24"/>
        </w:rPr>
        <w:t xml:space="preserve"> (Accessed: 13 April 2022).</w:t>
      </w:r>
    </w:p>
    <w:p w14:paraId="4DCA7CC0" w14:textId="5E59812E" w:rsidR="62CC6759" w:rsidRDefault="62CC6759" w:rsidP="62CC6759">
      <w:pPr>
        <w:rPr>
          <w:rFonts w:ascii="Arial Nova" w:eastAsia="Arial Nova" w:hAnsi="Arial Nova" w:cs="Arial Nova"/>
          <w:color w:val="000000" w:themeColor="text1"/>
          <w:sz w:val="24"/>
          <w:szCs w:val="24"/>
        </w:rPr>
      </w:pPr>
      <w:r w:rsidRPr="62CC6759">
        <w:rPr>
          <w:rFonts w:ascii="Arial Nova" w:eastAsia="Arial Nova" w:hAnsi="Arial Nova" w:cs="Arial Nova"/>
          <w:color w:val="000000" w:themeColor="text1"/>
          <w:sz w:val="24"/>
          <w:szCs w:val="24"/>
        </w:rPr>
        <w:t xml:space="preserve">Zhang, X. </w:t>
      </w:r>
      <w:r w:rsidRPr="62CC6759">
        <w:rPr>
          <w:rFonts w:ascii="Arial Nova" w:eastAsia="Arial Nova" w:hAnsi="Arial Nova" w:cs="Arial Nova"/>
          <w:i/>
          <w:iCs/>
          <w:color w:val="000000" w:themeColor="text1"/>
          <w:sz w:val="24"/>
          <w:szCs w:val="24"/>
        </w:rPr>
        <w:t xml:space="preserve">et al. </w:t>
      </w:r>
      <w:r w:rsidRPr="62CC6759">
        <w:rPr>
          <w:rFonts w:ascii="Arial Nova" w:eastAsia="Arial Nova" w:hAnsi="Arial Nova" w:cs="Arial Nova"/>
          <w:color w:val="000000" w:themeColor="text1"/>
          <w:sz w:val="24"/>
          <w:szCs w:val="24"/>
        </w:rPr>
        <w:t xml:space="preserve">(2018) ‘Smart ring: a wearable device for hand hygiene compliance monitoring at the point-of-need', </w:t>
      </w:r>
      <w:r w:rsidRPr="62CC6759">
        <w:rPr>
          <w:rFonts w:ascii="Arial Nova" w:eastAsia="Arial Nova" w:hAnsi="Arial Nova" w:cs="Arial Nova"/>
          <w:i/>
          <w:iCs/>
          <w:color w:val="000000" w:themeColor="text1"/>
          <w:sz w:val="24"/>
          <w:szCs w:val="24"/>
        </w:rPr>
        <w:t xml:space="preserve">Microsystem Technologies, </w:t>
      </w:r>
      <w:r w:rsidRPr="62CC6759">
        <w:rPr>
          <w:rFonts w:ascii="Arial Nova" w:eastAsia="Arial Nova" w:hAnsi="Arial Nova" w:cs="Arial Nova"/>
          <w:color w:val="000000" w:themeColor="text1"/>
          <w:sz w:val="24"/>
          <w:szCs w:val="24"/>
        </w:rPr>
        <w:t>25(8), pp. 3105-3110. DOI: 10.1007/s00542-018-4268-5</w:t>
      </w:r>
    </w:p>
    <w:p w14:paraId="06133020" w14:textId="4CC2C439" w:rsidR="62CC6759" w:rsidRDefault="62CC6759" w:rsidP="62CC6759">
      <w:pPr>
        <w:rPr>
          <w:rFonts w:ascii="Arial Nova" w:eastAsia="Arial Nova" w:hAnsi="Arial Nova" w:cs="Arial Nova"/>
          <w:color w:val="000000" w:themeColor="text1"/>
          <w:sz w:val="24"/>
          <w:szCs w:val="24"/>
        </w:rPr>
      </w:pPr>
    </w:p>
    <w:p w14:paraId="41DAE8F6" w14:textId="42971852" w:rsidR="62CC6759" w:rsidRDefault="62CC6759" w:rsidP="62CC6759">
      <w:pPr>
        <w:rPr>
          <w:rFonts w:ascii="Arial Nova" w:eastAsia="Arial Nova" w:hAnsi="Arial Nova" w:cs="Arial Nova"/>
          <w:sz w:val="24"/>
          <w:szCs w:val="24"/>
        </w:rPr>
      </w:pPr>
    </w:p>
    <w:p w14:paraId="0CD7ECF1" w14:textId="1FB53ABC" w:rsidR="62CC6759" w:rsidRDefault="62CC6759" w:rsidP="62CC6759">
      <w:pPr>
        <w:rPr>
          <w:rFonts w:ascii="Arial Nova" w:eastAsia="Arial Nova" w:hAnsi="Arial Nova" w:cs="Arial Nova"/>
          <w:sz w:val="24"/>
          <w:szCs w:val="24"/>
        </w:rPr>
      </w:pPr>
    </w:p>
    <w:p w14:paraId="2E94477A" w14:textId="61ECE4EF" w:rsidR="33F79CAC" w:rsidRDefault="33F79CAC" w:rsidP="33F79CAC">
      <w:pPr>
        <w:rPr>
          <w:rFonts w:ascii="Arial Nova" w:eastAsia="Arial Nova" w:hAnsi="Arial Nova" w:cs="Arial Nova"/>
          <w:sz w:val="24"/>
          <w:szCs w:val="24"/>
          <w:highlight w:val="yellow"/>
        </w:rPr>
      </w:pPr>
    </w:p>
    <w:sectPr w:rsidR="33F79C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ova">
    <w:panose1 w:val="020B0504020202020204"/>
    <w:charset w:val="00"/>
    <w:family w:val="swiss"/>
    <w:pitch w:val="variable"/>
    <w:sig w:usb0="0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kb1YgKJd" int2:invalidationBookmarkName="" int2:hashCode="guYBHhROF4Y0ju" int2:id="xMMKVZYP">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F12374"/>
    <w:multiLevelType w:val="hybridMultilevel"/>
    <w:tmpl w:val="851C12AC"/>
    <w:lvl w:ilvl="0" w:tplc="C9181AF6">
      <w:start w:val="1"/>
      <w:numFmt w:val="bullet"/>
      <w:lvlText w:val="-"/>
      <w:lvlJc w:val="left"/>
      <w:pPr>
        <w:ind w:left="720" w:hanging="360"/>
      </w:pPr>
      <w:rPr>
        <w:rFonts w:ascii="Calibri" w:hAnsi="Calibri" w:hint="default"/>
      </w:rPr>
    </w:lvl>
    <w:lvl w:ilvl="1" w:tplc="8E3E46BC">
      <w:start w:val="1"/>
      <w:numFmt w:val="bullet"/>
      <w:lvlText w:val="o"/>
      <w:lvlJc w:val="left"/>
      <w:pPr>
        <w:ind w:left="1440" w:hanging="360"/>
      </w:pPr>
      <w:rPr>
        <w:rFonts w:ascii="Courier New" w:hAnsi="Courier New" w:hint="default"/>
      </w:rPr>
    </w:lvl>
    <w:lvl w:ilvl="2" w:tplc="F5D2F98E">
      <w:start w:val="1"/>
      <w:numFmt w:val="bullet"/>
      <w:lvlText w:val=""/>
      <w:lvlJc w:val="left"/>
      <w:pPr>
        <w:ind w:left="2160" w:hanging="360"/>
      </w:pPr>
      <w:rPr>
        <w:rFonts w:ascii="Wingdings" w:hAnsi="Wingdings" w:hint="default"/>
      </w:rPr>
    </w:lvl>
    <w:lvl w:ilvl="3" w:tplc="60260D24">
      <w:start w:val="1"/>
      <w:numFmt w:val="bullet"/>
      <w:lvlText w:val=""/>
      <w:lvlJc w:val="left"/>
      <w:pPr>
        <w:ind w:left="2880" w:hanging="360"/>
      </w:pPr>
      <w:rPr>
        <w:rFonts w:ascii="Symbol" w:hAnsi="Symbol" w:hint="default"/>
      </w:rPr>
    </w:lvl>
    <w:lvl w:ilvl="4" w:tplc="84EA7456">
      <w:start w:val="1"/>
      <w:numFmt w:val="bullet"/>
      <w:lvlText w:val="o"/>
      <w:lvlJc w:val="left"/>
      <w:pPr>
        <w:ind w:left="3600" w:hanging="360"/>
      </w:pPr>
      <w:rPr>
        <w:rFonts w:ascii="Courier New" w:hAnsi="Courier New" w:hint="default"/>
      </w:rPr>
    </w:lvl>
    <w:lvl w:ilvl="5" w:tplc="98C2EB42">
      <w:start w:val="1"/>
      <w:numFmt w:val="bullet"/>
      <w:lvlText w:val=""/>
      <w:lvlJc w:val="left"/>
      <w:pPr>
        <w:ind w:left="4320" w:hanging="360"/>
      </w:pPr>
      <w:rPr>
        <w:rFonts w:ascii="Wingdings" w:hAnsi="Wingdings" w:hint="default"/>
      </w:rPr>
    </w:lvl>
    <w:lvl w:ilvl="6" w:tplc="FCC6EF3A">
      <w:start w:val="1"/>
      <w:numFmt w:val="bullet"/>
      <w:lvlText w:val=""/>
      <w:lvlJc w:val="left"/>
      <w:pPr>
        <w:ind w:left="5040" w:hanging="360"/>
      </w:pPr>
      <w:rPr>
        <w:rFonts w:ascii="Symbol" w:hAnsi="Symbol" w:hint="default"/>
      </w:rPr>
    </w:lvl>
    <w:lvl w:ilvl="7" w:tplc="3ED02878">
      <w:start w:val="1"/>
      <w:numFmt w:val="bullet"/>
      <w:lvlText w:val="o"/>
      <w:lvlJc w:val="left"/>
      <w:pPr>
        <w:ind w:left="5760" w:hanging="360"/>
      </w:pPr>
      <w:rPr>
        <w:rFonts w:ascii="Courier New" w:hAnsi="Courier New" w:hint="default"/>
      </w:rPr>
    </w:lvl>
    <w:lvl w:ilvl="8" w:tplc="EFEA7AEC">
      <w:start w:val="1"/>
      <w:numFmt w:val="bullet"/>
      <w:lvlText w:val=""/>
      <w:lvlJc w:val="left"/>
      <w:pPr>
        <w:ind w:left="6480" w:hanging="360"/>
      </w:pPr>
      <w:rPr>
        <w:rFonts w:ascii="Wingdings" w:hAnsi="Wingdings" w:hint="default"/>
      </w:rPr>
    </w:lvl>
  </w:abstractNum>
  <w:num w:numId="1" w16cid:durableId="83561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7979E9"/>
    <w:rsid w:val="00005E13"/>
    <w:rsid w:val="00095C5C"/>
    <w:rsid w:val="002C5FB1"/>
    <w:rsid w:val="004066E4"/>
    <w:rsid w:val="00415B17"/>
    <w:rsid w:val="004A03BB"/>
    <w:rsid w:val="00704208"/>
    <w:rsid w:val="007B1071"/>
    <w:rsid w:val="007B67C2"/>
    <w:rsid w:val="00A8161B"/>
    <w:rsid w:val="00B04516"/>
    <w:rsid w:val="00B04F8A"/>
    <w:rsid w:val="00E2860D"/>
    <w:rsid w:val="00F25782"/>
    <w:rsid w:val="00F52342"/>
    <w:rsid w:val="00FB3CFD"/>
    <w:rsid w:val="010D3FE6"/>
    <w:rsid w:val="010EBB10"/>
    <w:rsid w:val="0136D8D1"/>
    <w:rsid w:val="016C6F48"/>
    <w:rsid w:val="01BD3ADA"/>
    <w:rsid w:val="01D99F95"/>
    <w:rsid w:val="0231A14F"/>
    <w:rsid w:val="0259510A"/>
    <w:rsid w:val="02E267D9"/>
    <w:rsid w:val="031E8A2E"/>
    <w:rsid w:val="03AA282D"/>
    <w:rsid w:val="03B3A584"/>
    <w:rsid w:val="03D55F47"/>
    <w:rsid w:val="03EFDDD2"/>
    <w:rsid w:val="0401B9AD"/>
    <w:rsid w:val="0443D16F"/>
    <w:rsid w:val="047114DC"/>
    <w:rsid w:val="04748BD8"/>
    <w:rsid w:val="04D3123D"/>
    <w:rsid w:val="04DBB33F"/>
    <w:rsid w:val="052EE94E"/>
    <w:rsid w:val="059CE90A"/>
    <w:rsid w:val="059D8A0E"/>
    <w:rsid w:val="05D6BF5B"/>
    <w:rsid w:val="0611DC5F"/>
    <w:rsid w:val="0622BCFA"/>
    <w:rsid w:val="06304492"/>
    <w:rsid w:val="069DD189"/>
    <w:rsid w:val="06D2E283"/>
    <w:rsid w:val="072EB697"/>
    <w:rsid w:val="07395A6F"/>
    <w:rsid w:val="073CA990"/>
    <w:rsid w:val="074F3C3E"/>
    <w:rsid w:val="07E231E0"/>
    <w:rsid w:val="07EFA6E9"/>
    <w:rsid w:val="087FB26D"/>
    <w:rsid w:val="08A6B987"/>
    <w:rsid w:val="090BB94C"/>
    <w:rsid w:val="09174292"/>
    <w:rsid w:val="09683FCD"/>
    <w:rsid w:val="09A9B515"/>
    <w:rsid w:val="0A12C7EE"/>
    <w:rsid w:val="0A4289E8"/>
    <w:rsid w:val="0A6462EF"/>
    <w:rsid w:val="0AF658B2"/>
    <w:rsid w:val="0B666899"/>
    <w:rsid w:val="0B935F1A"/>
    <w:rsid w:val="0C206FED"/>
    <w:rsid w:val="0D26E812"/>
    <w:rsid w:val="0D6D4E6B"/>
    <w:rsid w:val="0DE18BE3"/>
    <w:rsid w:val="0E1FBA3B"/>
    <w:rsid w:val="0EF91D7D"/>
    <w:rsid w:val="0F2E9318"/>
    <w:rsid w:val="0F31957D"/>
    <w:rsid w:val="0FBB8A9C"/>
    <w:rsid w:val="0FC52DD1"/>
    <w:rsid w:val="1021F3F2"/>
    <w:rsid w:val="10315F9E"/>
    <w:rsid w:val="1039D9BC"/>
    <w:rsid w:val="1048088C"/>
    <w:rsid w:val="10AFCD04"/>
    <w:rsid w:val="114AB4E6"/>
    <w:rsid w:val="11EF8F82"/>
    <w:rsid w:val="11F45A50"/>
    <w:rsid w:val="127C93A8"/>
    <w:rsid w:val="12997335"/>
    <w:rsid w:val="145FD509"/>
    <w:rsid w:val="149CFFAA"/>
    <w:rsid w:val="14B81578"/>
    <w:rsid w:val="14C6A32D"/>
    <w:rsid w:val="151BA401"/>
    <w:rsid w:val="15340D8F"/>
    <w:rsid w:val="15450D18"/>
    <w:rsid w:val="15C00F85"/>
    <w:rsid w:val="15FBA56A"/>
    <w:rsid w:val="16038F83"/>
    <w:rsid w:val="16248362"/>
    <w:rsid w:val="16BF4AD8"/>
    <w:rsid w:val="171F5BD1"/>
    <w:rsid w:val="17B1158D"/>
    <w:rsid w:val="17EFB63A"/>
    <w:rsid w:val="17F5D0D2"/>
    <w:rsid w:val="18639BD4"/>
    <w:rsid w:val="18699AB9"/>
    <w:rsid w:val="18937E5F"/>
    <w:rsid w:val="18B2E79A"/>
    <w:rsid w:val="18CA4EEA"/>
    <w:rsid w:val="18CC99DA"/>
    <w:rsid w:val="1908B4B9"/>
    <w:rsid w:val="19A3956D"/>
    <w:rsid w:val="19E3D6EA"/>
    <w:rsid w:val="1A056B1A"/>
    <w:rsid w:val="1A0A5312"/>
    <w:rsid w:val="1A187E3B"/>
    <w:rsid w:val="1AC630AB"/>
    <w:rsid w:val="1AD21945"/>
    <w:rsid w:val="1ADEB15A"/>
    <w:rsid w:val="1B2595D6"/>
    <w:rsid w:val="1B61188D"/>
    <w:rsid w:val="1B821439"/>
    <w:rsid w:val="1BA13B7B"/>
    <w:rsid w:val="1C62010C"/>
    <w:rsid w:val="1C931287"/>
    <w:rsid w:val="1CFCE8EE"/>
    <w:rsid w:val="1D04D674"/>
    <w:rsid w:val="1D36BF3F"/>
    <w:rsid w:val="1DC57805"/>
    <w:rsid w:val="1DE033F9"/>
    <w:rsid w:val="1E0F1361"/>
    <w:rsid w:val="1E189531"/>
    <w:rsid w:val="1E205711"/>
    <w:rsid w:val="1E6A00F8"/>
    <w:rsid w:val="1E9569AA"/>
    <w:rsid w:val="1EA0A6D5"/>
    <w:rsid w:val="1EB9B4FB"/>
    <w:rsid w:val="1EBD3A9B"/>
    <w:rsid w:val="1EFAA41E"/>
    <w:rsid w:val="1F13CC7B"/>
    <w:rsid w:val="1F15CF6A"/>
    <w:rsid w:val="1F1DEB2F"/>
    <w:rsid w:val="1F27091F"/>
    <w:rsid w:val="1FC0A9D0"/>
    <w:rsid w:val="1FC43F01"/>
    <w:rsid w:val="201DA223"/>
    <w:rsid w:val="203C7736"/>
    <w:rsid w:val="20469AA4"/>
    <w:rsid w:val="204EB16A"/>
    <w:rsid w:val="20A38790"/>
    <w:rsid w:val="20B19FCB"/>
    <w:rsid w:val="20B9BB90"/>
    <w:rsid w:val="20FD18C7"/>
    <w:rsid w:val="2103E71B"/>
    <w:rsid w:val="2135722F"/>
    <w:rsid w:val="2143C9E4"/>
    <w:rsid w:val="214E8B38"/>
    <w:rsid w:val="21578E9D"/>
    <w:rsid w:val="21DEB65D"/>
    <w:rsid w:val="22056C84"/>
    <w:rsid w:val="220F04C2"/>
    <w:rsid w:val="221564F7"/>
    <w:rsid w:val="223244E0"/>
    <w:rsid w:val="223428BA"/>
    <w:rsid w:val="224D702C"/>
    <w:rsid w:val="2258E865"/>
    <w:rsid w:val="230C7831"/>
    <w:rsid w:val="2348AF49"/>
    <w:rsid w:val="2348E41C"/>
    <w:rsid w:val="23851CED"/>
    <w:rsid w:val="24078734"/>
    <w:rsid w:val="24A223EB"/>
    <w:rsid w:val="24D11F5A"/>
    <w:rsid w:val="24FC0395"/>
    <w:rsid w:val="256BC97C"/>
    <w:rsid w:val="257AC452"/>
    <w:rsid w:val="25B17348"/>
    <w:rsid w:val="265BEA80"/>
    <w:rsid w:val="2697D3F6"/>
    <w:rsid w:val="26D458C4"/>
    <w:rsid w:val="2705B603"/>
    <w:rsid w:val="2716BA8B"/>
    <w:rsid w:val="27280CC6"/>
    <w:rsid w:val="27B5871B"/>
    <w:rsid w:val="27D19BD9"/>
    <w:rsid w:val="280DC78A"/>
    <w:rsid w:val="28702925"/>
    <w:rsid w:val="290B1471"/>
    <w:rsid w:val="291A362B"/>
    <w:rsid w:val="29621E66"/>
    <w:rsid w:val="296D6C3A"/>
    <w:rsid w:val="2975950E"/>
    <w:rsid w:val="29798315"/>
    <w:rsid w:val="29A090DA"/>
    <w:rsid w:val="29FC67A2"/>
    <w:rsid w:val="2A18B2B7"/>
    <w:rsid w:val="2A5294C5"/>
    <w:rsid w:val="2A56CCAB"/>
    <w:rsid w:val="2A733A55"/>
    <w:rsid w:val="2AFDEEC7"/>
    <w:rsid w:val="2B155376"/>
    <w:rsid w:val="2B1EBF7B"/>
    <w:rsid w:val="2B3AA0DB"/>
    <w:rsid w:val="2B45684C"/>
    <w:rsid w:val="2B73329F"/>
    <w:rsid w:val="2B7F29DD"/>
    <w:rsid w:val="2BF8E696"/>
    <w:rsid w:val="2C7F1542"/>
    <w:rsid w:val="2CE6ED76"/>
    <w:rsid w:val="2D0F0300"/>
    <w:rsid w:val="2D1B9B42"/>
    <w:rsid w:val="2D3BB544"/>
    <w:rsid w:val="2D638F67"/>
    <w:rsid w:val="2D6ED7B0"/>
    <w:rsid w:val="2D8E6D6D"/>
    <w:rsid w:val="2D9F3BD0"/>
    <w:rsid w:val="2DF594D4"/>
    <w:rsid w:val="2E642F46"/>
    <w:rsid w:val="2EB76BA3"/>
    <w:rsid w:val="2F0AA811"/>
    <w:rsid w:val="2F403A6E"/>
    <w:rsid w:val="2FBDB920"/>
    <w:rsid w:val="2FD539EA"/>
    <w:rsid w:val="2FE1A3D1"/>
    <w:rsid w:val="3097A5E6"/>
    <w:rsid w:val="30C171A2"/>
    <w:rsid w:val="30E7247D"/>
    <w:rsid w:val="31169475"/>
    <w:rsid w:val="31254810"/>
    <w:rsid w:val="312D3596"/>
    <w:rsid w:val="317D7432"/>
    <w:rsid w:val="31B2E8AA"/>
    <w:rsid w:val="31D54304"/>
    <w:rsid w:val="31D7B349"/>
    <w:rsid w:val="320CFA1F"/>
    <w:rsid w:val="325BCC4B"/>
    <w:rsid w:val="32FE930F"/>
    <w:rsid w:val="333114A4"/>
    <w:rsid w:val="3350C16C"/>
    <w:rsid w:val="335694C9"/>
    <w:rsid w:val="33A349E8"/>
    <w:rsid w:val="33A4637C"/>
    <w:rsid w:val="33A8CA80"/>
    <w:rsid w:val="33F79CAC"/>
    <w:rsid w:val="34816A1E"/>
    <w:rsid w:val="34E21AB2"/>
    <w:rsid w:val="350C304A"/>
    <w:rsid w:val="353F4957"/>
    <w:rsid w:val="35997F52"/>
    <w:rsid w:val="36104484"/>
    <w:rsid w:val="3638DC21"/>
    <w:rsid w:val="364BEF42"/>
    <w:rsid w:val="3650E555"/>
    <w:rsid w:val="367DEB13"/>
    <w:rsid w:val="37ECB5B6"/>
    <w:rsid w:val="37EFAD29"/>
    <w:rsid w:val="37FE9028"/>
    <w:rsid w:val="388AA915"/>
    <w:rsid w:val="389B463F"/>
    <w:rsid w:val="38A065AB"/>
    <w:rsid w:val="390289B0"/>
    <w:rsid w:val="399FBD5E"/>
    <w:rsid w:val="39B7E192"/>
    <w:rsid w:val="3A71E96F"/>
    <w:rsid w:val="3AF3D63D"/>
    <w:rsid w:val="3B9F9B50"/>
    <w:rsid w:val="3C958E78"/>
    <w:rsid w:val="3CD09333"/>
    <w:rsid w:val="3D32459E"/>
    <w:rsid w:val="3D74E607"/>
    <w:rsid w:val="3D782265"/>
    <w:rsid w:val="3E4BDB8C"/>
    <w:rsid w:val="3E75BF32"/>
    <w:rsid w:val="3E880CAA"/>
    <w:rsid w:val="3EBAB896"/>
    <w:rsid w:val="3F0F9D4A"/>
    <w:rsid w:val="3F4B397A"/>
    <w:rsid w:val="3F8E60A2"/>
    <w:rsid w:val="3FD9EE90"/>
    <w:rsid w:val="3FFABF0E"/>
    <w:rsid w:val="3FFC5B3B"/>
    <w:rsid w:val="4038F01D"/>
    <w:rsid w:val="40461FD7"/>
    <w:rsid w:val="404EF48A"/>
    <w:rsid w:val="406F4335"/>
    <w:rsid w:val="40B1EF5E"/>
    <w:rsid w:val="40B45A18"/>
    <w:rsid w:val="40BF2DF9"/>
    <w:rsid w:val="40C489C2"/>
    <w:rsid w:val="40C5D512"/>
    <w:rsid w:val="40D56A5D"/>
    <w:rsid w:val="41730490"/>
    <w:rsid w:val="4178B29B"/>
    <w:rsid w:val="41837C4E"/>
    <w:rsid w:val="418BB48D"/>
    <w:rsid w:val="41982B9C"/>
    <w:rsid w:val="41B6CC8F"/>
    <w:rsid w:val="41F87D06"/>
    <w:rsid w:val="41F9731D"/>
    <w:rsid w:val="4246BA1E"/>
    <w:rsid w:val="425ED9FD"/>
    <w:rsid w:val="426FA860"/>
    <w:rsid w:val="42E1753A"/>
    <w:rsid w:val="42E4ED74"/>
    <w:rsid w:val="4300256D"/>
    <w:rsid w:val="4310CD2F"/>
    <w:rsid w:val="431F4CAF"/>
    <w:rsid w:val="433D5D04"/>
    <w:rsid w:val="43E99020"/>
    <w:rsid w:val="44CBE7AD"/>
    <w:rsid w:val="4506EBFE"/>
    <w:rsid w:val="455594B8"/>
    <w:rsid w:val="45A8DB80"/>
    <w:rsid w:val="45F264FB"/>
    <w:rsid w:val="462FD8A9"/>
    <w:rsid w:val="465BD569"/>
    <w:rsid w:val="4678FA02"/>
    <w:rsid w:val="473A38A6"/>
    <w:rsid w:val="47972F0B"/>
    <w:rsid w:val="479DCCDE"/>
    <w:rsid w:val="47F4D16A"/>
    <w:rsid w:val="488D357A"/>
    <w:rsid w:val="4950DD1C"/>
    <w:rsid w:val="4967796B"/>
    <w:rsid w:val="496CFA03"/>
    <w:rsid w:val="4977796E"/>
    <w:rsid w:val="49884196"/>
    <w:rsid w:val="49F7A049"/>
    <w:rsid w:val="4A1AE040"/>
    <w:rsid w:val="4A96923C"/>
    <w:rsid w:val="4B2F468C"/>
    <w:rsid w:val="4B3B19DD"/>
    <w:rsid w:val="4B3DE715"/>
    <w:rsid w:val="4C39C8C5"/>
    <w:rsid w:val="4CC8C4CD"/>
    <w:rsid w:val="4CD6EA3E"/>
    <w:rsid w:val="4D2F410B"/>
    <w:rsid w:val="4D349DE0"/>
    <w:rsid w:val="4D47E51E"/>
    <w:rsid w:val="4D92DD20"/>
    <w:rsid w:val="4DC4D39F"/>
    <w:rsid w:val="4E3D5A50"/>
    <w:rsid w:val="4EA98B2A"/>
    <w:rsid w:val="4F320416"/>
    <w:rsid w:val="4F54032B"/>
    <w:rsid w:val="4F60A400"/>
    <w:rsid w:val="4F6790D5"/>
    <w:rsid w:val="4FB1B58B"/>
    <w:rsid w:val="4FC58018"/>
    <w:rsid w:val="5023C556"/>
    <w:rsid w:val="50AB72ED"/>
    <w:rsid w:val="5167D976"/>
    <w:rsid w:val="5173A4E4"/>
    <w:rsid w:val="51BB67F9"/>
    <w:rsid w:val="51CC46A9"/>
    <w:rsid w:val="5202F59F"/>
    <w:rsid w:val="5228DA95"/>
    <w:rsid w:val="5247434E"/>
    <w:rsid w:val="5259BDFB"/>
    <w:rsid w:val="52724EC7"/>
    <w:rsid w:val="52D02DF0"/>
    <w:rsid w:val="52E01553"/>
    <w:rsid w:val="53164937"/>
    <w:rsid w:val="5345D03A"/>
    <w:rsid w:val="535F541F"/>
    <w:rsid w:val="5363D3F0"/>
    <w:rsid w:val="53A4B445"/>
    <w:rsid w:val="53BE85B3"/>
    <w:rsid w:val="53FB5B6B"/>
    <w:rsid w:val="54467019"/>
    <w:rsid w:val="545642D0"/>
    <w:rsid w:val="54CB2B9E"/>
    <w:rsid w:val="55C45267"/>
    <w:rsid w:val="55DD0D01"/>
    <w:rsid w:val="5648DA54"/>
    <w:rsid w:val="56C78A22"/>
    <w:rsid w:val="5762232C"/>
    <w:rsid w:val="57A39F13"/>
    <w:rsid w:val="57D74238"/>
    <w:rsid w:val="581364FA"/>
    <w:rsid w:val="5819415D"/>
    <w:rsid w:val="58374513"/>
    <w:rsid w:val="58A494EA"/>
    <w:rsid w:val="58A6E750"/>
    <w:rsid w:val="58C8E2D9"/>
    <w:rsid w:val="593F6F74"/>
    <w:rsid w:val="59858ABB"/>
    <w:rsid w:val="59AF355B"/>
    <w:rsid w:val="59C0F5F5"/>
    <w:rsid w:val="59C6C767"/>
    <w:rsid w:val="59C7BAAD"/>
    <w:rsid w:val="59CFA844"/>
    <w:rsid w:val="59E5FA26"/>
    <w:rsid w:val="5A81602B"/>
    <w:rsid w:val="5B9E2491"/>
    <w:rsid w:val="5BDAFA06"/>
    <w:rsid w:val="5BE81F92"/>
    <w:rsid w:val="5C692B9B"/>
    <w:rsid w:val="5C830774"/>
    <w:rsid w:val="5CC1B225"/>
    <w:rsid w:val="5CE6D61D"/>
    <w:rsid w:val="5D08DB64"/>
    <w:rsid w:val="5D1612EB"/>
    <w:rsid w:val="5DAC23A2"/>
    <w:rsid w:val="5DB0D819"/>
    <w:rsid w:val="5DB6ED55"/>
    <w:rsid w:val="5DCA0076"/>
    <w:rsid w:val="5E134C5B"/>
    <w:rsid w:val="5E560755"/>
    <w:rsid w:val="5F14E641"/>
    <w:rsid w:val="5F4CA87A"/>
    <w:rsid w:val="5F5AF5F5"/>
    <w:rsid w:val="5FDE0992"/>
    <w:rsid w:val="600B2AE5"/>
    <w:rsid w:val="6031D105"/>
    <w:rsid w:val="607979E9"/>
    <w:rsid w:val="60AE6B29"/>
    <w:rsid w:val="60BB8161"/>
    <w:rsid w:val="60C79386"/>
    <w:rsid w:val="60D565BA"/>
    <w:rsid w:val="60F6C656"/>
    <w:rsid w:val="60FDA4A3"/>
    <w:rsid w:val="61297E55"/>
    <w:rsid w:val="61DABA29"/>
    <w:rsid w:val="6205D1A8"/>
    <w:rsid w:val="622C9E99"/>
    <w:rsid w:val="623900B3"/>
    <w:rsid w:val="6265B757"/>
    <w:rsid w:val="629DE6F9"/>
    <w:rsid w:val="62CC6759"/>
    <w:rsid w:val="63216B2A"/>
    <w:rsid w:val="63297878"/>
    <w:rsid w:val="635617A1"/>
    <w:rsid w:val="635A6338"/>
    <w:rsid w:val="636DE2B3"/>
    <w:rsid w:val="63C8F047"/>
    <w:rsid w:val="640124FF"/>
    <w:rsid w:val="640D067C"/>
    <w:rsid w:val="64118AC8"/>
    <w:rsid w:val="64625FE6"/>
    <w:rsid w:val="646A4D7D"/>
    <w:rsid w:val="6482E795"/>
    <w:rsid w:val="64AA0560"/>
    <w:rsid w:val="652E32E2"/>
    <w:rsid w:val="658427C5"/>
    <w:rsid w:val="65D5125B"/>
    <w:rsid w:val="65F173D8"/>
    <w:rsid w:val="66850D4F"/>
    <w:rsid w:val="66870002"/>
    <w:rsid w:val="6696954D"/>
    <w:rsid w:val="66DEB59E"/>
    <w:rsid w:val="671DACAD"/>
    <w:rsid w:val="6783C53A"/>
    <w:rsid w:val="6790762C"/>
    <w:rsid w:val="67A63B01"/>
    <w:rsid w:val="6822D063"/>
    <w:rsid w:val="682988C4"/>
    <w:rsid w:val="6851E933"/>
    <w:rsid w:val="685E8F4A"/>
    <w:rsid w:val="686B6CE9"/>
    <w:rsid w:val="689C12BF"/>
    <w:rsid w:val="690A5B45"/>
    <w:rsid w:val="6962F583"/>
    <w:rsid w:val="69EDB994"/>
    <w:rsid w:val="6A13B1BB"/>
    <w:rsid w:val="6A87E74D"/>
    <w:rsid w:val="6AAC2145"/>
    <w:rsid w:val="6AB2AD0A"/>
    <w:rsid w:val="6AF95125"/>
    <w:rsid w:val="6B1DDC86"/>
    <w:rsid w:val="6B741F05"/>
    <w:rsid w:val="6B916B8F"/>
    <w:rsid w:val="6C247EA0"/>
    <w:rsid w:val="6C2BA0E2"/>
    <w:rsid w:val="6C8A60AC"/>
    <w:rsid w:val="6C8C5DEC"/>
    <w:rsid w:val="6C913759"/>
    <w:rsid w:val="6D148BF3"/>
    <w:rsid w:val="6D70762F"/>
    <w:rsid w:val="6D8CEE31"/>
    <w:rsid w:val="6DC04F01"/>
    <w:rsid w:val="6DF1FF25"/>
    <w:rsid w:val="6EE66293"/>
    <w:rsid w:val="6F341781"/>
    <w:rsid w:val="6F720A4D"/>
    <w:rsid w:val="6F7B35EB"/>
    <w:rsid w:val="6F8CAC50"/>
    <w:rsid w:val="6F9744F7"/>
    <w:rsid w:val="6FBEDDAD"/>
    <w:rsid w:val="70545246"/>
    <w:rsid w:val="70606848"/>
    <w:rsid w:val="707D9651"/>
    <w:rsid w:val="70AF56BB"/>
    <w:rsid w:val="71080642"/>
    <w:rsid w:val="7145932C"/>
    <w:rsid w:val="719007CF"/>
    <w:rsid w:val="71ECF610"/>
    <w:rsid w:val="7215B181"/>
    <w:rsid w:val="726832A3"/>
    <w:rsid w:val="726EE2DE"/>
    <w:rsid w:val="728907E0"/>
    <w:rsid w:val="72B13D8B"/>
    <w:rsid w:val="72F1BCA9"/>
    <w:rsid w:val="732A8202"/>
    <w:rsid w:val="734DF3A2"/>
    <w:rsid w:val="7359616A"/>
    <w:rsid w:val="73DA3817"/>
    <w:rsid w:val="740293E3"/>
    <w:rsid w:val="74292BE5"/>
    <w:rsid w:val="744D0DEC"/>
    <w:rsid w:val="745E680D"/>
    <w:rsid w:val="748978B5"/>
    <w:rsid w:val="74C07008"/>
    <w:rsid w:val="75A23915"/>
    <w:rsid w:val="75B60739"/>
    <w:rsid w:val="75E8DE4D"/>
    <w:rsid w:val="75FA386E"/>
    <w:rsid w:val="75FB2BB4"/>
    <w:rsid w:val="760D1FEE"/>
    <w:rsid w:val="760EDB89"/>
    <w:rsid w:val="76D02F36"/>
    <w:rsid w:val="76E81493"/>
    <w:rsid w:val="76E922A4"/>
    <w:rsid w:val="76ECD7D5"/>
    <w:rsid w:val="76FB2672"/>
    <w:rsid w:val="772C2291"/>
    <w:rsid w:val="772CEAA3"/>
    <w:rsid w:val="773C5F01"/>
    <w:rsid w:val="77A91EE7"/>
    <w:rsid w:val="7850A193"/>
    <w:rsid w:val="78933225"/>
    <w:rsid w:val="789E1408"/>
    <w:rsid w:val="78CE741F"/>
    <w:rsid w:val="78F09C84"/>
    <w:rsid w:val="79ACAD45"/>
    <w:rsid w:val="79F05FFB"/>
    <w:rsid w:val="7A4B128D"/>
    <w:rsid w:val="7A734488"/>
    <w:rsid w:val="7A7B320E"/>
    <w:rsid w:val="7A8BD9D0"/>
    <w:rsid w:val="7AA2CB8B"/>
    <w:rsid w:val="7AB869A5"/>
    <w:rsid w:val="7AD0BE5A"/>
    <w:rsid w:val="7B1CD734"/>
    <w:rsid w:val="7B649CC1"/>
    <w:rsid w:val="7B9E37F1"/>
    <w:rsid w:val="7BB60802"/>
    <w:rsid w:val="7CFE1943"/>
    <w:rsid w:val="7D153D00"/>
    <w:rsid w:val="7DDA6C4D"/>
    <w:rsid w:val="7EA92B6E"/>
    <w:rsid w:val="7EB10D61"/>
    <w:rsid w:val="7EC3D11E"/>
    <w:rsid w:val="7EFEB40A"/>
    <w:rsid w:val="7F4EA331"/>
    <w:rsid w:val="7F8B3C0F"/>
    <w:rsid w:val="7FB55647"/>
    <w:rsid w:val="7FC07C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979E9"/>
  <w15:chartTrackingRefBased/>
  <w15:docId w15:val="{A99F1E37-137F-4D02-9F86-CCF58DDBA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iffandvaleuhb.wales.nhs.uk/sitesplus/documents/1143/inpatient%20information%20folder%20english%20internet%20final%20250815.pdf" TargetMode="External"/><Relationship Id="rId13" Type="http://schemas.openxmlformats.org/officeDocument/2006/relationships/hyperlink" Target="https://nursingnotes.co.uk/agenda-for-change-nhs-pay-bands/" TargetMode="Externa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engadget.com/amazon-smart-soap-dispenser-200025903.html" TargetMode="External"/><Relationship Id="rId12" Type="http://schemas.openxmlformats.org/officeDocument/2006/relationships/hyperlink" Target="https://www.local.gov.uk/sites/default/files/documents/pas-options-appraisal-wor-7f5.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cavuhb.nhs.wales/hospitals-and-health-centres/" TargetMode="External"/><Relationship Id="rId5" Type="http://schemas.openxmlformats.org/officeDocument/2006/relationships/image" Target="media/image1.png"/><Relationship Id="rId15" Type="http://schemas.openxmlformats.org/officeDocument/2006/relationships/hyperlink" Target="https://apps.who.int/iris/handle/10665/70030" TargetMode="External"/><Relationship Id="rId10" Type="http://schemas.openxmlformats.org/officeDocument/2006/relationships/hyperlink" Target="https://cavuhb.nhs.wales/files/board-and-committees/digital-health-intelligence-committee-2021-22/2021-10-05-final-boardbook-v2-pdf/" TargetMode="External"/><Relationship Id="rId4" Type="http://schemas.openxmlformats.org/officeDocument/2006/relationships/webSettings" Target="webSettings.xml"/><Relationship Id="rId9" Type="http://schemas.openxmlformats.org/officeDocument/2006/relationships/hyperlink" Target="https://cavuhb.nhs.wales/files/board-and-committees/quality-safety-and-patient-experience-committee-2021-22/15-06-2021-qse-public-bundle-pdf/" TargetMode="External"/><Relationship Id="rId14" Type="http://schemas.openxmlformats.org/officeDocument/2006/relationships/hyperlink" Target="https://www.health.org.uk/publications/quality-improvement-made-simp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4786</Words>
  <Characters>27286</Characters>
  <Application>Microsoft Office Word</Application>
  <DocSecurity>0</DocSecurity>
  <Lines>227</Lines>
  <Paragraphs>64</Paragraphs>
  <ScaleCrop>false</ScaleCrop>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Mccarthy (2112755)</dc:creator>
  <cp:keywords/>
  <dc:description/>
  <cp:lastModifiedBy>Matt Mccarthy (2112755)</cp:lastModifiedBy>
  <cp:revision>13</cp:revision>
  <dcterms:created xsi:type="dcterms:W3CDTF">2022-04-10T19:49:00Z</dcterms:created>
  <dcterms:modified xsi:type="dcterms:W3CDTF">2022-05-17T19:40:00Z</dcterms:modified>
</cp:coreProperties>
</file>