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2.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3C534B88" w:rsidRDefault="3C534B88" w14:paraId="33D419BA" w14:textId="2C1519E8" w:rsidP="3C534B88">
      <w:pPr>
        <w:jc w:val="center"/>
        <w:spacing w:after="160" w:line="259" w:lineRule="auto"/>
        <w:rPr>
          <w:noProof w:val="0"/>
          <w:lang w:val="en-US"/>
          <w:rFonts w:ascii="Calibri Light" w:cs="Calibri Light" w:eastAsia="Calibri Light" w:hAnsi="Calibri Light" w:hAnsiTheme="majorAscii" w:eastAsiaTheme="majorAscii" w:cstheme="majorAscii"/>
          <w:sz w:val="32"/>
          <w:szCs w:val="32"/>
        </w:rPr>
      </w:pPr>
      <w:r w:rsidR="3C534B88" w:rsidRPr="3C534B88">
        <w:rPr>
          <w:bCs w:val="1"/>
          <w:noProof w:val="0"/>
          <w:lang w:val="en-US"/>
          <w:b/>
          <w:rFonts w:ascii="Calibri Light" w:cs="Calibri Light" w:eastAsia="Calibri Light" w:hAnsi="Calibri Light" w:hAnsiTheme="majorAscii" w:eastAsiaTheme="majorAscii" w:cstheme="majorAscii"/>
          <w:sz w:val="32"/>
          <w:szCs w:val="32"/>
        </w:rPr>
        <w:t>Interview Critique</w:t>
      </w:r>
    </w:p>
    <w:p w:rsidR="3C534B88" w:rsidRDefault="3C534B88" w14:paraId="5327467E" w14:textId="23458359" w:rsidP="3C534B88">
      <w:pPr>
        <w:pStyle w:val="Normal"/>
        <w:jc w:val="left"/>
        <w:spacing w:after="160" w:line="259" w:lineRule="auto"/>
        <w:rPr>
          <w:noProof w:val="0"/>
          <w:lang w:val="en-US"/>
          <w:rFonts w:ascii="Calibri Light" w:cs="Calibri Light" w:eastAsia="Calibri Light" w:hAnsi="Calibri Light" w:hAnsiTheme="majorAscii" w:eastAsiaTheme="majorAscii" w:cstheme="majorAscii"/>
          <w:sz w:val="28"/>
          <w:szCs w:val="28"/>
        </w:rPr>
      </w:pPr>
      <w:r w:rsidR="3C534B88" w:rsidRPr="3C534B88">
        <w:rPr>
          <w:noProof w:val="0"/>
          <w:lang w:val="en-US"/>
          <w:rFonts w:ascii="Calibri Light" w:cs="Calibri Light" w:eastAsia="Calibri Light" w:hAnsi="Calibri Light" w:hAnsiTheme="majorAscii" w:eastAsiaTheme="majorAscii" w:cstheme="majorAscii"/>
          <w:sz w:val="28"/>
          <w:szCs w:val="28"/>
        </w:rPr>
        <w:t xml:space="preserve">In this essay, I will explore my communication and behavioral skills used during an interview I have previously attended at Birmingham City University for the Adult Nursing course. I will also reflect on the importance of interviews and the types of interviews that universities use. I do not have any feedback from my interviewers but I have been accepted into nursing so I will use this as positive feedback alongside my own opinion to reflect on my performance.                                                           My interview day was set out in two stages, firstly myself and the other candidates were taken into a room with another student nurse and lectures, this part of the application day was very informal, the lecturer used this time to ask the group some informal questions and talk about the course. One of the questions asked was “Does anybody know what changes have been made to the NMC?” I had previously done research on the changes made so here I was able to answer with a clear and confident answer. I had taken my time to answer and allowed others to speak if they had wanted. I think by answering this showed that I had the confidence to answer in a group with a calm presence, which was made clear to the lecturer and interviewers, as well showing that I had done research into the NMC and the course.  After the introduction we were shown two videos of role play between a student nurse and a patient, here we were allowed to make notes which we could take into our one to one interview. There are three different kinds of interviews, one being structured, where a set of question will be asked and not deviated from (Green and Thorogood, 2018). Similar to structured interviews (Clifford, et al. 2003) states that semi structured interviews also have a mediator who will ask questions and participants who answer, although a question is asked the participant is able to talk about other issues that they feel are important. My interview was a structured interview with two interviewers who had three questions each, based on the videos and some questions that were about the nursing role in general. One of the questions asked in my interview was “Why should we give you a place at this University?” I was unprepared for this type of question as I had prepared for questions focused on the nursing role, I feel the interviews could tell I was unprepared for this question, as I had to take time to think about my answer. If I had the opportunity to be interviewed again, I would prepare myself better for questions about myself as that is an area that I find hardest to talk about. On the other hand when I was asked questions about the videos we had been shown I felt confident to answer as I had my notes in front of me and I was allowed to refer back to them, I feel my answers showed the interviewers that I was able to be observant and aware of patient’s needs in a diverse area of care. I think in this interview I was able to show my understanding on the importance of communicating and the impact it has in challenging situations. “What skills and qualities do you think a nurse should have?” was another question I was asked during my one to one interview, I think I answered this question well as I talked about the 6 c’s, showing I had researched the role, I also applied my own experience from working within the healthcare sector to justify my answer.  Throughout my interview I kept body language open by having my hands on my knees and avoiding negative body language such as crossing my arms. I also tried to keep good eye contact, by doing this I was able to show the interviewers that I was ready to interact with them. (Rogers, 1995) theory supports the idea that most people have the need for intimacy, and one of these being nonverbal communication. I believe that my body language allowed me to show that I am able to communicate well both verbally and non verbally showing the interviews that I have a skill that is transferable to the nursing role.                                                                                                   After my interview I was given the opportunity to ask a current student nurse questions about her experience, I took it upon myself to ask as many questions as I could and by doing this I feel I was able to show my passion and </w:t>
      </w:r>
      <w:r w:rsidR="3C534B88" w:rsidRPr="3C534B88">
        <w:rPr>
          <w:noProof w:val="0"/>
          <w:lang w:val="en-US"/>
          <w:rFonts w:ascii="Calibri Light" w:cs="Calibri Light" w:eastAsia="Calibri Light" w:hAnsi="Calibri Light" w:hAnsiTheme="majorAscii" w:eastAsiaTheme="majorAscii" w:cstheme="majorAscii"/>
          <w:sz w:val="28"/>
          <w:szCs w:val="28"/>
        </w:rPr>
        <w:t>interest</w:t>
      </w:r>
      <w:r w:rsidR="3C534B88" w:rsidRPr="3C534B88">
        <w:rPr>
          <w:noProof w:val="0"/>
          <w:lang w:val="en-US"/>
          <w:rFonts w:ascii="Calibri Light" w:cs="Calibri Light" w:eastAsia="Calibri Light" w:hAnsi="Calibri Light" w:hAnsiTheme="majorAscii" w:eastAsiaTheme="majorAscii" w:cstheme="majorAscii"/>
          <w:sz w:val="28"/>
          <w:szCs w:val="28"/>
        </w:rPr>
        <w:t xml:space="preserve"> in the nursing course. Over all I feel my interview went very well and I was pleased with how I answered the questions I was asked, my learning from this interview is that it is important to research the role thoroughly and be as confident as possible while showing your personality. Although there were some questions that I feel I could have answered more efficiently, if I was to be interviewed again, I would try to research the possible questions that may be asked so that I would not be unprepared. </w:t>
      </w:r>
    </w:p>
    <w:p w:rsidR="3C534B88" w:rsidRDefault="3C534B88" w14:paraId="4AF927DC" w14:textId="2434BFE9" w:rsidP="3C534B88">
      <w:pPr>
        <w:pStyle w:val="Normal"/>
        <w:jc w:val="left"/>
        <w:rPr>
          <w:bCs w:val="0"/>
          <w:b w:val="0"/>
          <w:sz w:val="28"/>
          <w:szCs w:val="28"/>
        </w:rPr>
      </w:pPr>
    </w:p>
    <w:p w:rsidR="05A83ED2" w:rsidRDefault="05A83ED2" w14:paraId="109C94BA" w14:textId="25AE313D" w:rsidP="05A83ED2">
      <w:pPr>
        <w:pStyle w:val="Normal"/>
        <w:jc w:val="left"/>
        <w:rPr>
          <w:bCs w:val="0"/>
          <w:b w:val="0"/>
          <w:sz w:val="28"/>
          <w:szCs w:val="28"/>
        </w:rPr>
      </w:pPr>
    </w:p>
    <w:p w:rsidR="05A83ED2" w:rsidRDefault="05A83ED2" w14:paraId="251CA24E" w14:textId="37E7299F" w:rsidP="05A83ED2">
      <w:pPr>
        <w:pStyle w:val="Normal"/>
        <w:jc w:val="left"/>
        <w:rPr>
          <w:bCs w:val="0"/>
          <w:b w:val="0"/>
          <w:sz w:val="28"/>
          <w:szCs w:val="28"/>
        </w:rPr>
      </w:pPr>
    </w:p>
    <w:p w:rsidR="05A83ED2" w:rsidRDefault="05A83ED2" w14:paraId="0A930F6B" w14:textId="18F639A1" w:rsidP="3C534B88">
      <w:pPr>
        <w:pStyle w:val="Normal"/>
        <w:jc w:val="left"/>
        <w:rPr>
          <w:bCs w:val="0"/>
          <w:b w:val="0"/>
          <w:sz w:val="28"/>
          <w:szCs w:val="28"/>
        </w:rPr>
      </w:pPr>
    </w:p>
    <w:p w:rsidR="1036E71E" w:rsidRDefault="1036E71E" w14:paraId="1A33E548" w14:textId="4C837FD1" w:rsidP="1036E71E">
      <w:pPr>
        <w:pStyle w:val="Normal"/>
        <w:jc w:val="left"/>
        <w:rPr>
          <w:bCs w:val="0"/>
          <w:b w:val="0"/>
          <w:sz w:val="28"/>
          <w:szCs w:val="28"/>
        </w:rPr>
      </w:pPr>
    </w:p>
    <w:p>
      <w:pPr>
        <w:pStyle w:val="Normal"/>
        <w:jc w:val="left"/>
      </w:pPr>
      <w:r>
        <w:rPr>
          <w:b/>
          <w:sz w:val="32"/>
        </w:rPr>
      </w:r>
    </w:p>
    <w:p w:rsidR="03C8DF38" w:rsidRDefault="03C8DF38" w14:paraId="7B0AB414" w14:textId="4C8F2B8D" w:rsidP="3C534B88">
      <w:pPr>
        <w:pStyle w:val="Normal"/>
        <w:jc w:val="left"/>
        <w:rPr>
          <w:bCs w:val="0"/>
          <w:b w:val="0"/>
          <w:sz w:val="28"/>
          <w:szCs w:val="28"/>
        </w:rPr>
      </w:pPr>
      <w:r w:rsidR="3C534B88" w:rsidRPr="3C534B88">
        <w:rPr>
          <w:bCs w:val="1"/>
          <w:b/>
          <w:sz w:val="32"/>
          <w:szCs w:val="32"/>
        </w:rPr>
        <w:t xml:space="preserve">References </w:t>
      </w:r>
    </w:p>
    <w:p w:rsidR="3C534B88" w:rsidRDefault="3C534B88" w14:paraId="35653E70" w14:textId="7BFC3F61" w:rsidP="3C534B88">
      <w:pPr>
        <w:pStyle w:val="Normal"/>
        <w:jc w:val="left"/>
        <w:rPr>
          <w:bCs w:val="1"/>
          <w:b/>
          <w:sz w:val="32"/>
          <w:szCs w:val="32"/>
        </w:rPr>
      </w:pPr>
      <w:r>
        <w:rPr>
          <w:rFonts w:ascii="Calibri Light"/>
          <w:sz w:val="28"/>
        </w:rPr>
        <w:t xml:space="preserve">Clifford, N. et al. (2003) </w:t>
      </w:r>
      <w:r>
        <w:rPr>
          <w:i/>
          <w:rFonts w:ascii="Calibri Light"/>
          <w:sz w:val="28"/>
        </w:rPr>
        <w:t>Key Methods in Geography</w:t>
      </w:r>
      <w:r>
        <w:rPr>
          <w:rFonts w:ascii="Calibri Light"/>
          <w:sz w:val="28"/>
        </w:rPr>
        <w:t>. 3</w:t>
      </w:r>
      <w:r>
        <w:rPr>
          <w:rFonts w:ascii="Calibri Light"/>
          <w:sz w:val="28"/>
          <w:vertAlign w:val="superscript"/>
        </w:rPr>
        <w:t>rd</w:t>
      </w:r>
      <w:r>
        <w:rPr>
          <w:rFonts w:ascii="Calibri Light"/>
          <w:sz w:val="28"/>
        </w:rPr>
        <w:t xml:space="preserve"> Ed. London: Sage Productions.</w:t>
      </w:r>
    </w:p>
    <w:p w:rsidR="3C534B88" w:rsidRDefault="3C534B88" w14:paraId="0F8108CC" w14:textId="6897D040" w:rsidP="3C534B88">
      <w:pPr>
        <w:pStyle w:val="Normal"/>
        <w:jc w:val="left"/>
        <w:rPr>
          <w:noProof w:val="0"/>
          <w:lang w:val="en-US"/>
          <w:rFonts w:ascii="Calibri Light" w:cs="Calibri Light" w:eastAsia="Calibri Light" w:hAnsi="Calibri Light" w:hAnsiTheme="majorAscii" w:eastAsiaTheme="majorAscii" w:cstheme="majorAscii"/>
          <w:sz w:val="28"/>
          <w:szCs w:val="28"/>
        </w:rPr>
      </w:pPr>
      <w:r w:rsidR="3C534B88" w:rsidRPr="3C534B88">
        <w:rPr>
          <w:noProof w:val="0"/>
          <w:lang w:val="en-US"/>
          <w:rFonts w:ascii="Calibri Light" w:cs="Calibri Light" w:eastAsia="Calibri Light" w:hAnsi="Calibri Light" w:hAnsiTheme="majorAscii" w:eastAsiaTheme="majorAscii" w:cstheme="majorAscii"/>
          <w:sz w:val="28"/>
          <w:szCs w:val="28"/>
        </w:rPr>
        <w:t xml:space="preserve">Green, J and </w:t>
      </w:r>
      <w:proofErr w:type="spellStart"/>
      <w:r w:rsidR="3C534B88" w:rsidRPr="3C534B88">
        <w:rPr>
          <w:noProof w:val="0"/>
          <w:lang w:val="en-US"/>
          <w:rFonts w:ascii="Calibri Light" w:cs="Calibri Light" w:eastAsia="Calibri Light" w:hAnsi="Calibri Light" w:hAnsiTheme="majorAscii" w:eastAsiaTheme="majorAscii" w:cstheme="majorAscii"/>
          <w:sz w:val="28"/>
          <w:szCs w:val="28"/>
        </w:rPr>
        <w:t>Thorogod</w:t>
      </w:r>
      <w:proofErr w:type="spellEnd"/>
      <w:r w:rsidR="3C534B88" w:rsidRPr="3C534B88">
        <w:rPr>
          <w:noProof w:val="0"/>
          <w:lang w:val="en-US"/>
          <w:rFonts w:ascii="Calibri Light" w:cs="Calibri Light" w:eastAsia="Calibri Light" w:hAnsi="Calibri Light" w:hAnsiTheme="majorAscii" w:eastAsiaTheme="majorAscii" w:cstheme="majorAscii"/>
          <w:sz w:val="28"/>
          <w:szCs w:val="28"/>
        </w:rPr>
        <w:t xml:space="preserve">, N. (2018) </w:t>
      </w:r>
      <w:r w:rsidR="3C534B88" w:rsidRPr="3C534B88">
        <w:rPr>
          <w:iCs w:val="1"/>
          <w:noProof w:val="0"/>
          <w:lang w:val="en-US"/>
          <w:i/>
          <w:rFonts w:ascii="Calibri Light" w:cs="Calibri Light" w:eastAsia="Calibri Light" w:hAnsi="Calibri Light" w:hAnsiTheme="majorAscii" w:eastAsiaTheme="majorAscii" w:cstheme="majorAscii"/>
          <w:sz w:val="28"/>
          <w:szCs w:val="28"/>
        </w:rPr>
        <w:t>Qualitative Methods for Health Research</w:t>
      </w:r>
      <w:r w:rsidR="3C534B88" w:rsidRPr="3C534B88">
        <w:rPr>
          <w:noProof w:val="0"/>
          <w:lang w:val="en-US"/>
          <w:rFonts w:ascii="Calibri Light" w:cs="Calibri Light" w:eastAsia="Calibri Light" w:hAnsi="Calibri Light" w:hAnsiTheme="majorAscii" w:eastAsiaTheme="majorAscii" w:cstheme="majorAscii"/>
          <w:sz w:val="28"/>
          <w:szCs w:val="28"/>
        </w:rPr>
        <w:t>. 4</w:t>
      </w:r>
      <w:r w:rsidR="3C534B88" w:rsidRPr="3C534B88">
        <w:rPr>
          <w:noProof w:val="0"/>
          <w:lang w:val="en-US"/>
          <w:rFonts w:ascii="Calibri Light" w:cs="Calibri Light" w:eastAsia="Calibri Light" w:hAnsi="Calibri Light" w:hAnsiTheme="majorAscii" w:eastAsiaTheme="majorAscii" w:cstheme="majorAscii"/>
          <w:sz w:val="28"/>
          <w:szCs w:val="28"/>
          <w:vertAlign w:val="superscript"/>
        </w:rPr>
        <w:t>th</w:t>
      </w:r>
      <w:r w:rsidR="3C534B88" w:rsidRPr="3C534B88">
        <w:rPr>
          <w:noProof w:val="0"/>
          <w:lang w:val="en-US"/>
          <w:rFonts w:ascii="Calibri Light" w:cs="Calibri Light" w:eastAsia="Calibri Light" w:hAnsi="Calibri Light" w:hAnsiTheme="majorAscii" w:eastAsiaTheme="majorAscii" w:cstheme="majorAscii"/>
          <w:sz w:val="28"/>
          <w:szCs w:val="28"/>
        </w:rPr>
        <w:t xml:space="preserve"> Ed. London: Sage Productions Koltay, T. (2010) Abstracts and abstracting:</w:t>
      </w:r>
      <w:r w:rsidR="3C534B88" w:rsidRPr="3C534B88">
        <w:rPr>
          <w:iCs w:val="1"/>
          <w:noProof w:val="0"/>
          <w:lang w:val="en-US"/>
          <w:i/>
          <w:rFonts w:ascii="Calibri Light" w:cs="Calibri Light" w:eastAsia="Calibri Light" w:hAnsi="Calibri Light" w:hAnsiTheme="majorAscii" w:eastAsiaTheme="majorAscii" w:cstheme="majorAscii"/>
          <w:sz w:val="28"/>
          <w:szCs w:val="28"/>
        </w:rPr>
        <w:t xml:space="preserve"> A genre and set of skills for the Twenty- First century</w:t>
      </w:r>
      <w:r w:rsidR="3C534B88" w:rsidRPr="3C534B88">
        <w:rPr>
          <w:noProof w:val="0"/>
          <w:lang w:val="en-US"/>
          <w:rFonts w:ascii="Calibri Light" w:cs="Calibri Light" w:eastAsia="Calibri Light" w:hAnsi="Calibri Light" w:hAnsiTheme="majorAscii" w:eastAsiaTheme="majorAscii" w:cstheme="majorAscii"/>
          <w:sz w:val="28"/>
          <w:szCs w:val="28"/>
        </w:rPr>
        <w:t xml:space="preserve">. Oxford: </w:t>
      </w:r>
      <w:proofErr w:type="spellStart"/>
      <w:r w:rsidR="3C534B88" w:rsidRPr="3C534B88">
        <w:rPr>
          <w:noProof w:val="0"/>
          <w:lang w:val="en-US"/>
          <w:rFonts w:ascii="Calibri Light" w:cs="Calibri Light" w:eastAsia="Calibri Light" w:hAnsi="Calibri Light" w:hAnsiTheme="majorAscii" w:eastAsiaTheme="majorAscii" w:cstheme="majorAscii"/>
          <w:sz w:val="28"/>
          <w:szCs w:val="28"/>
        </w:rPr>
        <w:t>Chandos</w:t>
      </w:r>
      <w:proofErr w:type="spellEnd"/>
      <w:r w:rsidR="3C534B88" w:rsidRPr="3C534B88">
        <w:rPr>
          <w:noProof w:val="0"/>
          <w:lang w:val="en-US"/>
          <w:rFonts w:ascii="Calibri Light" w:cs="Calibri Light" w:eastAsia="Calibri Light" w:hAnsi="Calibri Light" w:hAnsiTheme="majorAscii" w:eastAsiaTheme="majorAscii" w:cstheme="majorAscii"/>
          <w:sz w:val="28"/>
          <w:szCs w:val="28"/>
        </w:rPr>
        <w:t xml:space="preserve"> Publishing.</w:t>
      </w:r>
    </w:p>
    <w:p w:rsidR="3C534B88" w:rsidRDefault="3C534B88" w14:paraId="47D5362F" w14:textId="1F369F13" w:rsidP="3C534B88">
      <w:pPr>
        <w:pStyle w:val="Normal"/>
        <w:jc w:val="left"/>
        <w:rPr>
          <w:noProof w:val="0"/>
          <w:lang w:val="en-US"/>
          <w:rFonts w:ascii="Calibri Light" w:cs="Calibri Light" w:eastAsia="Calibri Light" w:hAnsi="Calibri Light" w:hAnsiTheme="majorAscii" w:eastAsiaTheme="majorAscii" w:cstheme="majorAscii"/>
          <w:sz w:val="28"/>
          <w:szCs w:val="28"/>
        </w:rPr>
      </w:pPr>
      <w:r w:rsidR="3C534B88" w:rsidRPr="3C534B88">
        <w:rPr>
          <w:noProof w:val="0"/>
          <w:lang w:val="en-US"/>
          <w:rFonts w:ascii="Calibri Light" w:cs="Calibri Light" w:eastAsia="Calibri Light" w:hAnsi="Calibri Light" w:hAnsiTheme="majorAscii" w:eastAsiaTheme="majorAscii" w:cstheme="majorAscii"/>
          <w:sz w:val="28"/>
          <w:szCs w:val="28"/>
        </w:rPr>
        <w:t>Rogers, R.C. (1995)</w:t>
      </w:r>
      <w:r w:rsidR="3C534B88" w:rsidRPr="3C534B88">
        <w:rPr>
          <w:iCs w:val="1"/>
          <w:noProof w:val="0"/>
          <w:lang w:val="en-US"/>
          <w:i/>
          <w:rFonts w:ascii="Calibri Light" w:cs="Calibri Light" w:eastAsia="Calibri Light" w:hAnsi="Calibri Light" w:hAnsiTheme="majorAscii" w:eastAsiaTheme="majorAscii" w:cstheme="majorAscii"/>
          <w:sz w:val="28"/>
          <w:szCs w:val="28"/>
        </w:rPr>
        <w:t xml:space="preserve"> A Way of Being. </w:t>
      </w:r>
      <w:r w:rsidR="3C534B88" w:rsidRPr="3C534B88">
        <w:rPr>
          <w:noProof w:val="0"/>
          <w:lang w:val="en-US"/>
          <w:rFonts w:ascii="Calibri Light" w:cs="Calibri Light" w:eastAsia="Calibri Light" w:hAnsi="Calibri Light" w:hAnsiTheme="majorAscii" w:eastAsiaTheme="majorAscii" w:cstheme="majorAscii"/>
          <w:sz w:val="28"/>
          <w:szCs w:val="28"/>
        </w:rPr>
        <w:t>Boston: Houghton Mifflin Company.</w:t>
      </w:r>
    </w:p>
    <w:p w:rsidR="3C534B88" w:rsidRDefault="3C534B88" w14:paraId="21728D93" w14:textId="3585DECB" w:rsidP="3C534B88">
      <w:pPr>
        <w:pStyle w:val="Normal"/>
        <w:jc w:val="left"/>
        <w:rPr>
          <w:noProof w:val="0"/>
          <w:lang w:val="en-US"/>
          <w:rFonts w:ascii="Calibri" w:cs="Calibri" w:eastAsia="Calibri" w:hAnsi="Calibri"/>
          <w:sz w:val="28"/>
          <w:szCs w:val="28"/>
        </w:rPr>
      </w:pPr>
    </w:p>
    <w:sectPr>
      <w:docGrid w:linePitch="360"/>
      <w:pgSz w:w="12240" w:h="15840" w:orient="portrait"/>
      <w:pgMar w:left="1440" w:right="1440" w:top="1440" w:bottom="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D9B7CAF"/>
  <w15:docId w15:val="{88293bdb-5941-4a0c-98c8-6eb3355f43fc}"/>
  <w:rsids>
    <w:rsidRoot w:val="3FAE29F7"/>
    <w:rsid w:val="03C8DF38"/>
    <w:rsid w:val="0419FD79"/>
    <w:rsid w:val="05A83ED2"/>
    <w:rsid w:val="1036E71E"/>
    <w:rsid w:val="3C534B88"/>
    <w:rsid w:val="3FAE29F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font w:name="Symbol"/>
  <w:font w:name="Courier New"/>
  <w:font w:name="Arial"/>
</w:fonts>
</file>

<file path=word//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2.xml.rels><?xml version="1.0" encoding="UTF-8" standalone="yes"?>
<Relationships xmlns="http://schemas.openxmlformats.org/package/2006/relationships"><Relationship Id="rId3" Type="http://schemas.openxmlformats.org/officeDocument/2006/relationships/webSettings" Target="/word/webSettings.xml"/><Relationship Id="rId2" Type="http://schemas.openxmlformats.org/officeDocument/2006/relationships/settings" Target="/word/settings.xml"/><Relationship Id="rId1" Type="http://schemas.openxmlformats.org/officeDocument/2006/relationships/styles" Target="/word/styles.xml"/><Relationship Id="rId5" Type="http://schemas.openxmlformats.org/officeDocument/2006/relationships/theme" Target="/word/theme/theme1.xml"/><Relationship Id="rId4" Type="http://schemas.openxmlformats.org/officeDocument/2006/relationships/fontTable" Target="/word/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2019-05-02T10:54:25.8454258Z</dcterms:created>
  <dcterms:modified xsi:type="dcterms:W3CDTF">2019-05-07T17:08:41.0989814Z</dcterms:modified>
  <dc:creator>maxine davies</dc:creator>
  <lastModifiedBy>maxine davies</lastModifiedBy>
</coreProperties>
</file>