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B18CF" w14:textId="173CDF13" w:rsidR="00523971" w:rsidRDefault="00B05618" w:rsidP="00861935">
      <w:pPr>
        <w:spacing w:line="360" w:lineRule="auto"/>
        <w:jc w:val="both"/>
        <w:rPr>
          <w:lang w:val="en-US"/>
        </w:rPr>
      </w:pPr>
      <w:r>
        <w:rPr>
          <w:noProof/>
          <w:lang w:val="en-US"/>
        </w:rPr>
        <w:drawing>
          <wp:inline distT="0" distB="0" distL="0" distR="0" wp14:anchorId="2C93836D" wp14:editId="5D5B33B6">
            <wp:extent cx="6000750" cy="2400300"/>
            <wp:effectExtent l="0" t="0" r="0" b="0"/>
            <wp:docPr id="135781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00750" cy="2400300"/>
                    </a:xfrm>
                    <a:prstGeom prst="rect">
                      <a:avLst/>
                    </a:prstGeom>
                    <a:noFill/>
                  </pic:spPr>
                </pic:pic>
              </a:graphicData>
            </a:graphic>
          </wp:inline>
        </w:drawing>
      </w:r>
    </w:p>
    <w:p w14:paraId="13E3EE9C" w14:textId="77777777" w:rsidR="006730F6" w:rsidRDefault="006730F6" w:rsidP="00861935">
      <w:pPr>
        <w:spacing w:line="360" w:lineRule="auto"/>
        <w:jc w:val="both"/>
        <w:rPr>
          <w:lang w:val="en-US"/>
        </w:rPr>
      </w:pPr>
    </w:p>
    <w:p w14:paraId="3E367E85" w14:textId="440C0E75" w:rsidR="00EA6FC0" w:rsidRDefault="00EA6FC0" w:rsidP="00861935">
      <w:pPr>
        <w:spacing w:line="360" w:lineRule="auto"/>
        <w:jc w:val="both"/>
        <w:rPr>
          <w:b/>
          <w:bCs/>
          <w:sz w:val="36"/>
          <w:szCs w:val="36"/>
        </w:rPr>
      </w:pPr>
      <w:r>
        <w:rPr>
          <w:b/>
          <w:bCs/>
          <w:sz w:val="36"/>
          <w:szCs w:val="36"/>
        </w:rPr>
        <w:t xml:space="preserve">               </w:t>
      </w:r>
      <w:r w:rsidRPr="00EA6FC0">
        <w:rPr>
          <w:b/>
          <w:bCs/>
          <w:sz w:val="36"/>
          <w:szCs w:val="36"/>
        </w:rPr>
        <w:t>Stakeholder Engagement (LCBB4013_LON)</w:t>
      </w:r>
    </w:p>
    <w:p w14:paraId="3DA1F7F6" w14:textId="25EA6805" w:rsidR="00EA6FC0" w:rsidRDefault="00910F2E" w:rsidP="00861935">
      <w:pPr>
        <w:spacing w:line="360" w:lineRule="auto"/>
        <w:jc w:val="both"/>
        <w:rPr>
          <w:b/>
          <w:bCs/>
          <w:sz w:val="36"/>
          <w:szCs w:val="36"/>
        </w:rPr>
      </w:pPr>
      <w:r>
        <w:rPr>
          <w:b/>
          <w:bCs/>
          <w:sz w:val="36"/>
          <w:szCs w:val="36"/>
        </w:rPr>
        <w:t xml:space="preserve">                     </w:t>
      </w:r>
      <w:r w:rsidRPr="00910F2E">
        <w:rPr>
          <w:b/>
          <w:bCs/>
          <w:sz w:val="36"/>
          <w:szCs w:val="36"/>
        </w:rPr>
        <w:t>Coursework-Portfolio</w:t>
      </w:r>
      <w:r w:rsidR="00F81963">
        <w:rPr>
          <w:b/>
          <w:bCs/>
          <w:sz w:val="36"/>
          <w:szCs w:val="36"/>
        </w:rPr>
        <w:t xml:space="preserve">: </w:t>
      </w:r>
      <w:r w:rsidR="006951AC">
        <w:rPr>
          <w:b/>
          <w:bCs/>
          <w:sz w:val="36"/>
          <w:szCs w:val="36"/>
        </w:rPr>
        <w:t>E</w:t>
      </w:r>
      <w:r w:rsidR="006951AC" w:rsidRPr="006951AC">
        <w:rPr>
          <w:b/>
          <w:bCs/>
          <w:sz w:val="36"/>
          <w:szCs w:val="36"/>
        </w:rPr>
        <w:t>lizabeth line</w:t>
      </w:r>
    </w:p>
    <w:p w14:paraId="615EE357" w14:textId="77777777" w:rsidR="00107530" w:rsidRDefault="00107530" w:rsidP="00861935">
      <w:pPr>
        <w:spacing w:line="360" w:lineRule="auto"/>
        <w:jc w:val="both"/>
        <w:rPr>
          <w:b/>
          <w:bCs/>
          <w:sz w:val="36"/>
          <w:szCs w:val="36"/>
        </w:rPr>
      </w:pPr>
    </w:p>
    <w:p w14:paraId="2D6AA9C1" w14:textId="77777777" w:rsidR="00107530" w:rsidRDefault="00107530" w:rsidP="00861935">
      <w:pPr>
        <w:spacing w:line="360" w:lineRule="auto"/>
        <w:jc w:val="both"/>
        <w:rPr>
          <w:b/>
          <w:bCs/>
          <w:sz w:val="36"/>
          <w:szCs w:val="36"/>
        </w:rPr>
      </w:pPr>
    </w:p>
    <w:p w14:paraId="293CBA0A" w14:textId="77777777" w:rsidR="00107530" w:rsidRDefault="00107530" w:rsidP="00861935">
      <w:pPr>
        <w:spacing w:line="360" w:lineRule="auto"/>
        <w:jc w:val="both"/>
        <w:rPr>
          <w:b/>
          <w:bCs/>
          <w:sz w:val="36"/>
          <w:szCs w:val="36"/>
        </w:rPr>
      </w:pPr>
    </w:p>
    <w:p w14:paraId="0CC4D00C" w14:textId="77777777" w:rsidR="00107530" w:rsidRDefault="00107530" w:rsidP="00861935">
      <w:pPr>
        <w:spacing w:line="360" w:lineRule="auto"/>
        <w:jc w:val="both"/>
        <w:rPr>
          <w:b/>
          <w:bCs/>
          <w:sz w:val="36"/>
          <w:szCs w:val="36"/>
        </w:rPr>
      </w:pPr>
    </w:p>
    <w:p w14:paraId="0A5D3412" w14:textId="77777777" w:rsidR="00910F2E" w:rsidRDefault="00910F2E" w:rsidP="00861935">
      <w:pPr>
        <w:spacing w:line="360" w:lineRule="auto"/>
        <w:jc w:val="both"/>
        <w:rPr>
          <w:b/>
          <w:bCs/>
          <w:sz w:val="36"/>
          <w:szCs w:val="36"/>
        </w:rPr>
      </w:pPr>
    </w:p>
    <w:p w14:paraId="7C154178" w14:textId="77777777" w:rsidR="00107530" w:rsidRPr="00107530" w:rsidRDefault="00107530" w:rsidP="00861935">
      <w:pPr>
        <w:spacing w:line="360" w:lineRule="auto"/>
        <w:jc w:val="both"/>
        <w:rPr>
          <w:rFonts w:cs="Aharoni"/>
          <w:sz w:val="40"/>
          <w:szCs w:val="40"/>
          <w:lang w:val="nl-NL"/>
        </w:rPr>
      </w:pPr>
      <w:r w:rsidRPr="00107530">
        <w:rPr>
          <w:rFonts w:cs="Aharoni"/>
          <w:sz w:val="40"/>
          <w:szCs w:val="40"/>
          <w:lang w:val="nl-NL"/>
        </w:rPr>
        <w:t>Student name: Ion Dodon</w:t>
      </w:r>
    </w:p>
    <w:p w14:paraId="567D9619" w14:textId="77777777" w:rsidR="00107530" w:rsidRPr="00107530" w:rsidRDefault="00107530" w:rsidP="00861935">
      <w:pPr>
        <w:spacing w:line="360" w:lineRule="auto"/>
        <w:jc w:val="both"/>
        <w:rPr>
          <w:rFonts w:cs="Aharoni"/>
          <w:sz w:val="40"/>
          <w:szCs w:val="40"/>
          <w:lang w:val="nl-NL"/>
        </w:rPr>
      </w:pPr>
      <w:r w:rsidRPr="00107530">
        <w:rPr>
          <w:rFonts w:cs="Aharoni"/>
          <w:sz w:val="40"/>
          <w:szCs w:val="40"/>
          <w:lang w:val="nl-NL"/>
        </w:rPr>
        <w:t>Student ID.: 2315140</w:t>
      </w:r>
    </w:p>
    <w:p w14:paraId="796AC564" w14:textId="154D3B5E" w:rsidR="00910F2E" w:rsidRPr="00EA6FC0" w:rsidRDefault="00107530" w:rsidP="00861935">
      <w:pPr>
        <w:spacing w:line="360" w:lineRule="auto"/>
        <w:jc w:val="both"/>
        <w:rPr>
          <w:b/>
          <w:bCs/>
        </w:rPr>
      </w:pPr>
      <w:r w:rsidRPr="00331B21">
        <w:rPr>
          <w:rFonts w:cs="Aharoni"/>
          <w:sz w:val="40"/>
          <w:szCs w:val="40"/>
        </w:rPr>
        <w:t>Lecture</w:t>
      </w:r>
      <w:r>
        <w:rPr>
          <w:rFonts w:cs="Aharoni"/>
          <w:sz w:val="40"/>
          <w:szCs w:val="40"/>
        </w:rPr>
        <w:t xml:space="preserve">: </w:t>
      </w:r>
      <w:r w:rsidR="006D5084" w:rsidRPr="006D5084">
        <w:rPr>
          <w:rFonts w:cs="Aharoni"/>
          <w:sz w:val="40"/>
          <w:szCs w:val="40"/>
        </w:rPr>
        <w:t>Rameses Manalang</w:t>
      </w:r>
    </w:p>
    <w:p w14:paraId="1CFF86E7" w14:textId="77777777" w:rsidR="00B05618" w:rsidRPr="00EA6FC0" w:rsidRDefault="00B05618" w:rsidP="00861935">
      <w:pPr>
        <w:spacing w:line="360" w:lineRule="auto"/>
        <w:jc w:val="both"/>
        <w:rPr>
          <w:b/>
          <w:bCs/>
          <w:sz w:val="32"/>
          <w:szCs w:val="32"/>
          <w:lang w:val="en-US"/>
        </w:rPr>
      </w:pPr>
    </w:p>
    <w:sdt>
      <w:sdtPr>
        <w:rPr>
          <w:rFonts w:asciiTheme="minorHAnsi" w:eastAsiaTheme="minorHAnsi" w:hAnsiTheme="minorHAnsi" w:cstheme="minorBidi"/>
          <w:color w:val="auto"/>
          <w:kern w:val="2"/>
          <w:sz w:val="24"/>
          <w:szCs w:val="24"/>
          <w:lang w:val="en-GB"/>
          <w14:ligatures w14:val="standardContextual"/>
        </w:rPr>
        <w:id w:val="-633415458"/>
        <w:docPartObj>
          <w:docPartGallery w:val="Table of Contents"/>
          <w:docPartUnique/>
        </w:docPartObj>
      </w:sdtPr>
      <w:sdtEndPr>
        <w:rPr>
          <w:b/>
          <w:bCs/>
          <w:noProof/>
        </w:rPr>
      </w:sdtEndPr>
      <w:sdtContent>
        <w:p w14:paraId="7E1015BB" w14:textId="36793AB3" w:rsidR="00227AD8" w:rsidRPr="00227AD8" w:rsidRDefault="00227AD8" w:rsidP="00227AD8">
          <w:pPr>
            <w:pStyle w:val="TOCHeading"/>
            <w:rPr>
              <w:b/>
              <w:bCs/>
            </w:rPr>
          </w:pPr>
          <w:r w:rsidRPr="00227AD8">
            <w:rPr>
              <w:b/>
              <w:bCs/>
            </w:rPr>
            <w:t>Contents</w:t>
          </w:r>
        </w:p>
        <w:p w14:paraId="25970154" w14:textId="77777777" w:rsidR="00227AD8" w:rsidRPr="00227AD8" w:rsidRDefault="00227AD8" w:rsidP="00227AD8">
          <w:pPr>
            <w:rPr>
              <w:lang w:val="en-US"/>
            </w:rPr>
          </w:pPr>
        </w:p>
        <w:p w14:paraId="1E7194C8" w14:textId="3B1CABEF" w:rsidR="00227AD8" w:rsidRDefault="00227AD8" w:rsidP="00227AD8">
          <w:pPr>
            <w:pStyle w:val="TOC1"/>
            <w:rPr>
              <w:rFonts w:eastAsiaTheme="minorEastAsia"/>
              <w:lang w:eastAsia="en-GB"/>
            </w:rPr>
          </w:pPr>
          <w:r>
            <w:fldChar w:fldCharType="begin"/>
          </w:r>
          <w:r>
            <w:instrText xml:space="preserve"> TOC \o "1-3" \h \z \u </w:instrText>
          </w:r>
          <w:r>
            <w:fldChar w:fldCharType="separate"/>
          </w:r>
          <w:hyperlink w:anchor="_Toc215924588" w:history="1">
            <w:r w:rsidRPr="00227AD8">
              <w:rPr>
                <w:rStyle w:val="Hyperlink"/>
              </w:rPr>
              <w:t>Introduction</w:t>
            </w:r>
            <w:r>
              <w:rPr>
                <w:webHidden/>
              </w:rPr>
              <w:tab/>
            </w:r>
            <w:r>
              <w:rPr>
                <w:webHidden/>
              </w:rPr>
              <w:fldChar w:fldCharType="begin"/>
            </w:r>
            <w:r>
              <w:rPr>
                <w:webHidden/>
              </w:rPr>
              <w:instrText xml:space="preserve"> PAGEREF _Toc215924588 \h </w:instrText>
            </w:r>
            <w:r>
              <w:rPr>
                <w:webHidden/>
              </w:rPr>
            </w:r>
            <w:r>
              <w:rPr>
                <w:webHidden/>
              </w:rPr>
              <w:fldChar w:fldCharType="separate"/>
            </w:r>
            <w:r>
              <w:rPr>
                <w:webHidden/>
              </w:rPr>
              <w:t>2</w:t>
            </w:r>
            <w:r>
              <w:rPr>
                <w:webHidden/>
              </w:rPr>
              <w:fldChar w:fldCharType="end"/>
            </w:r>
          </w:hyperlink>
        </w:p>
        <w:p w14:paraId="06658CD5" w14:textId="5D83B3EC" w:rsidR="00227AD8" w:rsidRPr="00227AD8" w:rsidRDefault="00227AD8" w:rsidP="00227AD8">
          <w:pPr>
            <w:pStyle w:val="TOC1"/>
            <w:rPr>
              <w:rFonts w:eastAsiaTheme="minorEastAsia"/>
              <w:lang w:eastAsia="en-GB"/>
            </w:rPr>
          </w:pPr>
          <w:hyperlink w:anchor="_Toc215924589" w:history="1">
            <w:r w:rsidRPr="00227AD8">
              <w:rPr>
                <w:rStyle w:val="Hyperlink"/>
              </w:rPr>
              <w:t>Application – Stakeholder Engagement Strategies</w:t>
            </w:r>
            <w:r w:rsidRPr="00227AD8">
              <w:rPr>
                <w:webHidden/>
              </w:rPr>
              <w:tab/>
            </w:r>
            <w:r w:rsidRPr="00227AD8">
              <w:rPr>
                <w:webHidden/>
              </w:rPr>
              <w:fldChar w:fldCharType="begin"/>
            </w:r>
            <w:r w:rsidRPr="00227AD8">
              <w:rPr>
                <w:webHidden/>
              </w:rPr>
              <w:instrText xml:space="preserve"> PAGEREF _Toc215924589 \h </w:instrText>
            </w:r>
            <w:r w:rsidRPr="00227AD8">
              <w:rPr>
                <w:webHidden/>
              </w:rPr>
            </w:r>
            <w:r w:rsidRPr="00227AD8">
              <w:rPr>
                <w:webHidden/>
              </w:rPr>
              <w:fldChar w:fldCharType="separate"/>
            </w:r>
            <w:r w:rsidRPr="00227AD8">
              <w:rPr>
                <w:webHidden/>
              </w:rPr>
              <w:t>4</w:t>
            </w:r>
            <w:r w:rsidRPr="00227AD8">
              <w:rPr>
                <w:webHidden/>
              </w:rPr>
              <w:fldChar w:fldCharType="end"/>
            </w:r>
          </w:hyperlink>
        </w:p>
        <w:p w14:paraId="00D8887F" w14:textId="57BB8672" w:rsidR="00227AD8" w:rsidRDefault="00227AD8">
          <w:pPr>
            <w:pStyle w:val="TOC3"/>
            <w:tabs>
              <w:tab w:val="right" w:leader="dot" w:pos="9016"/>
            </w:tabs>
            <w:rPr>
              <w:rFonts w:eastAsiaTheme="minorEastAsia"/>
              <w:noProof/>
              <w:lang w:eastAsia="en-GB"/>
            </w:rPr>
          </w:pPr>
          <w:hyperlink w:anchor="_Toc215924590" w:history="1">
            <w:r w:rsidRPr="00DF0D55">
              <w:rPr>
                <w:rStyle w:val="Hyperlink"/>
                <w:noProof/>
              </w:rPr>
              <w:t>Table 1: Power, Influence, and Interest of Key Stakeholders</w:t>
            </w:r>
            <w:r>
              <w:rPr>
                <w:noProof/>
                <w:webHidden/>
              </w:rPr>
              <w:tab/>
            </w:r>
            <w:r>
              <w:rPr>
                <w:noProof/>
                <w:webHidden/>
              </w:rPr>
              <w:fldChar w:fldCharType="begin"/>
            </w:r>
            <w:r>
              <w:rPr>
                <w:noProof/>
                <w:webHidden/>
              </w:rPr>
              <w:instrText xml:space="preserve"> PAGEREF _Toc215924590 \h </w:instrText>
            </w:r>
            <w:r>
              <w:rPr>
                <w:noProof/>
                <w:webHidden/>
              </w:rPr>
            </w:r>
            <w:r>
              <w:rPr>
                <w:noProof/>
                <w:webHidden/>
              </w:rPr>
              <w:fldChar w:fldCharType="separate"/>
            </w:r>
            <w:r>
              <w:rPr>
                <w:noProof/>
                <w:webHidden/>
              </w:rPr>
              <w:t>4</w:t>
            </w:r>
            <w:r>
              <w:rPr>
                <w:noProof/>
                <w:webHidden/>
              </w:rPr>
              <w:fldChar w:fldCharType="end"/>
            </w:r>
          </w:hyperlink>
        </w:p>
        <w:p w14:paraId="0DF91DB2" w14:textId="353E70EA" w:rsidR="00227AD8" w:rsidRDefault="00227AD8">
          <w:pPr>
            <w:pStyle w:val="TOC3"/>
            <w:tabs>
              <w:tab w:val="right" w:leader="dot" w:pos="9016"/>
            </w:tabs>
            <w:rPr>
              <w:rFonts w:eastAsiaTheme="minorEastAsia"/>
              <w:noProof/>
              <w:lang w:eastAsia="en-GB"/>
            </w:rPr>
          </w:pPr>
          <w:hyperlink w:anchor="_Toc215924591" w:history="1">
            <w:r w:rsidRPr="00DF0D55">
              <w:rPr>
                <w:rStyle w:val="Hyperlink"/>
                <w:noProof/>
              </w:rPr>
              <w:t>2. Stakeholder Mapping</w:t>
            </w:r>
            <w:r>
              <w:rPr>
                <w:noProof/>
                <w:webHidden/>
              </w:rPr>
              <w:tab/>
            </w:r>
            <w:r>
              <w:rPr>
                <w:noProof/>
                <w:webHidden/>
              </w:rPr>
              <w:fldChar w:fldCharType="begin"/>
            </w:r>
            <w:r>
              <w:rPr>
                <w:noProof/>
                <w:webHidden/>
              </w:rPr>
              <w:instrText xml:space="preserve"> PAGEREF _Toc215924591 \h </w:instrText>
            </w:r>
            <w:r>
              <w:rPr>
                <w:noProof/>
                <w:webHidden/>
              </w:rPr>
            </w:r>
            <w:r>
              <w:rPr>
                <w:noProof/>
                <w:webHidden/>
              </w:rPr>
              <w:fldChar w:fldCharType="separate"/>
            </w:r>
            <w:r>
              <w:rPr>
                <w:noProof/>
                <w:webHidden/>
              </w:rPr>
              <w:t>5</w:t>
            </w:r>
            <w:r>
              <w:rPr>
                <w:noProof/>
                <w:webHidden/>
              </w:rPr>
              <w:fldChar w:fldCharType="end"/>
            </w:r>
          </w:hyperlink>
        </w:p>
        <w:p w14:paraId="28F4F9ED" w14:textId="0E40F16E" w:rsidR="00227AD8" w:rsidRDefault="00227AD8">
          <w:pPr>
            <w:pStyle w:val="TOC3"/>
            <w:tabs>
              <w:tab w:val="right" w:leader="dot" w:pos="9016"/>
            </w:tabs>
            <w:rPr>
              <w:rFonts w:eastAsiaTheme="minorEastAsia"/>
              <w:noProof/>
              <w:lang w:eastAsia="en-GB"/>
            </w:rPr>
          </w:pPr>
          <w:hyperlink w:anchor="_Toc215924592" w:history="1">
            <w:r w:rsidRPr="00DF0D55">
              <w:rPr>
                <w:rStyle w:val="Hyperlink"/>
                <w:noProof/>
              </w:rPr>
              <w:t>3. Communication Plan</w:t>
            </w:r>
            <w:r>
              <w:rPr>
                <w:noProof/>
                <w:webHidden/>
              </w:rPr>
              <w:tab/>
            </w:r>
            <w:r>
              <w:rPr>
                <w:noProof/>
                <w:webHidden/>
              </w:rPr>
              <w:fldChar w:fldCharType="begin"/>
            </w:r>
            <w:r>
              <w:rPr>
                <w:noProof/>
                <w:webHidden/>
              </w:rPr>
              <w:instrText xml:space="preserve"> PAGEREF _Toc215924592 \h </w:instrText>
            </w:r>
            <w:r>
              <w:rPr>
                <w:noProof/>
                <w:webHidden/>
              </w:rPr>
            </w:r>
            <w:r>
              <w:rPr>
                <w:noProof/>
                <w:webHidden/>
              </w:rPr>
              <w:fldChar w:fldCharType="separate"/>
            </w:r>
            <w:r>
              <w:rPr>
                <w:noProof/>
                <w:webHidden/>
              </w:rPr>
              <w:t>6</w:t>
            </w:r>
            <w:r>
              <w:rPr>
                <w:noProof/>
                <w:webHidden/>
              </w:rPr>
              <w:fldChar w:fldCharType="end"/>
            </w:r>
          </w:hyperlink>
        </w:p>
        <w:p w14:paraId="5924CA48" w14:textId="3DE92BD9" w:rsidR="00227AD8" w:rsidRDefault="00227AD8">
          <w:pPr>
            <w:pStyle w:val="TOC3"/>
            <w:tabs>
              <w:tab w:val="right" w:leader="dot" w:pos="9016"/>
            </w:tabs>
            <w:rPr>
              <w:rFonts w:eastAsiaTheme="minorEastAsia"/>
              <w:noProof/>
              <w:lang w:eastAsia="en-GB"/>
            </w:rPr>
          </w:pPr>
          <w:hyperlink w:anchor="_Toc215924593" w:history="1">
            <w:r w:rsidRPr="00DF0D55">
              <w:rPr>
                <w:rStyle w:val="Hyperlink"/>
                <w:noProof/>
              </w:rPr>
              <w:t>4. Consultation Strategy</w:t>
            </w:r>
            <w:r>
              <w:rPr>
                <w:noProof/>
                <w:webHidden/>
              </w:rPr>
              <w:tab/>
            </w:r>
            <w:r>
              <w:rPr>
                <w:noProof/>
                <w:webHidden/>
              </w:rPr>
              <w:fldChar w:fldCharType="begin"/>
            </w:r>
            <w:r>
              <w:rPr>
                <w:noProof/>
                <w:webHidden/>
              </w:rPr>
              <w:instrText xml:space="preserve"> PAGEREF _Toc215924593 \h </w:instrText>
            </w:r>
            <w:r>
              <w:rPr>
                <w:noProof/>
                <w:webHidden/>
              </w:rPr>
            </w:r>
            <w:r>
              <w:rPr>
                <w:noProof/>
                <w:webHidden/>
              </w:rPr>
              <w:fldChar w:fldCharType="separate"/>
            </w:r>
            <w:r>
              <w:rPr>
                <w:noProof/>
                <w:webHidden/>
              </w:rPr>
              <w:t>8</w:t>
            </w:r>
            <w:r>
              <w:rPr>
                <w:noProof/>
                <w:webHidden/>
              </w:rPr>
              <w:fldChar w:fldCharType="end"/>
            </w:r>
          </w:hyperlink>
        </w:p>
        <w:p w14:paraId="737111CB" w14:textId="0C39833B" w:rsidR="00227AD8" w:rsidRDefault="00227AD8" w:rsidP="00227AD8">
          <w:pPr>
            <w:pStyle w:val="TOC1"/>
            <w:rPr>
              <w:rFonts w:eastAsiaTheme="minorEastAsia"/>
              <w:lang w:eastAsia="en-GB"/>
            </w:rPr>
          </w:pPr>
          <w:hyperlink w:anchor="_Toc215924594" w:history="1">
            <w:r w:rsidRPr="00DF0D55">
              <w:rPr>
                <w:rStyle w:val="Hyperlink"/>
              </w:rPr>
              <w:t>Ethical Considerations in Stakeholder Consultation, Participation, and Feedback</w:t>
            </w:r>
            <w:r>
              <w:rPr>
                <w:webHidden/>
              </w:rPr>
              <w:tab/>
            </w:r>
            <w:r>
              <w:rPr>
                <w:webHidden/>
              </w:rPr>
              <w:fldChar w:fldCharType="begin"/>
            </w:r>
            <w:r>
              <w:rPr>
                <w:webHidden/>
              </w:rPr>
              <w:instrText xml:space="preserve"> PAGEREF _Toc215924594 \h </w:instrText>
            </w:r>
            <w:r>
              <w:rPr>
                <w:webHidden/>
              </w:rPr>
            </w:r>
            <w:r>
              <w:rPr>
                <w:webHidden/>
              </w:rPr>
              <w:fldChar w:fldCharType="separate"/>
            </w:r>
            <w:r>
              <w:rPr>
                <w:webHidden/>
              </w:rPr>
              <w:t>9</w:t>
            </w:r>
            <w:r>
              <w:rPr>
                <w:webHidden/>
              </w:rPr>
              <w:fldChar w:fldCharType="end"/>
            </w:r>
          </w:hyperlink>
        </w:p>
        <w:p w14:paraId="53C494FA" w14:textId="6EAE8CB6" w:rsidR="00227AD8" w:rsidRDefault="00227AD8">
          <w:pPr>
            <w:pStyle w:val="TOC2"/>
            <w:tabs>
              <w:tab w:val="right" w:leader="dot" w:pos="9016"/>
            </w:tabs>
            <w:rPr>
              <w:rFonts w:eastAsiaTheme="minorEastAsia"/>
              <w:noProof/>
              <w:lang w:eastAsia="en-GB"/>
            </w:rPr>
          </w:pPr>
          <w:hyperlink w:anchor="_Toc215924595" w:history="1">
            <w:r w:rsidRPr="00DF0D55">
              <w:rPr>
                <w:rStyle w:val="Hyperlink"/>
                <w:noProof/>
              </w:rPr>
              <w:t>Methods of Consultation</w:t>
            </w:r>
            <w:r>
              <w:rPr>
                <w:noProof/>
                <w:webHidden/>
              </w:rPr>
              <w:tab/>
            </w:r>
            <w:r>
              <w:rPr>
                <w:noProof/>
                <w:webHidden/>
              </w:rPr>
              <w:fldChar w:fldCharType="begin"/>
            </w:r>
            <w:r>
              <w:rPr>
                <w:noProof/>
                <w:webHidden/>
              </w:rPr>
              <w:instrText xml:space="preserve"> PAGEREF _Toc215924595 \h </w:instrText>
            </w:r>
            <w:r>
              <w:rPr>
                <w:noProof/>
                <w:webHidden/>
              </w:rPr>
            </w:r>
            <w:r>
              <w:rPr>
                <w:noProof/>
                <w:webHidden/>
              </w:rPr>
              <w:fldChar w:fldCharType="separate"/>
            </w:r>
            <w:r>
              <w:rPr>
                <w:noProof/>
                <w:webHidden/>
              </w:rPr>
              <w:t>10</w:t>
            </w:r>
            <w:r>
              <w:rPr>
                <w:noProof/>
                <w:webHidden/>
              </w:rPr>
              <w:fldChar w:fldCharType="end"/>
            </w:r>
          </w:hyperlink>
        </w:p>
        <w:p w14:paraId="37941AF4" w14:textId="2C1BEED0" w:rsidR="00227AD8" w:rsidRDefault="00227AD8">
          <w:pPr>
            <w:pStyle w:val="TOC2"/>
            <w:tabs>
              <w:tab w:val="right" w:leader="dot" w:pos="9016"/>
            </w:tabs>
            <w:rPr>
              <w:rFonts w:eastAsiaTheme="minorEastAsia"/>
              <w:noProof/>
              <w:lang w:eastAsia="en-GB"/>
            </w:rPr>
          </w:pPr>
          <w:hyperlink w:anchor="_Toc215924596" w:history="1">
            <w:r w:rsidRPr="00DF0D55">
              <w:rPr>
                <w:rStyle w:val="Hyperlink"/>
                <w:noProof/>
              </w:rPr>
              <w:t>Ethical Considerations in Stakeholder Engagement</w:t>
            </w:r>
            <w:r>
              <w:rPr>
                <w:noProof/>
                <w:webHidden/>
              </w:rPr>
              <w:tab/>
            </w:r>
            <w:r>
              <w:rPr>
                <w:noProof/>
                <w:webHidden/>
              </w:rPr>
              <w:fldChar w:fldCharType="begin"/>
            </w:r>
            <w:r>
              <w:rPr>
                <w:noProof/>
                <w:webHidden/>
              </w:rPr>
              <w:instrText xml:space="preserve"> PAGEREF _Toc215924596 \h </w:instrText>
            </w:r>
            <w:r>
              <w:rPr>
                <w:noProof/>
                <w:webHidden/>
              </w:rPr>
            </w:r>
            <w:r>
              <w:rPr>
                <w:noProof/>
                <w:webHidden/>
              </w:rPr>
              <w:fldChar w:fldCharType="separate"/>
            </w:r>
            <w:r>
              <w:rPr>
                <w:noProof/>
                <w:webHidden/>
              </w:rPr>
              <w:t>10</w:t>
            </w:r>
            <w:r>
              <w:rPr>
                <w:noProof/>
                <w:webHidden/>
              </w:rPr>
              <w:fldChar w:fldCharType="end"/>
            </w:r>
          </w:hyperlink>
        </w:p>
        <w:p w14:paraId="47DADE34" w14:textId="5317ABA3" w:rsidR="00227AD8" w:rsidRDefault="00227AD8">
          <w:pPr>
            <w:pStyle w:val="TOC2"/>
            <w:tabs>
              <w:tab w:val="right" w:leader="dot" w:pos="9016"/>
            </w:tabs>
            <w:rPr>
              <w:rFonts w:eastAsiaTheme="minorEastAsia"/>
              <w:noProof/>
              <w:lang w:eastAsia="en-GB"/>
            </w:rPr>
          </w:pPr>
          <w:hyperlink w:anchor="_Toc215924597" w:history="1">
            <w:r w:rsidRPr="00DF0D55">
              <w:rPr>
                <w:rStyle w:val="Hyperlink"/>
                <w:noProof/>
              </w:rPr>
              <w:t>Diversity, Equity, and Inclusion (DEI)</w:t>
            </w:r>
            <w:r>
              <w:rPr>
                <w:noProof/>
                <w:webHidden/>
              </w:rPr>
              <w:tab/>
            </w:r>
            <w:r>
              <w:rPr>
                <w:noProof/>
                <w:webHidden/>
              </w:rPr>
              <w:fldChar w:fldCharType="begin"/>
            </w:r>
            <w:r>
              <w:rPr>
                <w:noProof/>
                <w:webHidden/>
              </w:rPr>
              <w:instrText xml:space="preserve"> PAGEREF _Toc215924597 \h </w:instrText>
            </w:r>
            <w:r>
              <w:rPr>
                <w:noProof/>
                <w:webHidden/>
              </w:rPr>
            </w:r>
            <w:r>
              <w:rPr>
                <w:noProof/>
                <w:webHidden/>
              </w:rPr>
              <w:fldChar w:fldCharType="separate"/>
            </w:r>
            <w:r>
              <w:rPr>
                <w:noProof/>
                <w:webHidden/>
              </w:rPr>
              <w:t>11</w:t>
            </w:r>
            <w:r>
              <w:rPr>
                <w:noProof/>
                <w:webHidden/>
              </w:rPr>
              <w:fldChar w:fldCharType="end"/>
            </w:r>
          </w:hyperlink>
        </w:p>
        <w:p w14:paraId="328B4962" w14:textId="4B37616C" w:rsidR="00227AD8" w:rsidRDefault="00227AD8">
          <w:pPr>
            <w:pStyle w:val="TOC2"/>
            <w:tabs>
              <w:tab w:val="right" w:leader="dot" w:pos="9016"/>
            </w:tabs>
            <w:rPr>
              <w:rFonts w:eastAsiaTheme="minorEastAsia"/>
              <w:noProof/>
              <w:lang w:eastAsia="en-GB"/>
            </w:rPr>
          </w:pPr>
          <w:hyperlink w:anchor="_Toc215924598" w:history="1">
            <w:r w:rsidRPr="00DF0D55">
              <w:rPr>
                <w:rStyle w:val="Hyperlink"/>
                <w:noProof/>
              </w:rPr>
              <w:t>Stakeholder Feedback Collection and Review</w:t>
            </w:r>
            <w:r>
              <w:rPr>
                <w:noProof/>
                <w:webHidden/>
              </w:rPr>
              <w:tab/>
            </w:r>
            <w:r>
              <w:rPr>
                <w:noProof/>
                <w:webHidden/>
              </w:rPr>
              <w:fldChar w:fldCharType="begin"/>
            </w:r>
            <w:r>
              <w:rPr>
                <w:noProof/>
                <w:webHidden/>
              </w:rPr>
              <w:instrText xml:space="preserve"> PAGEREF _Toc215924598 \h </w:instrText>
            </w:r>
            <w:r>
              <w:rPr>
                <w:noProof/>
                <w:webHidden/>
              </w:rPr>
            </w:r>
            <w:r>
              <w:rPr>
                <w:noProof/>
                <w:webHidden/>
              </w:rPr>
              <w:fldChar w:fldCharType="separate"/>
            </w:r>
            <w:r>
              <w:rPr>
                <w:noProof/>
                <w:webHidden/>
              </w:rPr>
              <w:t>12</w:t>
            </w:r>
            <w:r>
              <w:rPr>
                <w:noProof/>
                <w:webHidden/>
              </w:rPr>
              <w:fldChar w:fldCharType="end"/>
            </w:r>
          </w:hyperlink>
        </w:p>
        <w:p w14:paraId="248AFBEF" w14:textId="151B2C4B" w:rsidR="00227AD8" w:rsidRDefault="00227AD8">
          <w:pPr>
            <w:pStyle w:val="TOC2"/>
            <w:tabs>
              <w:tab w:val="right" w:leader="dot" w:pos="9016"/>
            </w:tabs>
            <w:rPr>
              <w:rFonts w:eastAsiaTheme="minorEastAsia"/>
              <w:noProof/>
              <w:lang w:eastAsia="en-GB"/>
            </w:rPr>
          </w:pPr>
          <w:hyperlink w:anchor="_Toc215924599" w:history="1">
            <w:r w:rsidRPr="00DF0D55">
              <w:rPr>
                <w:rStyle w:val="Hyperlink"/>
                <w:noProof/>
              </w:rPr>
              <w:t>Justification of the Ethical Approach</w:t>
            </w:r>
            <w:r>
              <w:rPr>
                <w:noProof/>
                <w:webHidden/>
              </w:rPr>
              <w:tab/>
            </w:r>
            <w:r>
              <w:rPr>
                <w:noProof/>
                <w:webHidden/>
              </w:rPr>
              <w:fldChar w:fldCharType="begin"/>
            </w:r>
            <w:r>
              <w:rPr>
                <w:noProof/>
                <w:webHidden/>
              </w:rPr>
              <w:instrText xml:space="preserve"> PAGEREF _Toc215924599 \h </w:instrText>
            </w:r>
            <w:r>
              <w:rPr>
                <w:noProof/>
                <w:webHidden/>
              </w:rPr>
            </w:r>
            <w:r>
              <w:rPr>
                <w:noProof/>
                <w:webHidden/>
              </w:rPr>
              <w:fldChar w:fldCharType="separate"/>
            </w:r>
            <w:r>
              <w:rPr>
                <w:noProof/>
                <w:webHidden/>
              </w:rPr>
              <w:t>12</w:t>
            </w:r>
            <w:r>
              <w:rPr>
                <w:noProof/>
                <w:webHidden/>
              </w:rPr>
              <w:fldChar w:fldCharType="end"/>
            </w:r>
          </w:hyperlink>
        </w:p>
        <w:p w14:paraId="02EFD6AC" w14:textId="750D353B" w:rsidR="00227AD8" w:rsidRDefault="00227AD8" w:rsidP="00227AD8">
          <w:pPr>
            <w:pStyle w:val="TOC1"/>
            <w:rPr>
              <w:rFonts w:eastAsiaTheme="minorEastAsia"/>
              <w:lang w:eastAsia="en-GB"/>
            </w:rPr>
          </w:pPr>
          <w:hyperlink w:anchor="_Toc215924600" w:history="1">
            <w:r w:rsidRPr="00DF0D55">
              <w:rPr>
                <w:rStyle w:val="Hyperlink"/>
              </w:rPr>
              <w:t>Conclusion and Reflection</w:t>
            </w:r>
            <w:r>
              <w:rPr>
                <w:webHidden/>
              </w:rPr>
              <w:tab/>
            </w:r>
            <w:r>
              <w:rPr>
                <w:webHidden/>
              </w:rPr>
              <w:fldChar w:fldCharType="begin"/>
            </w:r>
            <w:r>
              <w:rPr>
                <w:webHidden/>
              </w:rPr>
              <w:instrText xml:space="preserve"> PAGEREF _Toc215924600 \h </w:instrText>
            </w:r>
            <w:r>
              <w:rPr>
                <w:webHidden/>
              </w:rPr>
            </w:r>
            <w:r>
              <w:rPr>
                <w:webHidden/>
              </w:rPr>
              <w:fldChar w:fldCharType="separate"/>
            </w:r>
            <w:r>
              <w:rPr>
                <w:webHidden/>
              </w:rPr>
              <w:t>13</w:t>
            </w:r>
            <w:r>
              <w:rPr>
                <w:webHidden/>
              </w:rPr>
              <w:fldChar w:fldCharType="end"/>
            </w:r>
          </w:hyperlink>
        </w:p>
        <w:p w14:paraId="460B259A" w14:textId="61FC9CDB" w:rsidR="00227AD8" w:rsidRDefault="00227AD8">
          <w:pPr>
            <w:pStyle w:val="TOC2"/>
            <w:tabs>
              <w:tab w:val="right" w:leader="dot" w:pos="9016"/>
            </w:tabs>
            <w:rPr>
              <w:rFonts w:eastAsiaTheme="minorEastAsia"/>
              <w:noProof/>
              <w:lang w:eastAsia="en-GB"/>
            </w:rPr>
          </w:pPr>
          <w:hyperlink w:anchor="_Toc215924601" w:history="1">
            <w:r w:rsidRPr="00DF0D55">
              <w:rPr>
                <w:rStyle w:val="Hyperlink"/>
                <w:noProof/>
              </w:rPr>
              <w:t>Conclusion</w:t>
            </w:r>
            <w:r>
              <w:rPr>
                <w:noProof/>
                <w:webHidden/>
              </w:rPr>
              <w:tab/>
            </w:r>
            <w:r>
              <w:rPr>
                <w:noProof/>
                <w:webHidden/>
              </w:rPr>
              <w:fldChar w:fldCharType="begin"/>
            </w:r>
            <w:r>
              <w:rPr>
                <w:noProof/>
                <w:webHidden/>
              </w:rPr>
              <w:instrText xml:space="preserve"> PAGEREF _Toc215924601 \h </w:instrText>
            </w:r>
            <w:r>
              <w:rPr>
                <w:noProof/>
                <w:webHidden/>
              </w:rPr>
            </w:r>
            <w:r>
              <w:rPr>
                <w:noProof/>
                <w:webHidden/>
              </w:rPr>
              <w:fldChar w:fldCharType="separate"/>
            </w:r>
            <w:r>
              <w:rPr>
                <w:noProof/>
                <w:webHidden/>
              </w:rPr>
              <w:t>13</w:t>
            </w:r>
            <w:r>
              <w:rPr>
                <w:noProof/>
                <w:webHidden/>
              </w:rPr>
              <w:fldChar w:fldCharType="end"/>
            </w:r>
          </w:hyperlink>
        </w:p>
        <w:p w14:paraId="34AE69BA" w14:textId="15A8C972" w:rsidR="00227AD8" w:rsidRDefault="00227AD8">
          <w:pPr>
            <w:pStyle w:val="TOC2"/>
            <w:tabs>
              <w:tab w:val="right" w:leader="dot" w:pos="9016"/>
            </w:tabs>
            <w:rPr>
              <w:rFonts w:eastAsiaTheme="minorEastAsia"/>
              <w:noProof/>
              <w:lang w:eastAsia="en-GB"/>
            </w:rPr>
          </w:pPr>
          <w:hyperlink w:anchor="_Toc215924602" w:history="1">
            <w:r w:rsidRPr="00DF0D55">
              <w:rPr>
                <w:rStyle w:val="Hyperlink"/>
                <w:noProof/>
              </w:rPr>
              <w:t>Reflection</w:t>
            </w:r>
            <w:r>
              <w:rPr>
                <w:noProof/>
                <w:webHidden/>
              </w:rPr>
              <w:tab/>
            </w:r>
            <w:r>
              <w:rPr>
                <w:noProof/>
                <w:webHidden/>
              </w:rPr>
              <w:fldChar w:fldCharType="begin"/>
            </w:r>
            <w:r>
              <w:rPr>
                <w:noProof/>
                <w:webHidden/>
              </w:rPr>
              <w:instrText xml:space="preserve"> PAGEREF _Toc215924602 \h </w:instrText>
            </w:r>
            <w:r>
              <w:rPr>
                <w:noProof/>
                <w:webHidden/>
              </w:rPr>
            </w:r>
            <w:r>
              <w:rPr>
                <w:noProof/>
                <w:webHidden/>
              </w:rPr>
              <w:fldChar w:fldCharType="separate"/>
            </w:r>
            <w:r>
              <w:rPr>
                <w:noProof/>
                <w:webHidden/>
              </w:rPr>
              <w:t>14</w:t>
            </w:r>
            <w:r>
              <w:rPr>
                <w:noProof/>
                <w:webHidden/>
              </w:rPr>
              <w:fldChar w:fldCharType="end"/>
            </w:r>
          </w:hyperlink>
        </w:p>
        <w:p w14:paraId="221ADAD1" w14:textId="745C63DA" w:rsidR="00227AD8" w:rsidRDefault="00227AD8" w:rsidP="00227AD8">
          <w:pPr>
            <w:pStyle w:val="TOC1"/>
            <w:rPr>
              <w:rFonts w:eastAsiaTheme="minorEastAsia"/>
              <w:lang w:eastAsia="en-GB"/>
            </w:rPr>
          </w:pPr>
          <w:hyperlink w:anchor="_Toc215924603" w:history="1">
            <w:r w:rsidRPr="00DF0D55">
              <w:rPr>
                <w:rStyle w:val="Hyperlink"/>
              </w:rPr>
              <w:t>References</w:t>
            </w:r>
            <w:r>
              <w:rPr>
                <w:webHidden/>
              </w:rPr>
              <w:tab/>
            </w:r>
            <w:r>
              <w:rPr>
                <w:webHidden/>
              </w:rPr>
              <w:fldChar w:fldCharType="begin"/>
            </w:r>
            <w:r>
              <w:rPr>
                <w:webHidden/>
              </w:rPr>
              <w:instrText xml:space="preserve"> PAGEREF _Toc215924603 \h </w:instrText>
            </w:r>
            <w:r>
              <w:rPr>
                <w:webHidden/>
              </w:rPr>
            </w:r>
            <w:r>
              <w:rPr>
                <w:webHidden/>
              </w:rPr>
              <w:fldChar w:fldCharType="separate"/>
            </w:r>
            <w:r>
              <w:rPr>
                <w:webHidden/>
              </w:rPr>
              <w:t>15</w:t>
            </w:r>
            <w:r>
              <w:rPr>
                <w:webHidden/>
              </w:rPr>
              <w:fldChar w:fldCharType="end"/>
            </w:r>
          </w:hyperlink>
        </w:p>
        <w:p w14:paraId="6C4B72CF" w14:textId="176F9F07" w:rsidR="00227AD8" w:rsidRDefault="00227AD8">
          <w:r>
            <w:rPr>
              <w:b/>
              <w:bCs/>
              <w:noProof/>
            </w:rPr>
            <w:fldChar w:fldCharType="end"/>
          </w:r>
        </w:p>
      </w:sdtContent>
    </w:sdt>
    <w:p w14:paraId="1B648D5E" w14:textId="77777777" w:rsidR="006730F6" w:rsidRDefault="006730F6" w:rsidP="00861935">
      <w:pPr>
        <w:spacing w:line="360" w:lineRule="auto"/>
        <w:jc w:val="both"/>
        <w:rPr>
          <w:lang w:val="en-US"/>
        </w:rPr>
      </w:pPr>
    </w:p>
    <w:p w14:paraId="6222BEDE" w14:textId="0603AFB3" w:rsidR="006730F6" w:rsidRDefault="00F81963" w:rsidP="00861935">
      <w:pPr>
        <w:spacing w:line="360" w:lineRule="auto"/>
        <w:jc w:val="both"/>
        <w:rPr>
          <w:lang w:val="en-US"/>
        </w:rPr>
      </w:pPr>
      <w:r>
        <w:rPr>
          <w:noProof/>
        </w:rPr>
        <w:drawing>
          <wp:inline distT="0" distB="0" distL="0" distR="0" wp14:anchorId="781B47C7" wp14:editId="653C60B0">
            <wp:extent cx="5784850" cy="2705100"/>
            <wp:effectExtent l="0" t="0" r="6350" b="0"/>
            <wp:docPr id="124611976" name="Picture 1" descr="Elizabeth li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izabeth line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84850" cy="2705100"/>
                    </a:xfrm>
                    <a:prstGeom prst="rect">
                      <a:avLst/>
                    </a:prstGeom>
                    <a:noFill/>
                    <a:ln>
                      <a:noFill/>
                    </a:ln>
                  </pic:spPr>
                </pic:pic>
              </a:graphicData>
            </a:graphic>
          </wp:inline>
        </w:drawing>
      </w:r>
    </w:p>
    <w:p w14:paraId="61CB712F" w14:textId="0603AFB3" w:rsidR="00E72187" w:rsidRPr="00227AD8" w:rsidRDefault="00E72187" w:rsidP="00227AD8">
      <w:pPr>
        <w:pStyle w:val="Heading1"/>
      </w:pPr>
      <w:bookmarkStart w:id="0" w:name="_Toc215924448"/>
      <w:bookmarkStart w:id="1" w:name="_Toc215924521"/>
      <w:bookmarkStart w:id="2" w:name="_Toc215924588"/>
      <w:r w:rsidRPr="00227AD8">
        <w:lastRenderedPageBreak/>
        <w:t>Introduction</w:t>
      </w:r>
      <w:bookmarkEnd w:id="0"/>
      <w:bookmarkEnd w:id="1"/>
      <w:bookmarkEnd w:id="2"/>
    </w:p>
    <w:p w14:paraId="5DAA9251" w14:textId="77777777" w:rsidR="006730F6" w:rsidRDefault="006730F6" w:rsidP="00861935">
      <w:pPr>
        <w:spacing w:line="360" w:lineRule="auto"/>
        <w:jc w:val="both"/>
        <w:rPr>
          <w:lang w:val="en-US"/>
        </w:rPr>
      </w:pPr>
    </w:p>
    <w:p w14:paraId="0ECF6CF9" w14:textId="31556ACB" w:rsidR="007F7D2C" w:rsidRPr="001361BA" w:rsidRDefault="007F7D2C" w:rsidP="00861935">
      <w:pPr>
        <w:spacing w:line="360" w:lineRule="auto"/>
        <w:jc w:val="both"/>
        <w:rPr>
          <w:color w:val="000000" w:themeColor="text1"/>
        </w:rPr>
      </w:pPr>
      <w:r w:rsidRPr="007F7D2C">
        <w:t>The Elizabeth Line is one of the most important transport infrastructure projects developed in London in recent years, created to improve cross-city travel and promote sustainable urban mobility. Since its integration into London’s public transport system in 2022, the route has extended from Reading and Heathrow in the west to Shenfield and Abbey Wood in the east, passing through major central London stations such as Paddington, Tottenham Court Road, and Liverpool Street. The project holds considerable strategic value, as it helps to ease pressure on existing transport networks, shorten journey times, support economic development along the route, and contribute to environmental goals by encouraging greater use of public transport instead of private cars. In this way, the Elizabeth Line highlights both the challenges and broad societal advantages linked to large-scale urban infrastructure schemes</w:t>
      </w:r>
      <w:r w:rsidR="00A02860">
        <w:t>,</w:t>
      </w:r>
      <w:r w:rsidR="00EC4BCA">
        <w:t xml:space="preserve"> </w:t>
      </w:r>
      <w:r w:rsidR="00F6220C">
        <w:t>(</w:t>
      </w:r>
      <w:r w:rsidR="001361BA" w:rsidRPr="001361BA">
        <w:t>Freeman</w:t>
      </w:r>
      <w:r w:rsidR="00F6220C">
        <w:t>,</w:t>
      </w:r>
      <w:r w:rsidR="001361BA" w:rsidRPr="001361BA">
        <w:t>2010)</w:t>
      </w:r>
      <w:r w:rsidR="00A02860">
        <w:t>.</w:t>
      </w:r>
    </w:p>
    <w:p w14:paraId="46943B83" w14:textId="77777777" w:rsidR="007F7D2C" w:rsidRPr="007F7D2C" w:rsidRDefault="007F7D2C" w:rsidP="00861935">
      <w:pPr>
        <w:spacing w:line="360" w:lineRule="auto"/>
        <w:jc w:val="both"/>
      </w:pPr>
      <w:r w:rsidRPr="007F7D2C">
        <w:t>Successful delivery and long-term operation of the Elizabeth Line depend heavily on effective stakeholder management. Stakeholders include a wide range of individuals, organizations, and interest groups whose involvement, support, or resistance can significantly affect project performance. For this analysis, six main stakeholder groups have been identified based on their level of interaction with the project and the expected benefits they receive.</w:t>
      </w:r>
    </w:p>
    <w:p w14:paraId="28D23202" w14:textId="2AF1AC03" w:rsidR="00EC4BCA" w:rsidRPr="00EC4BCA" w:rsidRDefault="007F7D2C" w:rsidP="00EC4BCA">
      <w:pPr>
        <w:spacing w:line="360" w:lineRule="auto"/>
        <w:jc w:val="both"/>
        <w:rPr>
          <w:color w:val="EE0000"/>
        </w:rPr>
      </w:pPr>
      <w:r w:rsidRPr="007F7D2C">
        <w:t>Local residents represent a key stakeholder group, as both the construction phase and the ongoing operation of the line directly influence their daily lives. They benefit from better access to employment, education, and community services, as well as potential increases in property values due to improved transport links. Local businesses located along the route are also likely to gain from higher customer numbers and improved supply connectivity, supporting commercial growth and economic stability. Transport for London (TfL), as the organization responsible for managing London’s transport system, benefits from the addition of a modern, high-capacity rail service that supports long-term transport policy and strategic planning objectives</w:t>
      </w:r>
      <w:r w:rsidR="00A02860">
        <w:t xml:space="preserve">, </w:t>
      </w:r>
      <w:r w:rsidR="00F6220C">
        <w:t>(</w:t>
      </w:r>
      <w:r w:rsidR="00DD4236" w:rsidRPr="00DD4236">
        <w:t>Bourne</w:t>
      </w:r>
      <w:r w:rsidR="00F6220C">
        <w:t xml:space="preserve">, </w:t>
      </w:r>
      <w:r w:rsidR="00DD4236" w:rsidRPr="00DD4236">
        <w:t>2015)</w:t>
      </w:r>
      <w:r w:rsidR="00DD4236">
        <w:t>.</w:t>
      </w:r>
    </w:p>
    <w:p w14:paraId="3FBBED20" w14:textId="22D53512" w:rsidR="007F7D2C" w:rsidRPr="007F7D2C" w:rsidRDefault="007F7D2C" w:rsidP="00861935">
      <w:pPr>
        <w:spacing w:line="360" w:lineRule="auto"/>
        <w:jc w:val="both"/>
      </w:pPr>
      <w:r w:rsidRPr="007F7D2C">
        <w:t>.</w:t>
      </w:r>
    </w:p>
    <w:p w14:paraId="2784CAFB" w14:textId="77777777" w:rsidR="007F7D2C" w:rsidRPr="007F7D2C" w:rsidRDefault="007F7D2C" w:rsidP="00861935">
      <w:pPr>
        <w:spacing w:line="360" w:lineRule="auto"/>
        <w:jc w:val="both"/>
      </w:pPr>
      <w:r w:rsidRPr="007F7D2C">
        <w:lastRenderedPageBreak/>
        <w:t>Local government bodies, including borough councils, are another important stakeholder group, benefitting from regional economic growth, increased public satisfaction, and stronger infrastructure provision. Construction contractors and suppliers gain through job creation, long-term project contracts, and the reputational value associated with working on a major public infrastructure scheme. In addition, commuters form a central stakeholder group, as the Elizabeth Line offers significant improvements such as reduced travel times, greater comfort, and improved service reliability across the capital.</w:t>
      </w:r>
    </w:p>
    <w:p w14:paraId="71ADC43F" w14:textId="33C18D13" w:rsidR="000F6A02" w:rsidRPr="00EC4BCA" w:rsidRDefault="007F7D2C" w:rsidP="00861935">
      <w:pPr>
        <w:spacing w:line="360" w:lineRule="auto"/>
        <w:jc w:val="both"/>
        <w:rPr>
          <w:color w:val="EE0000"/>
        </w:rPr>
      </w:pPr>
      <w:r w:rsidRPr="007F7D2C">
        <w:t>Identifying and actively engaging with these stakeholders is essential for managing expectations, reducing conflict, and ensuring the long-term success and sustainability of the project. By developing a structured understanding of stakeholder interests, priorities, and influence, project leaders are better able to create targeted engagement strategies that encourage cooperation and transparency. As a result, the Elizabeth Line not only provides an efficient transport service but also demonstrates the critical role of inclusive stakeholder management in complex infrastructure projects. This portfolio therefore aims to present a comprehensive stakeholder management plan that combines theoretical principles with practical application to support effective consultation, communication, and ethical engagement</w:t>
      </w:r>
      <w:r w:rsidR="00DD4236">
        <w:t>,</w:t>
      </w:r>
      <w:r w:rsidR="00E675D1" w:rsidRPr="00E675D1">
        <w:t xml:space="preserve"> </w:t>
      </w:r>
      <w:r w:rsidR="00F6220C">
        <w:t>(</w:t>
      </w:r>
      <w:r w:rsidR="00E675D1" w:rsidRPr="00E675D1">
        <w:t>Bourne</w:t>
      </w:r>
      <w:r w:rsidR="00F6220C">
        <w:t xml:space="preserve">, </w:t>
      </w:r>
      <w:r w:rsidR="00E675D1" w:rsidRPr="00E675D1">
        <w:t>2015)</w:t>
      </w:r>
      <w:r w:rsidR="00E675D1">
        <w:t>.</w:t>
      </w:r>
    </w:p>
    <w:p w14:paraId="3E395DBB" w14:textId="77777777" w:rsidR="00244350" w:rsidRPr="00A66394" w:rsidRDefault="00244350" w:rsidP="002D5E39">
      <w:pPr>
        <w:pStyle w:val="Heading1"/>
      </w:pPr>
      <w:bookmarkStart w:id="3" w:name="_Toc215924449"/>
      <w:bookmarkStart w:id="4" w:name="_Toc215924522"/>
      <w:bookmarkStart w:id="5" w:name="_Toc215924589"/>
      <w:r w:rsidRPr="00A66394">
        <w:t>Application – Stakeholder Engagement Strategies</w:t>
      </w:r>
      <w:bookmarkEnd w:id="3"/>
      <w:bookmarkEnd w:id="4"/>
      <w:bookmarkEnd w:id="5"/>
    </w:p>
    <w:p w14:paraId="6E00A319" w14:textId="56C0CF55" w:rsidR="006730F6" w:rsidRDefault="005323B0" w:rsidP="00861935">
      <w:pPr>
        <w:spacing w:line="360" w:lineRule="auto"/>
        <w:jc w:val="both"/>
      </w:pPr>
      <w:r w:rsidRPr="005323B0">
        <w:t>Successful delivery of large infrastructure projects relies heavily on effective stakeholder engagement. For the Elizabeth Line, this process entails the structured identification of key stakeholders, evaluating their levels of influence and interest, and implementing tailored approaches for communication and consultation. This section utilises recognised stakeholder management tools, such as the power–interest grid, stakeholder analysis, and communication planning, to examine their application within the Elizabeth Line project.</w:t>
      </w:r>
    </w:p>
    <w:p w14:paraId="5F40B89B" w14:textId="77777777" w:rsidR="008E3ABB" w:rsidRPr="00A66394" w:rsidRDefault="008E3ABB" w:rsidP="00861935">
      <w:pPr>
        <w:spacing w:line="360" w:lineRule="auto"/>
        <w:jc w:val="both"/>
        <w:rPr>
          <w:b/>
          <w:bCs/>
        </w:rPr>
      </w:pPr>
      <w:r w:rsidRPr="00A66394">
        <w:rPr>
          <w:b/>
          <w:bCs/>
        </w:rPr>
        <w:t xml:space="preserve">1. </w:t>
      </w:r>
      <w:r w:rsidRPr="002D5E39">
        <w:rPr>
          <w:rStyle w:val="Heading2Char"/>
        </w:rPr>
        <w:t>Power, Influence, and Interest Assessment</w:t>
      </w:r>
    </w:p>
    <w:p w14:paraId="710A130E" w14:textId="1358FEB9" w:rsidR="00F54D87" w:rsidRDefault="00854AD3" w:rsidP="00826F82">
      <w:pPr>
        <w:spacing w:line="360" w:lineRule="auto"/>
        <w:jc w:val="both"/>
      </w:pPr>
      <w:r w:rsidRPr="00854AD3">
        <w:t xml:space="preserve">Stakeholders vary in their ability to influence project results as well as in their degree of interest in project activities. Therefore, a thorough evaluation of stakeholder power, influence, and interest is essential for effectively prioritizing engagement strategies and </w:t>
      </w:r>
      <w:r w:rsidRPr="00854AD3">
        <w:lastRenderedPageBreak/>
        <w:t>ensuring efficient use of resources (Freeman, 2010). Table 1 presents an analysis of the principal stakeholders involved in the Elizabeth Line project</w:t>
      </w:r>
      <w:bookmarkStart w:id="6" w:name="_Toc215924450"/>
      <w:bookmarkStart w:id="7" w:name="_Toc215924523"/>
      <w:bookmarkStart w:id="8" w:name="_Toc215924590"/>
    </w:p>
    <w:p w14:paraId="6151BD94" w14:textId="77777777" w:rsidR="00826F82" w:rsidRDefault="00826F82" w:rsidP="00826F82">
      <w:pPr>
        <w:spacing w:line="360" w:lineRule="auto"/>
        <w:jc w:val="both"/>
      </w:pPr>
    </w:p>
    <w:p w14:paraId="7C21E517" w14:textId="78FDFD6C" w:rsidR="00F54D87" w:rsidRDefault="00AF7F4F" w:rsidP="00F54D87">
      <w:r>
        <w:rPr>
          <w:noProof/>
        </w:rPr>
        <mc:AlternateContent>
          <mc:Choice Requires="wps">
            <w:drawing>
              <wp:inline distT="0" distB="0" distL="0" distR="0" wp14:anchorId="0E85ECEC" wp14:editId="7B29430B">
                <wp:extent cx="304800" cy="304800"/>
                <wp:effectExtent l="0" t="0" r="0" b="0"/>
                <wp:docPr id="943728839" name="Rectangle 4" descr="Сформированное изображение"/>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CD0163" id="Rectangle 4" o:spid="_x0000_s1026" alt="Сформированное изображение"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A717B5F" w14:textId="577F713D" w:rsidR="005803A2" w:rsidRPr="005803A2" w:rsidRDefault="005803A2" w:rsidP="005803A2">
      <w:r w:rsidRPr="005803A2">
        <w:rPr>
          <w:noProof/>
        </w:rPr>
        <w:drawing>
          <wp:inline distT="0" distB="0" distL="0" distR="0" wp14:anchorId="63B0386C" wp14:editId="579D1C05">
            <wp:extent cx="5731510" cy="3820795"/>
            <wp:effectExtent l="0" t="0" r="2540" b="8255"/>
            <wp:docPr id="1031859891" name="Picture 7"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59891" name="Picture 7" descr="A diagram of a company's company&#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71A691E" w14:textId="052A76A9" w:rsidR="00F54D87" w:rsidRDefault="00F1425D" w:rsidP="00F54D87">
      <w:r w:rsidRPr="00F1425D">
        <w:t>(Aaltonen &amp; Kujala, 2010)</w:t>
      </w:r>
    </w:p>
    <w:p w14:paraId="1A0A5866" w14:textId="316C8048" w:rsidR="00F54D87" w:rsidRDefault="0002280E" w:rsidP="00F54D87">
      <w:r>
        <w:t>(</w:t>
      </w:r>
      <w:r w:rsidR="004459E0" w:rsidRPr="004459E0">
        <w:t>Adapted from Bourne &amp; Walker</w:t>
      </w:r>
      <w:r>
        <w:t xml:space="preserve">, </w:t>
      </w:r>
      <w:r w:rsidR="004459E0" w:rsidRPr="004459E0">
        <w:t>2005)</w:t>
      </w:r>
    </w:p>
    <w:p w14:paraId="591F93AF" w14:textId="79A17EB3" w:rsidR="0002280E" w:rsidRDefault="0002280E" w:rsidP="00F54D87">
      <w:r>
        <w:t>(</w:t>
      </w:r>
      <w:r w:rsidRPr="0002280E">
        <w:t>Freeman</w:t>
      </w:r>
      <w:r>
        <w:t xml:space="preserve">, </w:t>
      </w:r>
      <w:r w:rsidRPr="0002280E">
        <w:t>2010)</w:t>
      </w:r>
    </w:p>
    <w:p w14:paraId="5BC25A1D" w14:textId="77777777" w:rsidR="00EC4BCA" w:rsidRDefault="00EC4BCA" w:rsidP="00F54D87"/>
    <w:p w14:paraId="2D917460" w14:textId="77777777" w:rsidR="00EC4BCA" w:rsidRDefault="00EC4BCA" w:rsidP="00F54D87"/>
    <w:p w14:paraId="3060911C" w14:textId="77777777" w:rsidR="00EC4BCA" w:rsidRDefault="00EC4BCA" w:rsidP="00F54D87"/>
    <w:p w14:paraId="69F1A748" w14:textId="77777777" w:rsidR="00EC4BCA" w:rsidRDefault="00EC4BCA" w:rsidP="00F54D87"/>
    <w:p w14:paraId="5D2904C5" w14:textId="77777777" w:rsidR="00F54D87" w:rsidRPr="00F54D87" w:rsidRDefault="00F54D87" w:rsidP="00F54D87"/>
    <w:p w14:paraId="63D4D922" w14:textId="3A65DE33" w:rsidR="000F6A02" w:rsidRPr="00A66394" w:rsidRDefault="000F6A02" w:rsidP="00096A77">
      <w:pPr>
        <w:pStyle w:val="Heading3"/>
      </w:pPr>
      <w:r w:rsidRPr="00A66394">
        <w:lastRenderedPageBreak/>
        <w:t>Table 1: Power, Influence, and Interest of Key Stakeholders</w:t>
      </w:r>
      <w:bookmarkEnd w:id="6"/>
      <w:bookmarkEnd w:id="7"/>
      <w:bookmarkEnd w:id="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2"/>
        <w:gridCol w:w="927"/>
        <w:gridCol w:w="1119"/>
        <w:gridCol w:w="933"/>
        <w:gridCol w:w="3985"/>
      </w:tblGrid>
      <w:tr w:rsidR="000F6A02" w:rsidRPr="00A66394" w14:paraId="74333775" w14:textId="77777777" w:rsidTr="00822197">
        <w:trPr>
          <w:tblHeader/>
          <w:tblCellSpacing w:w="15" w:type="dxa"/>
        </w:trPr>
        <w:tc>
          <w:tcPr>
            <w:tcW w:w="2007" w:type="dxa"/>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hideMark/>
          </w:tcPr>
          <w:p w14:paraId="779AD9B2" w14:textId="77777777" w:rsidR="000F6A02" w:rsidRPr="00A66394" w:rsidRDefault="000F6A02" w:rsidP="00861935">
            <w:pPr>
              <w:spacing w:line="360" w:lineRule="auto"/>
              <w:jc w:val="both"/>
              <w:rPr>
                <w:b/>
                <w:bCs/>
              </w:rPr>
            </w:pPr>
            <w:r w:rsidRPr="00A66394">
              <w:rPr>
                <w:b/>
                <w:bCs/>
              </w:rPr>
              <w:t>Stakeholder</w:t>
            </w:r>
          </w:p>
        </w:tc>
        <w:tc>
          <w:tcPr>
            <w:tcW w:w="0" w:type="auto"/>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hideMark/>
          </w:tcPr>
          <w:p w14:paraId="0A9E7488" w14:textId="77777777" w:rsidR="000F6A02" w:rsidRPr="00A66394" w:rsidRDefault="000F6A02" w:rsidP="00861935">
            <w:pPr>
              <w:spacing w:line="360" w:lineRule="auto"/>
              <w:jc w:val="both"/>
              <w:rPr>
                <w:b/>
                <w:bCs/>
              </w:rPr>
            </w:pPr>
            <w:r w:rsidRPr="00A66394">
              <w:rPr>
                <w:b/>
                <w:bCs/>
              </w:rPr>
              <w:t>Power</w:t>
            </w:r>
          </w:p>
        </w:tc>
        <w:tc>
          <w:tcPr>
            <w:tcW w:w="0" w:type="auto"/>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hideMark/>
          </w:tcPr>
          <w:p w14:paraId="7BE94A69" w14:textId="77777777" w:rsidR="000F6A02" w:rsidRPr="00A66394" w:rsidRDefault="000F6A02" w:rsidP="00861935">
            <w:pPr>
              <w:spacing w:line="360" w:lineRule="auto"/>
              <w:jc w:val="both"/>
              <w:rPr>
                <w:b/>
                <w:bCs/>
              </w:rPr>
            </w:pPr>
            <w:r w:rsidRPr="00A66394">
              <w:rPr>
                <w:b/>
                <w:bCs/>
              </w:rPr>
              <w:t>Influence</w:t>
            </w:r>
          </w:p>
        </w:tc>
        <w:tc>
          <w:tcPr>
            <w:tcW w:w="0" w:type="auto"/>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hideMark/>
          </w:tcPr>
          <w:p w14:paraId="3FD8A983" w14:textId="77777777" w:rsidR="000F6A02" w:rsidRPr="00A66394" w:rsidRDefault="000F6A02" w:rsidP="00861935">
            <w:pPr>
              <w:spacing w:line="360" w:lineRule="auto"/>
              <w:jc w:val="both"/>
              <w:rPr>
                <w:b/>
                <w:bCs/>
              </w:rPr>
            </w:pPr>
            <w:r w:rsidRPr="00A66394">
              <w:rPr>
                <w:b/>
                <w:bCs/>
              </w:rPr>
              <w:t>Interest</w:t>
            </w:r>
          </w:p>
        </w:tc>
        <w:tc>
          <w:tcPr>
            <w:tcW w:w="0" w:type="auto"/>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hideMark/>
          </w:tcPr>
          <w:p w14:paraId="75EBDABB" w14:textId="77777777" w:rsidR="000F6A02" w:rsidRPr="00A66394" w:rsidRDefault="000F6A02" w:rsidP="00861935">
            <w:pPr>
              <w:spacing w:line="360" w:lineRule="auto"/>
              <w:jc w:val="both"/>
              <w:rPr>
                <w:b/>
                <w:bCs/>
              </w:rPr>
            </w:pPr>
            <w:r w:rsidRPr="00A66394">
              <w:rPr>
                <w:b/>
                <w:bCs/>
              </w:rPr>
              <w:t>Justification</w:t>
            </w:r>
          </w:p>
        </w:tc>
      </w:tr>
      <w:tr w:rsidR="000F6A02" w:rsidRPr="00A66394" w14:paraId="779DDFA8"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6BE389B3" w14:textId="77777777" w:rsidR="000F6A02" w:rsidRPr="00A66394" w:rsidRDefault="000F6A02" w:rsidP="00861935">
            <w:pPr>
              <w:spacing w:line="360" w:lineRule="auto"/>
              <w:jc w:val="both"/>
            </w:pPr>
            <w:r w:rsidRPr="00A66394">
              <w:t>Local Residents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13267E28"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46C28E30"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30D5901F"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0C06B015" w14:textId="77777777" w:rsidR="000F6A02" w:rsidRPr="00A66394" w:rsidRDefault="000F6A02" w:rsidP="00861935">
            <w:pPr>
              <w:spacing w:line="360" w:lineRule="auto"/>
              <w:jc w:val="both"/>
            </w:pPr>
            <w:r w:rsidRPr="00A66394">
              <w:t>Residents are directly impacted by construction and operational activities; they can influence public opinion and community responses.</w:t>
            </w:r>
          </w:p>
        </w:tc>
      </w:tr>
      <w:tr w:rsidR="000F6A02" w:rsidRPr="00A66394" w14:paraId="3C421BD6"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7E9A1B8D" w14:textId="77777777" w:rsidR="000F6A02" w:rsidRPr="00A66394" w:rsidRDefault="000F6A02" w:rsidP="00861935">
            <w:pPr>
              <w:spacing w:line="360" w:lineRule="auto"/>
              <w:jc w:val="both"/>
            </w:pPr>
            <w:r w:rsidRPr="00A66394">
              <w:t>Local Businesses</w:t>
            </w:r>
          </w:p>
        </w:tc>
        <w:tc>
          <w:tcPr>
            <w:tcW w:w="0" w:type="auto"/>
            <w:tcBorders>
              <w:top w:val="single" w:sz="4" w:space="0" w:color="auto"/>
              <w:left w:val="single" w:sz="4" w:space="0" w:color="auto"/>
              <w:bottom w:val="single" w:sz="4" w:space="0" w:color="auto"/>
              <w:right w:val="single" w:sz="4" w:space="0" w:color="auto"/>
            </w:tcBorders>
            <w:vAlign w:val="center"/>
            <w:hideMark/>
          </w:tcPr>
          <w:p w14:paraId="791FE33C"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575D6E1B"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3655DEA5"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174B3BCE" w14:textId="77777777" w:rsidR="000F6A02" w:rsidRPr="00A66394" w:rsidRDefault="000F6A02" w:rsidP="00861935">
            <w:pPr>
              <w:spacing w:line="360" w:lineRule="auto"/>
              <w:jc w:val="both"/>
            </w:pPr>
            <w:r w:rsidRPr="00A66394">
              <w:t>Businesses experience operational disruptions but also benefit economically; they have moderate ability to influence project decisions.</w:t>
            </w:r>
          </w:p>
        </w:tc>
      </w:tr>
      <w:tr w:rsidR="000F6A02" w:rsidRPr="00A66394" w14:paraId="509ABF9B"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4F32BDF4" w14:textId="77777777" w:rsidR="000F6A02" w:rsidRPr="00A66394" w:rsidRDefault="000F6A02" w:rsidP="00861935">
            <w:pPr>
              <w:spacing w:line="360" w:lineRule="auto"/>
              <w:jc w:val="both"/>
            </w:pPr>
            <w:r w:rsidRPr="00A66394">
              <w:t>Transport for London (TfL)</w:t>
            </w:r>
          </w:p>
        </w:tc>
        <w:tc>
          <w:tcPr>
            <w:tcW w:w="0" w:type="auto"/>
            <w:tcBorders>
              <w:top w:val="single" w:sz="4" w:space="0" w:color="auto"/>
              <w:left w:val="single" w:sz="4" w:space="0" w:color="auto"/>
              <w:bottom w:val="single" w:sz="4" w:space="0" w:color="auto"/>
              <w:right w:val="single" w:sz="4" w:space="0" w:color="auto"/>
            </w:tcBorders>
            <w:vAlign w:val="center"/>
            <w:hideMark/>
          </w:tcPr>
          <w:p w14:paraId="68AE11FB"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78F4A9F0"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5D2861A2"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71367105" w14:textId="77777777" w:rsidR="000F6A02" w:rsidRPr="00A66394" w:rsidRDefault="000F6A02" w:rsidP="00861935">
            <w:pPr>
              <w:spacing w:line="360" w:lineRule="auto"/>
              <w:jc w:val="both"/>
            </w:pPr>
            <w:r w:rsidRPr="00A66394">
              <w:t>TfL has statutory authority over transport planning and operations and holds ultimate responsibility for integration with the broader network.</w:t>
            </w:r>
          </w:p>
        </w:tc>
      </w:tr>
      <w:tr w:rsidR="000F6A02" w:rsidRPr="00A66394" w14:paraId="419BC216"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5BB581A3" w14:textId="77777777" w:rsidR="000F6A02" w:rsidRPr="00A66394" w:rsidRDefault="000F6A02" w:rsidP="00861935">
            <w:pPr>
              <w:spacing w:line="360" w:lineRule="auto"/>
              <w:jc w:val="both"/>
            </w:pPr>
            <w:r w:rsidRPr="00A66394">
              <w:t>Local Government / Borough Councils</w:t>
            </w:r>
          </w:p>
        </w:tc>
        <w:tc>
          <w:tcPr>
            <w:tcW w:w="0" w:type="auto"/>
            <w:tcBorders>
              <w:top w:val="single" w:sz="4" w:space="0" w:color="auto"/>
              <w:left w:val="single" w:sz="4" w:space="0" w:color="auto"/>
              <w:bottom w:val="single" w:sz="4" w:space="0" w:color="auto"/>
              <w:right w:val="single" w:sz="4" w:space="0" w:color="auto"/>
            </w:tcBorders>
            <w:vAlign w:val="center"/>
            <w:hideMark/>
          </w:tcPr>
          <w:p w14:paraId="5D3B2C5F"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42221067"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2FDC1BBB"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2A20A662" w14:textId="77777777" w:rsidR="000F6A02" w:rsidRPr="00A66394" w:rsidRDefault="000F6A02" w:rsidP="00861935">
            <w:pPr>
              <w:spacing w:line="360" w:lineRule="auto"/>
              <w:jc w:val="both"/>
            </w:pPr>
            <w:r w:rsidRPr="00A66394">
              <w:t>Local authorities possess legislative and planning approval powers; they ensure regulatory compliance and community interests.</w:t>
            </w:r>
          </w:p>
        </w:tc>
      </w:tr>
      <w:tr w:rsidR="000F6A02" w:rsidRPr="00A66394" w14:paraId="26B1F643"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0F71A095" w14:textId="77777777" w:rsidR="000F6A02" w:rsidRPr="00A66394" w:rsidRDefault="000F6A02" w:rsidP="00861935">
            <w:pPr>
              <w:spacing w:line="360" w:lineRule="auto"/>
              <w:jc w:val="both"/>
            </w:pPr>
            <w:r w:rsidRPr="00A66394">
              <w:t>Construction Contractors / Suppliers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152A3EC3"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10B66F06"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41CDE4CA"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12CEE849" w14:textId="77777777" w:rsidR="000F6A02" w:rsidRPr="00A66394" w:rsidRDefault="000F6A02" w:rsidP="00861935">
            <w:pPr>
              <w:spacing w:line="360" w:lineRule="auto"/>
              <w:jc w:val="both"/>
            </w:pPr>
            <w:r w:rsidRPr="00A66394">
              <w:t>Contractors deliver critical project components and influence timelines, quality, and operational efficiency.</w:t>
            </w:r>
          </w:p>
        </w:tc>
      </w:tr>
      <w:tr w:rsidR="000F6A02" w:rsidRPr="00A66394" w14:paraId="3088194F"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14413598" w14:textId="77777777" w:rsidR="000F6A02" w:rsidRPr="00A66394" w:rsidRDefault="000F6A02" w:rsidP="00861935">
            <w:pPr>
              <w:spacing w:line="360" w:lineRule="auto"/>
              <w:jc w:val="both"/>
            </w:pPr>
            <w:r w:rsidRPr="00A66394">
              <w:t>Commuters / Passengers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24B1C61D" w14:textId="77777777" w:rsidR="000F6A02" w:rsidRPr="00A66394" w:rsidRDefault="000F6A02" w:rsidP="00861935">
            <w:pPr>
              <w:spacing w:line="360" w:lineRule="auto"/>
              <w:jc w:val="both"/>
            </w:pPr>
            <w:r w:rsidRPr="00A66394">
              <w:t>Low</w:t>
            </w:r>
          </w:p>
        </w:tc>
        <w:tc>
          <w:tcPr>
            <w:tcW w:w="0" w:type="auto"/>
            <w:tcBorders>
              <w:top w:val="single" w:sz="4" w:space="0" w:color="auto"/>
              <w:left w:val="single" w:sz="4" w:space="0" w:color="auto"/>
              <w:bottom w:val="single" w:sz="4" w:space="0" w:color="auto"/>
              <w:right w:val="single" w:sz="4" w:space="0" w:color="auto"/>
            </w:tcBorders>
            <w:vAlign w:val="center"/>
            <w:hideMark/>
          </w:tcPr>
          <w:p w14:paraId="5309FB5C"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40FCD46F" w14:textId="77777777" w:rsidR="000F6A02" w:rsidRPr="00A66394" w:rsidRDefault="000F6A02" w:rsidP="00861935">
            <w:pPr>
              <w:spacing w:line="360" w:lineRule="auto"/>
              <w:jc w:val="both"/>
            </w:pPr>
            <w:r w:rsidRPr="00A66394">
              <w:t>High</w:t>
            </w:r>
          </w:p>
        </w:tc>
        <w:tc>
          <w:tcPr>
            <w:tcW w:w="0" w:type="auto"/>
            <w:tcBorders>
              <w:top w:val="single" w:sz="4" w:space="0" w:color="auto"/>
              <w:left w:val="single" w:sz="4" w:space="0" w:color="auto"/>
              <w:bottom w:val="single" w:sz="4" w:space="0" w:color="auto"/>
              <w:right w:val="single" w:sz="4" w:space="0" w:color="auto"/>
            </w:tcBorders>
            <w:vAlign w:val="center"/>
            <w:hideMark/>
          </w:tcPr>
          <w:p w14:paraId="3E6E8243" w14:textId="53F815E2" w:rsidR="00182F94" w:rsidRPr="00A66394" w:rsidRDefault="000F6A02" w:rsidP="00861935">
            <w:pPr>
              <w:spacing w:line="360" w:lineRule="auto"/>
              <w:jc w:val="both"/>
            </w:pPr>
            <w:r w:rsidRPr="00A66394">
              <w:t>End-users have limited formal power but can significantly influence project perception through public feedback and media advocacy.</w:t>
            </w:r>
          </w:p>
        </w:tc>
      </w:tr>
      <w:tr w:rsidR="000F6A02" w:rsidRPr="00A66394" w14:paraId="174490B4" w14:textId="77777777" w:rsidTr="00EC4BCA">
        <w:trPr>
          <w:tblCellSpacing w:w="15" w:type="dxa"/>
        </w:trPr>
        <w:tc>
          <w:tcPr>
            <w:tcW w:w="2007" w:type="dxa"/>
            <w:tcBorders>
              <w:top w:val="single" w:sz="4" w:space="0" w:color="auto"/>
              <w:left w:val="single" w:sz="4" w:space="0" w:color="auto"/>
              <w:bottom w:val="single" w:sz="4" w:space="0" w:color="auto"/>
              <w:right w:val="single" w:sz="4" w:space="0" w:color="auto"/>
            </w:tcBorders>
            <w:vAlign w:val="center"/>
            <w:hideMark/>
          </w:tcPr>
          <w:p w14:paraId="703FC4C9" w14:textId="77777777" w:rsidR="000F6A02" w:rsidRPr="00A66394" w:rsidRDefault="000F6A02" w:rsidP="00861935">
            <w:pPr>
              <w:spacing w:line="360" w:lineRule="auto"/>
              <w:jc w:val="both"/>
            </w:pPr>
            <w:r w:rsidRPr="00A66394">
              <w:t>Environmental Groups</w:t>
            </w:r>
          </w:p>
        </w:tc>
        <w:tc>
          <w:tcPr>
            <w:tcW w:w="0" w:type="auto"/>
            <w:tcBorders>
              <w:top w:val="single" w:sz="4" w:space="0" w:color="auto"/>
              <w:left w:val="single" w:sz="4" w:space="0" w:color="auto"/>
              <w:bottom w:val="single" w:sz="4" w:space="0" w:color="auto"/>
              <w:right w:val="single" w:sz="4" w:space="0" w:color="auto"/>
            </w:tcBorders>
            <w:vAlign w:val="center"/>
            <w:hideMark/>
          </w:tcPr>
          <w:p w14:paraId="596D5219" w14:textId="77777777" w:rsidR="000F6A02" w:rsidRPr="00A66394" w:rsidRDefault="000F6A02" w:rsidP="00861935">
            <w:pPr>
              <w:spacing w:line="360" w:lineRule="auto"/>
              <w:jc w:val="both"/>
            </w:pPr>
            <w:r w:rsidRPr="00A66394">
              <w:t>Low</w:t>
            </w:r>
          </w:p>
        </w:tc>
        <w:tc>
          <w:tcPr>
            <w:tcW w:w="0" w:type="auto"/>
            <w:tcBorders>
              <w:top w:val="single" w:sz="4" w:space="0" w:color="auto"/>
              <w:left w:val="single" w:sz="4" w:space="0" w:color="auto"/>
              <w:bottom w:val="single" w:sz="4" w:space="0" w:color="auto"/>
              <w:right w:val="single" w:sz="4" w:space="0" w:color="auto"/>
            </w:tcBorders>
            <w:vAlign w:val="center"/>
            <w:hideMark/>
          </w:tcPr>
          <w:p w14:paraId="51F36551"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0182C546" w14:textId="77777777" w:rsidR="000F6A02" w:rsidRPr="00A66394" w:rsidRDefault="000F6A02" w:rsidP="00861935">
            <w:pPr>
              <w:spacing w:line="360" w:lineRule="auto"/>
              <w:jc w:val="both"/>
            </w:pPr>
            <w:r w:rsidRPr="00A66394">
              <w:t>Medium</w:t>
            </w:r>
          </w:p>
        </w:tc>
        <w:tc>
          <w:tcPr>
            <w:tcW w:w="0" w:type="auto"/>
            <w:tcBorders>
              <w:top w:val="single" w:sz="4" w:space="0" w:color="auto"/>
              <w:left w:val="single" w:sz="4" w:space="0" w:color="auto"/>
              <w:bottom w:val="single" w:sz="4" w:space="0" w:color="auto"/>
              <w:right w:val="single" w:sz="4" w:space="0" w:color="auto"/>
            </w:tcBorders>
            <w:vAlign w:val="center"/>
            <w:hideMark/>
          </w:tcPr>
          <w:p w14:paraId="10D6B0AD" w14:textId="77777777" w:rsidR="000F6A02" w:rsidRPr="00A66394" w:rsidRDefault="000F6A02" w:rsidP="00861935">
            <w:pPr>
              <w:spacing w:line="360" w:lineRule="auto"/>
              <w:jc w:val="both"/>
            </w:pPr>
            <w:r w:rsidRPr="00A66394">
              <w:t xml:space="preserve">While lacking formal authority, these groups can influence public opinion </w:t>
            </w:r>
            <w:r w:rsidRPr="00A66394">
              <w:lastRenderedPageBreak/>
              <w:t>and regulatory scrutiny through advocacy.</w:t>
            </w:r>
          </w:p>
        </w:tc>
      </w:tr>
    </w:tbl>
    <w:p w14:paraId="3C6FFCAE" w14:textId="77777777" w:rsidR="000F6A02" w:rsidRPr="00A66394" w:rsidRDefault="000F6A02" w:rsidP="00861935">
      <w:pPr>
        <w:spacing w:line="360" w:lineRule="auto"/>
        <w:jc w:val="both"/>
      </w:pPr>
      <w:r w:rsidRPr="00A66394">
        <w:lastRenderedPageBreak/>
        <w:t>This analysis allows project managers to identify which stakeholders require closer management and which may require less intensive engagement.</w:t>
      </w:r>
    </w:p>
    <w:p w14:paraId="2F3D72A5" w14:textId="587D6AC4" w:rsidR="000F6A02" w:rsidRPr="00A66394" w:rsidRDefault="000F6A02" w:rsidP="00861935">
      <w:pPr>
        <w:spacing w:line="360" w:lineRule="auto"/>
        <w:jc w:val="both"/>
      </w:pPr>
    </w:p>
    <w:p w14:paraId="6363F46A" w14:textId="77777777" w:rsidR="000F6A02" w:rsidRPr="00A66394" w:rsidRDefault="000F6A02" w:rsidP="00096A77">
      <w:pPr>
        <w:pStyle w:val="Heading3"/>
      </w:pPr>
      <w:bookmarkStart w:id="9" w:name="_Toc215924451"/>
      <w:bookmarkStart w:id="10" w:name="_Toc215924524"/>
      <w:bookmarkStart w:id="11" w:name="_Toc215924591"/>
      <w:r w:rsidRPr="00A66394">
        <w:t>2. Stakeholder Mapping</w:t>
      </w:r>
      <w:bookmarkEnd w:id="9"/>
      <w:bookmarkEnd w:id="10"/>
      <w:bookmarkEnd w:id="11"/>
    </w:p>
    <w:p w14:paraId="0CA4637F" w14:textId="77777777" w:rsidR="000F6A02" w:rsidRPr="00A66394" w:rsidRDefault="000F6A02" w:rsidP="00861935">
      <w:pPr>
        <w:spacing w:line="360" w:lineRule="auto"/>
        <w:jc w:val="both"/>
      </w:pPr>
      <w:r w:rsidRPr="00A66394">
        <w:t>Stakeholder mapping is an essential tool for visualizing the relationship between stakeholders’ power and interest, thereby guiding engagement strategies. A 2x2 power-interest matrix is employed for the Elizabeth Line project:</w:t>
      </w:r>
    </w:p>
    <w:p w14:paraId="1989C293" w14:textId="77777777" w:rsidR="000F6A02" w:rsidRPr="00A66394" w:rsidRDefault="000F6A02" w:rsidP="00861935">
      <w:pPr>
        <w:numPr>
          <w:ilvl w:val="0"/>
          <w:numId w:val="1"/>
        </w:numPr>
        <w:spacing w:line="360" w:lineRule="auto"/>
        <w:jc w:val="both"/>
      </w:pPr>
      <w:r w:rsidRPr="00A66394">
        <w:rPr>
          <w:b/>
          <w:bCs/>
        </w:rPr>
        <w:t>High Power, High Interest – Manage Closely:</w:t>
      </w:r>
      <w:r w:rsidRPr="00A66394">
        <w:t xml:space="preserve"> TfL and local government authorities fall within this quadrant. These stakeholders are central to decision-making and require active involvement, continuous updates, and participatory consultation in critical project stages.</w:t>
      </w:r>
    </w:p>
    <w:p w14:paraId="54FA4729" w14:textId="77777777" w:rsidR="000F6A02" w:rsidRPr="00A66394" w:rsidRDefault="000F6A02" w:rsidP="00861935">
      <w:pPr>
        <w:numPr>
          <w:ilvl w:val="0"/>
          <w:numId w:val="1"/>
        </w:numPr>
        <w:spacing w:line="360" w:lineRule="auto"/>
        <w:jc w:val="both"/>
      </w:pPr>
      <w:r w:rsidRPr="00A66394">
        <w:rPr>
          <w:b/>
          <w:bCs/>
        </w:rPr>
        <w:t>High Power, Low Interest – Keep Satisfied:</w:t>
      </w:r>
      <w:r w:rsidRPr="00A66394">
        <w:t xml:space="preserve"> Construction contractors and suppliers occupy this quadrant. Their engagement is crucial for project delivery, but their interest in broader strategic decisions is moderate; therefore, updates and consultation should be targeted and efficient.</w:t>
      </w:r>
    </w:p>
    <w:p w14:paraId="2088CDDB" w14:textId="77777777" w:rsidR="000F6A02" w:rsidRPr="00A66394" w:rsidRDefault="000F6A02" w:rsidP="00861935">
      <w:pPr>
        <w:numPr>
          <w:ilvl w:val="0"/>
          <w:numId w:val="1"/>
        </w:numPr>
        <w:spacing w:line="360" w:lineRule="auto"/>
        <w:jc w:val="both"/>
      </w:pPr>
      <w:r w:rsidRPr="00A66394">
        <w:rPr>
          <w:b/>
          <w:bCs/>
        </w:rPr>
        <w:t>Low Power, High Interest – Keep Informed:</w:t>
      </w:r>
      <w:r w:rsidRPr="00A66394">
        <w:t xml:space="preserve"> Local residents, local businesses, and commuters have limited formal authority but high interest in project outcomes. Providing transparent information and regular updates mitigates concerns and fosters public support.</w:t>
      </w:r>
    </w:p>
    <w:p w14:paraId="3B4E1BDB" w14:textId="77777777" w:rsidR="000F6A02" w:rsidRPr="00A66394" w:rsidRDefault="000F6A02" w:rsidP="00861935">
      <w:pPr>
        <w:numPr>
          <w:ilvl w:val="0"/>
          <w:numId w:val="1"/>
        </w:numPr>
        <w:spacing w:line="360" w:lineRule="auto"/>
        <w:jc w:val="both"/>
      </w:pPr>
      <w:r w:rsidRPr="00A66394">
        <w:rPr>
          <w:b/>
          <w:bCs/>
        </w:rPr>
        <w:t>Low Power, Low Interest – Monitor:</w:t>
      </w:r>
      <w:r w:rsidRPr="00A66394">
        <w:t xml:space="preserve"> Environmental groups initially occupy this quadrant. Although their immediate power is low, proactive monitoring ensures that potential advocacy or concerns are addressed promptly to prevent escalation.</w:t>
      </w:r>
    </w:p>
    <w:p w14:paraId="3E8F7D78" w14:textId="77777777" w:rsidR="000F6A02" w:rsidRPr="00A66394" w:rsidRDefault="000F6A02" w:rsidP="00861935">
      <w:pPr>
        <w:spacing w:line="360" w:lineRule="auto"/>
        <w:jc w:val="both"/>
      </w:pPr>
      <w:r w:rsidRPr="00A66394">
        <w:lastRenderedPageBreak/>
        <w:t>The placement of stakeholders within this matrix informs the prioritization of engagement strategies and resource allocation, ensuring that attention is focused where it is most impactful (Bourne, 2015).</w:t>
      </w:r>
    </w:p>
    <w:p w14:paraId="21CD476D" w14:textId="3C13A3BD" w:rsidR="000F6A02" w:rsidRPr="00A66394" w:rsidRDefault="000F6A02" w:rsidP="00861935">
      <w:pPr>
        <w:spacing w:line="360" w:lineRule="auto"/>
        <w:jc w:val="both"/>
      </w:pPr>
    </w:p>
    <w:p w14:paraId="5B39EA7A" w14:textId="77777777" w:rsidR="000F6A02" w:rsidRPr="00A66394" w:rsidRDefault="000F6A02" w:rsidP="00096A77">
      <w:pPr>
        <w:pStyle w:val="Heading3"/>
      </w:pPr>
      <w:bookmarkStart w:id="12" w:name="_Toc215924452"/>
      <w:bookmarkStart w:id="13" w:name="_Toc215924525"/>
      <w:bookmarkStart w:id="14" w:name="_Toc215924592"/>
      <w:r w:rsidRPr="00A66394">
        <w:t>3. Communication Plan</w:t>
      </w:r>
      <w:bookmarkEnd w:id="12"/>
      <w:bookmarkEnd w:id="13"/>
      <w:bookmarkEnd w:id="14"/>
    </w:p>
    <w:p w14:paraId="57E527E8" w14:textId="77777777" w:rsidR="000F6A02" w:rsidRPr="00A66394" w:rsidRDefault="000F6A02" w:rsidP="00861935">
      <w:pPr>
        <w:spacing w:line="360" w:lineRule="auto"/>
        <w:jc w:val="both"/>
      </w:pPr>
      <w:r w:rsidRPr="00A66394">
        <w:t>Effective communication underpins stakeholder engagement. A structured communication plan ensures that the right information reaches the right stakeholders at the right time through appropriate channels. Table 2 outlines the communication plan for the Elizabeth Line project.</w:t>
      </w:r>
    </w:p>
    <w:p w14:paraId="0D38C41A" w14:textId="77777777" w:rsidR="000F6A02" w:rsidRPr="00A66394" w:rsidRDefault="000F6A02" w:rsidP="00861935">
      <w:pPr>
        <w:spacing w:line="360" w:lineRule="auto"/>
        <w:jc w:val="both"/>
      </w:pPr>
      <w:r w:rsidRPr="00A66394">
        <w:rPr>
          <w:b/>
          <w:bCs/>
        </w:rPr>
        <w:t>Table 2: Communication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4"/>
        <w:gridCol w:w="1932"/>
        <w:gridCol w:w="1298"/>
        <w:gridCol w:w="1982"/>
        <w:gridCol w:w="2120"/>
      </w:tblGrid>
      <w:tr w:rsidR="000F6A02" w:rsidRPr="00A66394" w14:paraId="02BAFBD2" w14:textId="77777777" w:rsidTr="00822197">
        <w:trPr>
          <w:tblHeader/>
          <w:tblCellSpacing w:w="15" w:type="dxa"/>
        </w:trPr>
        <w:tc>
          <w:tcPr>
            <w:tcW w:w="0" w:type="auto"/>
            <w:shd w:val="clear" w:color="auto" w:fill="A6A6A6" w:themeFill="background1" w:themeFillShade="A6"/>
            <w:vAlign w:val="center"/>
            <w:hideMark/>
          </w:tcPr>
          <w:p w14:paraId="55C7E499" w14:textId="77777777" w:rsidR="000F6A02" w:rsidRPr="00A66394" w:rsidRDefault="000F6A02" w:rsidP="00861935">
            <w:pPr>
              <w:spacing w:line="360" w:lineRule="auto"/>
              <w:jc w:val="both"/>
              <w:rPr>
                <w:b/>
                <w:bCs/>
              </w:rPr>
            </w:pPr>
            <w:r w:rsidRPr="00A66394">
              <w:rPr>
                <w:b/>
                <w:bCs/>
              </w:rPr>
              <w:t>Stakeholder</w:t>
            </w:r>
          </w:p>
        </w:tc>
        <w:tc>
          <w:tcPr>
            <w:tcW w:w="0" w:type="auto"/>
            <w:shd w:val="clear" w:color="auto" w:fill="A6A6A6" w:themeFill="background1" w:themeFillShade="A6"/>
            <w:vAlign w:val="center"/>
            <w:hideMark/>
          </w:tcPr>
          <w:p w14:paraId="7099A289" w14:textId="77777777" w:rsidR="000F6A02" w:rsidRPr="00A66394" w:rsidRDefault="000F6A02" w:rsidP="00861935">
            <w:pPr>
              <w:spacing w:line="360" w:lineRule="auto"/>
              <w:jc w:val="both"/>
              <w:rPr>
                <w:b/>
                <w:bCs/>
              </w:rPr>
            </w:pPr>
            <w:r w:rsidRPr="00A66394">
              <w:rPr>
                <w:b/>
                <w:bCs/>
              </w:rPr>
              <w:t>Information</w:t>
            </w:r>
          </w:p>
        </w:tc>
        <w:tc>
          <w:tcPr>
            <w:tcW w:w="0" w:type="auto"/>
            <w:shd w:val="clear" w:color="auto" w:fill="A6A6A6" w:themeFill="background1" w:themeFillShade="A6"/>
            <w:vAlign w:val="center"/>
            <w:hideMark/>
          </w:tcPr>
          <w:p w14:paraId="50FD639F" w14:textId="77777777" w:rsidR="000F6A02" w:rsidRPr="00A66394" w:rsidRDefault="000F6A02" w:rsidP="00861935">
            <w:pPr>
              <w:spacing w:line="360" w:lineRule="auto"/>
              <w:jc w:val="both"/>
              <w:rPr>
                <w:b/>
                <w:bCs/>
              </w:rPr>
            </w:pPr>
            <w:r w:rsidRPr="00A66394">
              <w:rPr>
                <w:b/>
                <w:bCs/>
              </w:rPr>
              <w:t>Frequency / Timing</w:t>
            </w:r>
          </w:p>
        </w:tc>
        <w:tc>
          <w:tcPr>
            <w:tcW w:w="0" w:type="auto"/>
            <w:shd w:val="clear" w:color="auto" w:fill="A6A6A6" w:themeFill="background1" w:themeFillShade="A6"/>
            <w:vAlign w:val="center"/>
            <w:hideMark/>
          </w:tcPr>
          <w:p w14:paraId="23E39C5C" w14:textId="77777777" w:rsidR="000F6A02" w:rsidRPr="00A66394" w:rsidRDefault="000F6A02" w:rsidP="00861935">
            <w:pPr>
              <w:spacing w:line="360" w:lineRule="auto"/>
              <w:jc w:val="both"/>
              <w:rPr>
                <w:b/>
                <w:bCs/>
              </w:rPr>
            </w:pPr>
            <w:r w:rsidRPr="00A66394">
              <w:rPr>
                <w:b/>
                <w:bCs/>
              </w:rPr>
              <w:t>Medium</w:t>
            </w:r>
          </w:p>
        </w:tc>
        <w:tc>
          <w:tcPr>
            <w:tcW w:w="0" w:type="auto"/>
            <w:shd w:val="clear" w:color="auto" w:fill="A6A6A6" w:themeFill="background1" w:themeFillShade="A6"/>
            <w:vAlign w:val="center"/>
            <w:hideMark/>
          </w:tcPr>
          <w:p w14:paraId="6DF247D7" w14:textId="77777777" w:rsidR="000F6A02" w:rsidRPr="00A66394" w:rsidRDefault="000F6A02" w:rsidP="00861935">
            <w:pPr>
              <w:spacing w:line="360" w:lineRule="auto"/>
              <w:jc w:val="both"/>
              <w:rPr>
                <w:b/>
                <w:bCs/>
              </w:rPr>
            </w:pPr>
            <w:r w:rsidRPr="00A66394">
              <w:rPr>
                <w:b/>
                <w:bCs/>
              </w:rPr>
              <w:t>Justification</w:t>
            </w:r>
          </w:p>
        </w:tc>
      </w:tr>
      <w:tr w:rsidR="000F6A02" w:rsidRPr="00A66394" w14:paraId="37A0ECAC" w14:textId="77777777" w:rsidTr="00822197">
        <w:trPr>
          <w:tblCellSpacing w:w="15" w:type="dxa"/>
        </w:trPr>
        <w:tc>
          <w:tcPr>
            <w:tcW w:w="0" w:type="auto"/>
            <w:vAlign w:val="center"/>
            <w:hideMark/>
          </w:tcPr>
          <w:p w14:paraId="5A5B4C61" w14:textId="77777777" w:rsidR="000F6A02" w:rsidRPr="00A66394" w:rsidRDefault="000F6A02" w:rsidP="00861935">
            <w:pPr>
              <w:spacing w:line="360" w:lineRule="auto"/>
              <w:jc w:val="both"/>
            </w:pPr>
            <w:r w:rsidRPr="00A66394">
              <w:t>Local Residents</w:t>
            </w:r>
          </w:p>
        </w:tc>
        <w:tc>
          <w:tcPr>
            <w:tcW w:w="0" w:type="auto"/>
            <w:vAlign w:val="center"/>
            <w:hideMark/>
          </w:tcPr>
          <w:p w14:paraId="7B8DFBB4" w14:textId="77777777" w:rsidR="000F6A02" w:rsidRPr="00A66394" w:rsidRDefault="000F6A02" w:rsidP="00861935">
            <w:pPr>
              <w:spacing w:line="360" w:lineRule="auto"/>
              <w:jc w:val="both"/>
            </w:pPr>
            <w:r w:rsidRPr="00A66394">
              <w:t>Project updates, construction schedules, disruptions</w:t>
            </w:r>
          </w:p>
        </w:tc>
        <w:tc>
          <w:tcPr>
            <w:tcW w:w="0" w:type="auto"/>
            <w:vAlign w:val="center"/>
            <w:hideMark/>
          </w:tcPr>
          <w:p w14:paraId="10FE30C3" w14:textId="77777777" w:rsidR="000F6A02" w:rsidRPr="00A66394" w:rsidRDefault="000F6A02" w:rsidP="00861935">
            <w:pPr>
              <w:spacing w:line="360" w:lineRule="auto"/>
              <w:jc w:val="both"/>
            </w:pPr>
            <w:r w:rsidRPr="00A66394">
              <w:t>Monthly</w:t>
            </w:r>
          </w:p>
        </w:tc>
        <w:tc>
          <w:tcPr>
            <w:tcW w:w="0" w:type="auto"/>
            <w:vAlign w:val="center"/>
            <w:hideMark/>
          </w:tcPr>
          <w:p w14:paraId="02A172CC" w14:textId="77777777" w:rsidR="000F6A02" w:rsidRPr="00A66394" w:rsidRDefault="000F6A02" w:rsidP="00861935">
            <w:pPr>
              <w:spacing w:line="360" w:lineRule="auto"/>
              <w:jc w:val="both"/>
            </w:pPr>
            <w:r w:rsidRPr="00A66394">
              <w:t>Emails, newsletters, community meetings</w:t>
            </w:r>
          </w:p>
        </w:tc>
        <w:tc>
          <w:tcPr>
            <w:tcW w:w="0" w:type="auto"/>
            <w:vAlign w:val="center"/>
            <w:hideMark/>
          </w:tcPr>
          <w:p w14:paraId="06BDBA4E" w14:textId="77777777" w:rsidR="000F6A02" w:rsidRPr="00A66394" w:rsidRDefault="000F6A02" w:rsidP="00861935">
            <w:pPr>
              <w:spacing w:line="360" w:lineRule="auto"/>
              <w:jc w:val="both"/>
            </w:pPr>
            <w:r w:rsidRPr="00A66394">
              <w:t>Keeps residents informed and reduces complaints; encourages transparency and trust.</w:t>
            </w:r>
          </w:p>
        </w:tc>
      </w:tr>
      <w:tr w:rsidR="000F6A02" w:rsidRPr="00A66394" w14:paraId="368999DE" w14:textId="77777777" w:rsidTr="00822197">
        <w:trPr>
          <w:tblCellSpacing w:w="15" w:type="dxa"/>
        </w:trPr>
        <w:tc>
          <w:tcPr>
            <w:tcW w:w="0" w:type="auto"/>
            <w:vAlign w:val="center"/>
            <w:hideMark/>
          </w:tcPr>
          <w:p w14:paraId="33A46502" w14:textId="77777777" w:rsidR="000F6A02" w:rsidRPr="00A66394" w:rsidRDefault="000F6A02" w:rsidP="00861935">
            <w:pPr>
              <w:spacing w:line="360" w:lineRule="auto"/>
              <w:jc w:val="both"/>
            </w:pPr>
            <w:r w:rsidRPr="00A66394">
              <w:t>Local Businesses</w:t>
            </w:r>
          </w:p>
        </w:tc>
        <w:tc>
          <w:tcPr>
            <w:tcW w:w="0" w:type="auto"/>
            <w:vAlign w:val="center"/>
            <w:hideMark/>
          </w:tcPr>
          <w:p w14:paraId="44C3C2CF" w14:textId="77777777" w:rsidR="000F6A02" w:rsidRPr="00A66394" w:rsidRDefault="000F6A02" w:rsidP="00861935">
            <w:pPr>
              <w:spacing w:line="360" w:lineRule="auto"/>
              <w:jc w:val="both"/>
            </w:pPr>
            <w:r w:rsidRPr="00A66394">
              <w:t>Operational impacts, business opportunities</w:t>
            </w:r>
          </w:p>
        </w:tc>
        <w:tc>
          <w:tcPr>
            <w:tcW w:w="0" w:type="auto"/>
            <w:vAlign w:val="center"/>
            <w:hideMark/>
          </w:tcPr>
          <w:p w14:paraId="25156B2C" w14:textId="77777777" w:rsidR="000F6A02" w:rsidRPr="00A66394" w:rsidRDefault="000F6A02" w:rsidP="00861935">
            <w:pPr>
              <w:spacing w:line="360" w:lineRule="auto"/>
              <w:jc w:val="both"/>
            </w:pPr>
            <w:r w:rsidRPr="00A66394">
              <w:t>Bi-weekly</w:t>
            </w:r>
          </w:p>
        </w:tc>
        <w:tc>
          <w:tcPr>
            <w:tcW w:w="0" w:type="auto"/>
            <w:vAlign w:val="center"/>
            <w:hideMark/>
          </w:tcPr>
          <w:p w14:paraId="41BD4702" w14:textId="77777777" w:rsidR="000F6A02" w:rsidRPr="00A66394" w:rsidRDefault="000F6A02" w:rsidP="00861935">
            <w:pPr>
              <w:spacing w:line="360" w:lineRule="auto"/>
              <w:jc w:val="both"/>
            </w:pPr>
            <w:r w:rsidRPr="00A66394">
              <w:t>Letters, emails, workshops</w:t>
            </w:r>
          </w:p>
        </w:tc>
        <w:tc>
          <w:tcPr>
            <w:tcW w:w="0" w:type="auto"/>
            <w:vAlign w:val="center"/>
            <w:hideMark/>
          </w:tcPr>
          <w:p w14:paraId="1559F145" w14:textId="77777777" w:rsidR="000F6A02" w:rsidRPr="00A66394" w:rsidRDefault="000F6A02" w:rsidP="00861935">
            <w:pPr>
              <w:spacing w:line="360" w:lineRule="auto"/>
              <w:jc w:val="both"/>
            </w:pPr>
            <w:r w:rsidRPr="00A66394">
              <w:t>Maintains business support and ensures logistical continuity.</w:t>
            </w:r>
          </w:p>
        </w:tc>
      </w:tr>
      <w:tr w:rsidR="000F6A02" w:rsidRPr="00A66394" w14:paraId="311E099C" w14:textId="77777777" w:rsidTr="00822197">
        <w:trPr>
          <w:tblCellSpacing w:w="15" w:type="dxa"/>
        </w:trPr>
        <w:tc>
          <w:tcPr>
            <w:tcW w:w="0" w:type="auto"/>
            <w:vAlign w:val="center"/>
            <w:hideMark/>
          </w:tcPr>
          <w:p w14:paraId="57E09D28" w14:textId="77777777" w:rsidR="000F6A02" w:rsidRPr="00A66394" w:rsidRDefault="000F6A02" w:rsidP="00861935">
            <w:pPr>
              <w:spacing w:line="360" w:lineRule="auto"/>
              <w:jc w:val="both"/>
            </w:pPr>
            <w:r w:rsidRPr="00A66394">
              <w:t>Transport for London (TfL)</w:t>
            </w:r>
          </w:p>
        </w:tc>
        <w:tc>
          <w:tcPr>
            <w:tcW w:w="0" w:type="auto"/>
            <w:vAlign w:val="center"/>
            <w:hideMark/>
          </w:tcPr>
          <w:p w14:paraId="5EF9FA9F" w14:textId="77777777" w:rsidR="000F6A02" w:rsidRPr="00A66394" w:rsidRDefault="000F6A02" w:rsidP="00861935">
            <w:pPr>
              <w:spacing w:line="360" w:lineRule="auto"/>
              <w:jc w:val="both"/>
            </w:pPr>
            <w:r w:rsidRPr="00A66394">
              <w:t>Progress reports, risk management updates</w:t>
            </w:r>
          </w:p>
        </w:tc>
        <w:tc>
          <w:tcPr>
            <w:tcW w:w="0" w:type="auto"/>
            <w:vAlign w:val="center"/>
            <w:hideMark/>
          </w:tcPr>
          <w:p w14:paraId="37107F9A" w14:textId="77777777" w:rsidR="000F6A02" w:rsidRPr="00A66394" w:rsidRDefault="000F6A02" w:rsidP="00861935">
            <w:pPr>
              <w:spacing w:line="360" w:lineRule="auto"/>
              <w:jc w:val="both"/>
            </w:pPr>
            <w:r w:rsidRPr="00A66394">
              <w:t>Weekly</w:t>
            </w:r>
          </w:p>
        </w:tc>
        <w:tc>
          <w:tcPr>
            <w:tcW w:w="0" w:type="auto"/>
            <w:vAlign w:val="center"/>
            <w:hideMark/>
          </w:tcPr>
          <w:p w14:paraId="0EFC089F" w14:textId="77777777" w:rsidR="000F6A02" w:rsidRPr="00A66394" w:rsidRDefault="000F6A02" w:rsidP="00861935">
            <w:pPr>
              <w:spacing w:line="360" w:lineRule="auto"/>
              <w:jc w:val="both"/>
            </w:pPr>
            <w:r w:rsidRPr="00A66394">
              <w:t>Meetings, formal reports</w:t>
            </w:r>
          </w:p>
        </w:tc>
        <w:tc>
          <w:tcPr>
            <w:tcW w:w="0" w:type="auto"/>
            <w:vAlign w:val="center"/>
            <w:hideMark/>
          </w:tcPr>
          <w:p w14:paraId="75E36EC9" w14:textId="77777777" w:rsidR="000F6A02" w:rsidRPr="00A66394" w:rsidRDefault="000F6A02" w:rsidP="00861935">
            <w:pPr>
              <w:spacing w:line="360" w:lineRule="auto"/>
              <w:jc w:val="both"/>
            </w:pPr>
            <w:r w:rsidRPr="00A66394">
              <w:t>Ensures alignment with operational policies and regulatory requirements.</w:t>
            </w:r>
          </w:p>
        </w:tc>
      </w:tr>
      <w:tr w:rsidR="000F6A02" w:rsidRPr="00A66394" w14:paraId="560E12F2" w14:textId="77777777" w:rsidTr="00822197">
        <w:trPr>
          <w:tblCellSpacing w:w="15" w:type="dxa"/>
        </w:trPr>
        <w:tc>
          <w:tcPr>
            <w:tcW w:w="0" w:type="auto"/>
            <w:vAlign w:val="center"/>
            <w:hideMark/>
          </w:tcPr>
          <w:p w14:paraId="6863716C" w14:textId="77777777" w:rsidR="000F6A02" w:rsidRPr="00A66394" w:rsidRDefault="000F6A02" w:rsidP="00861935">
            <w:pPr>
              <w:spacing w:line="360" w:lineRule="auto"/>
              <w:jc w:val="both"/>
            </w:pPr>
            <w:r w:rsidRPr="00A66394">
              <w:lastRenderedPageBreak/>
              <w:t>Local Government</w:t>
            </w:r>
          </w:p>
        </w:tc>
        <w:tc>
          <w:tcPr>
            <w:tcW w:w="0" w:type="auto"/>
            <w:vAlign w:val="center"/>
            <w:hideMark/>
          </w:tcPr>
          <w:p w14:paraId="4A032E93" w14:textId="77777777" w:rsidR="000F6A02" w:rsidRPr="00A66394" w:rsidRDefault="000F6A02" w:rsidP="00861935">
            <w:pPr>
              <w:spacing w:line="360" w:lineRule="auto"/>
              <w:jc w:val="both"/>
            </w:pPr>
            <w:r w:rsidRPr="00A66394">
              <w:t>Planning approvals, regulatory compliance</w:t>
            </w:r>
          </w:p>
        </w:tc>
        <w:tc>
          <w:tcPr>
            <w:tcW w:w="0" w:type="auto"/>
            <w:vAlign w:val="center"/>
            <w:hideMark/>
          </w:tcPr>
          <w:p w14:paraId="771E9E48" w14:textId="77777777" w:rsidR="000F6A02" w:rsidRPr="00A66394" w:rsidRDefault="000F6A02" w:rsidP="00861935">
            <w:pPr>
              <w:spacing w:line="360" w:lineRule="auto"/>
              <w:jc w:val="both"/>
            </w:pPr>
            <w:r w:rsidRPr="00A66394">
              <w:t>Monthly</w:t>
            </w:r>
          </w:p>
        </w:tc>
        <w:tc>
          <w:tcPr>
            <w:tcW w:w="0" w:type="auto"/>
            <w:vAlign w:val="center"/>
            <w:hideMark/>
          </w:tcPr>
          <w:p w14:paraId="6CAB2B09" w14:textId="77777777" w:rsidR="000F6A02" w:rsidRPr="00A66394" w:rsidRDefault="000F6A02" w:rsidP="00861935">
            <w:pPr>
              <w:spacing w:line="360" w:lineRule="auto"/>
              <w:jc w:val="both"/>
            </w:pPr>
            <w:r w:rsidRPr="00A66394">
              <w:t>Meetings, official correspondence</w:t>
            </w:r>
          </w:p>
        </w:tc>
        <w:tc>
          <w:tcPr>
            <w:tcW w:w="0" w:type="auto"/>
            <w:vAlign w:val="center"/>
            <w:hideMark/>
          </w:tcPr>
          <w:p w14:paraId="7D9EF446" w14:textId="77777777" w:rsidR="000F6A02" w:rsidRPr="00A66394" w:rsidRDefault="000F6A02" w:rsidP="00861935">
            <w:pPr>
              <w:spacing w:line="360" w:lineRule="auto"/>
              <w:jc w:val="both"/>
            </w:pPr>
            <w:r w:rsidRPr="00A66394">
              <w:t>Supports decision-making and maintains governance compliance.</w:t>
            </w:r>
          </w:p>
        </w:tc>
      </w:tr>
      <w:tr w:rsidR="000F6A02" w:rsidRPr="00A66394" w14:paraId="32CDB61B" w14:textId="77777777" w:rsidTr="00822197">
        <w:trPr>
          <w:tblCellSpacing w:w="15" w:type="dxa"/>
        </w:trPr>
        <w:tc>
          <w:tcPr>
            <w:tcW w:w="0" w:type="auto"/>
            <w:vAlign w:val="center"/>
            <w:hideMark/>
          </w:tcPr>
          <w:p w14:paraId="74F9AEF1" w14:textId="77777777" w:rsidR="000F6A02" w:rsidRPr="00A66394" w:rsidRDefault="000F6A02" w:rsidP="00861935">
            <w:pPr>
              <w:spacing w:line="360" w:lineRule="auto"/>
              <w:jc w:val="both"/>
            </w:pPr>
            <w:r w:rsidRPr="00A66394">
              <w:t>Commuters / Passengers</w:t>
            </w:r>
          </w:p>
        </w:tc>
        <w:tc>
          <w:tcPr>
            <w:tcW w:w="0" w:type="auto"/>
            <w:vAlign w:val="center"/>
            <w:hideMark/>
          </w:tcPr>
          <w:p w14:paraId="29B95C5F" w14:textId="77777777" w:rsidR="000F6A02" w:rsidRPr="00A66394" w:rsidRDefault="000F6A02" w:rsidP="00861935">
            <w:pPr>
              <w:spacing w:line="360" w:lineRule="auto"/>
              <w:jc w:val="both"/>
            </w:pPr>
            <w:r w:rsidRPr="00A66394">
              <w:t>Service information, delays, travel advisories</w:t>
            </w:r>
          </w:p>
        </w:tc>
        <w:tc>
          <w:tcPr>
            <w:tcW w:w="0" w:type="auto"/>
            <w:vAlign w:val="center"/>
            <w:hideMark/>
          </w:tcPr>
          <w:p w14:paraId="47197610" w14:textId="77777777" w:rsidR="000F6A02" w:rsidRPr="00A66394" w:rsidRDefault="000F6A02" w:rsidP="00861935">
            <w:pPr>
              <w:spacing w:line="360" w:lineRule="auto"/>
              <w:jc w:val="both"/>
            </w:pPr>
            <w:r w:rsidRPr="00A66394">
              <w:t>Real-time</w:t>
            </w:r>
          </w:p>
        </w:tc>
        <w:tc>
          <w:tcPr>
            <w:tcW w:w="0" w:type="auto"/>
            <w:vAlign w:val="center"/>
            <w:hideMark/>
          </w:tcPr>
          <w:p w14:paraId="36D31D94" w14:textId="77777777" w:rsidR="000F6A02" w:rsidRPr="00A66394" w:rsidRDefault="000F6A02" w:rsidP="00861935">
            <w:pPr>
              <w:spacing w:line="360" w:lineRule="auto"/>
              <w:jc w:val="both"/>
              <w:rPr>
                <w:lang w:val="it-IT"/>
              </w:rPr>
            </w:pPr>
            <w:r w:rsidRPr="00A66394">
              <w:rPr>
                <w:lang w:val="it-IT"/>
              </w:rPr>
              <w:t>Social media, mobile apps, newspapers</w:t>
            </w:r>
          </w:p>
        </w:tc>
        <w:tc>
          <w:tcPr>
            <w:tcW w:w="0" w:type="auto"/>
            <w:vAlign w:val="center"/>
            <w:hideMark/>
          </w:tcPr>
          <w:p w14:paraId="5C228178" w14:textId="77777777" w:rsidR="000F6A02" w:rsidRPr="00A66394" w:rsidRDefault="000F6A02" w:rsidP="00861935">
            <w:pPr>
              <w:spacing w:line="360" w:lineRule="auto"/>
              <w:jc w:val="both"/>
            </w:pPr>
            <w:r w:rsidRPr="00A66394">
              <w:t>Directly addresses user needs, manages expectations, and improves satisfaction.</w:t>
            </w:r>
          </w:p>
        </w:tc>
      </w:tr>
      <w:tr w:rsidR="000F6A02" w:rsidRPr="00A66394" w14:paraId="67D0B66A" w14:textId="77777777" w:rsidTr="00822197">
        <w:trPr>
          <w:tblCellSpacing w:w="15" w:type="dxa"/>
        </w:trPr>
        <w:tc>
          <w:tcPr>
            <w:tcW w:w="0" w:type="auto"/>
            <w:vAlign w:val="center"/>
            <w:hideMark/>
          </w:tcPr>
          <w:p w14:paraId="18CFF7A9" w14:textId="77777777" w:rsidR="000F6A02" w:rsidRPr="00A66394" w:rsidRDefault="000F6A02" w:rsidP="00861935">
            <w:pPr>
              <w:spacing w:line="360" w:lineRule="auto"/>
              <w:jc w:val="both"/>
            </w:pPr>
            <w:r w:rsidRPr="00A66394">
              <w:t>Environmental Groups</w:t>
            </w:r>
          </w:p>
        </w:tc>
        <w:tc>
          <w:tcPr>
            <w:tcW w:w="0" w:type="auto"/>
            <w:vAlign w:val="center"/>
            <w:hideMark/>
          </w:tcPr>
          <w:p w14:paraId="7D5CDDAA" w14:textId="77777777" w:rsidR="000F6A02" w:rsidRPr="00A66394" w:rsidRDefault="000F6A02" w:rsidP="00861935">
            <w:pPr>
              <w:spacing w:line="360" w:lineRule="auto"/>
              <w:jc w:val="both"/>
            </w:pPr>
            <w:r w:rsidRPr="00A66394">
              <w:t>Environmental mitigation measures, sustainability progress</w:t>
            </w:r>
          </w:p>
        </w:tc>
        <w:tc>
          <w:tcPr>
            <w:tcW w:w="0" w:type="auto"/>
            <w:vAlign w:val="center"/>
            <w:hideMark/>
          </w:tcPr>
          <w:p w14:paraId="6EB0C9B3" w14:textId="77777777" w:rsidR="000F6A02" w:rsidRPr="00A66394" w:rsidRDefault="000F6A02" w:rsidP="00861935">
            <w:pPr>
              <w:spacing w:line="360" w:lineRule="auto"/>
              <w:jc w:val="both"/>
            </w:pPr>
            <w:r w:rsidRPr="00A66394">
              <w:t>Quarterly</w:t>
            </w:r>
          </w:p>
        </w:tc>
        <w:tc>
          <w:tcPr>
            <w:tcW w:w="0" w:type="auto"/>
            <w:vAlign w:val="center"/>
            <w:hideMark/>
          </w:tcPr>
          <w:p w14:paraId="0F36DD7A" w14:textId="77777777" w:rsidR="000F6A02" w:rsidRPr="00A66394" w:rsidRDefault="000F6A02" w:rsidP="00861935">
            <w:pPr>
              <w:spacing w:line="360" w:lineRule="auto"/>
              <w:jc w:val="both"/>
            </w:pPr>
            <w:r w:rsidRPr="00A66394">
              <w:t>Reports, consultation meetings</w:t>
            </w:r>
          </w:p>
        </w:tc>
        <w:tc>
          <w:tcPr>
            <w:tcW w:w="0" w:type="auto"/>
            <w:vAlign w:val="center"/>
            <w:hideMark/>
          </w:tcPr>
          <w:p w14:paraId="46DB5821" w14:textId="77777777" w:rsidR="000F6A02" w:rsidRPr="00A66394" w:rsidRDefault="000F6A02" w:rsidP="00861935">
            <w:pPr>
              <w:spacing w:line="360" w:lineRule="auto"/>
              <w:jc w:val="both"/>
            </w:pPr>
            <w:r w:rsidRPr="00A66394">
              <w:t>Engages stakeholders in sustainability objectives and mitigates potential criticism.</w:t>
            </w:r>
          </w:p>
        </w:tc>
      </w:tr>
    </w:tbl>
    <w:p w14:paraId="6EE998FC" w14:textId="77777777" w:rsidR="00854AD3" w:rsidRPr="000F6A02" w:rsidRDefault="00854AD3" w:rsidP="00861935">
      <w:pPr>
        <w:spacing w:line="360" w:lineRule="auto"/>
        <w:jc w:val="both"/>
      </w:pPr>
    </w:p>
    <w:p w14:paraId="5C590E90" w14:textId="77777777" w:rsidR="006730F6" w:rsidRDefault="006730F6" w:rsidP="00861935">
      <w:pPr>
        <w:spacing w:line="360" w:lineRule="auto"/>
        <w:jc w:val="both"/>
        <w:rPr>
          <w:lang w:val="en-US"/>
        </w:rPr>
      </w:pPr>
    </w:p>
    <w:p w14:paraId="49C55453" w14:textId="45B65435" w:rsidR="006730F6" w:rsidRDefault="006730F6" w:rsidP="00861935">
      <w:pPr>
        <w:spacing w:line="360" w:lineRule="auto"/>
        <w:jc w:val="both"/>
        <w:rPr>
          <w:lang w:val="en-US"/>
        </w:rPr>
      </w:pPr>
    </w:p>
    <w:p w14:paraId="2F0CAA2B" w14:textId="6CBCE14C" w:rsidR="00044243" w:rsidRPr="00044243" w:rsidRDefault="00044243" w:rsidP="00044243">
      <w:pPr>
        <w:spacing w:line="360" w:lineRule="auto"/>
        <w:jc w:val="both"/>
      </w:pPr>
    </w:p>
    <w:p w14:paraId="7E13D972" w14:textId="77777777" w:rsidR="006730F6" w:rsidRDefault="006730F6" w:rsidP="00861935">
      <w:pPr>
        <w:spacing w:line="360" w:lineRule="auto"/>
        <w:jc w:val="both"/>
        <w:rPr>
          <w:lang w:val="en-US"/>
        </w:rPr>
      </w:pPr>
    </w:p>
    <w:p w14:paraId="78EED613" w14:textId="77777777" w:rsidR="006730F6" w:rsidRDefault="006730F6" w:rsidP="00861935">
      <w:pPr>
        <w:spacing w:line="360" w:lineRule="auto"/>
        <w:jc w:val="both"/>
        <w:rPr>
          <w:lang w:val="en-US"/>
        </w:rPr>
      </w:pPr>
    </w:p>
    <w:p w14:paraId="4F45BFA8" w14:textId="77777777" w:rsidR="00861935" w:rsidRDefault="00861935" w:rsidP="00861935">
      <w:pPr>
        <w:spacing w:line="360" w:lineRule="auto"/>
        <w:jc w:val="both"/>
        <w:rPr>
          <w:lang w:val="en-US"/>
        </w:rPr>
      </w:pPr>
    </w:p>
    <w:p w14:paraId="1B2AD70B" w14:textId="69146A7A" w:rsidR="003377A2" w:rsidRPr="00A66394" w:rsidRDefault="003377A2" w:rsidP="00096A77">
      <w:pPr>
        <w:pStyle w:val="Heading3"/>
      </w:pPr>
      <w:bookmarkStart w:id="15" w:name="_Toc215924453"/>
      <w:bookmarkStart w:id="16" w:name="_Toc215924526"/>
      <w:bookmarkStart w:id="17" w:name="_Toc215924593"/>
      <w:r w:rsidRPr="00A66394">
        <w:lastRenderedPageBreak/>
        <w:t>4. Consultation Strategy</w:t>
      </w:r>
      <w:bookmarkEnd w:id="15"/>
      <w:bookmarkEnd w:id="16"/>
      <w:bookmarkEnd w:id="17"/>
    </w:p>
    <w:p w14:paraId="706997D8" w14:textId="5E6CBCC7" w:rsidR="006730F6" w:rsidRDefault="002A2110" w:rsidP="00861935">
      <w:pPr>
        <w:spacing w:line="360" w:lineRule="auto"/>
        <w:jc w:val="both"/>
      </w:pPr>
      <w:r w:rsidRPr="002A2110">
        <w:t>The consultation strategy focuses on organized engagement with stakeholders to collect feedback, respond to issues, and strengthen decision-making. It uses approaches such as public meetings, surveys, focus groups, and online discussion platforms. Consultation activities are customized based on the level of stakeholder influence and interest</w:t>
      </w:r>
      <w:r w:rsidR="00E76CFF">
        <w:t>:</w:t>
      </w:r>
    </w:p>
    <w:p w14:paraId="0851B85B" w14:textId="77777777" w:rsidR="001B5CC6" w:rsidRPr="001B5CC6" w:rsidRDefault="001B5CC6" w:rsidP="00861935">
      <w:pPr>
        <w:spacing w:line="360" w:lineRule="auto"/>
        <w:jc w:val="both"/>
      </w:pPr>
      <w:r w:rsidRPr="001B5CC6">
        <w:rPr>
          <w:b/>
          <w:bCs/>
        </w:rPr>
        <w:t>Stakeholder Engagement Approach</w:t>
      </w:r>
    </w:p>
    <w:p w14:paraId="421A40E4" w14:textId="77777777" w:rsidR="001B5CC6" w:rsidRPr="001B5CC6" w:rsidRDefault="001B5CC6" w:rsidP="00861935">
      <w:pPr>
        <w:numPr>
          <w:ilvl w:val="0"/>
          <w:numId w:val="2"/>
        </w:numPr>
        <w:spacing w:line="360" w:lineRule="auto"/>
        <w:jc w:val="both"/>
      </w:pPr>
      <w:r w:rsidRPr="001B5CC6">
        <w:rPr>
          <w:b/>
          <w:bCs/>
        </w:rPr>
        <w:t>High Power, High Interest Stakeholders:</w:t>
      </w:r>
      <w:r w:rsidRPr="001B5CC6">
        <w:t xml:space="preserve"> Organisations such as TfL and local government participate in formal workshops and strategic decision-making sessions. This ensures their concerns are addressed directly, while their expertise enhances project efficiency.</w:t>
      </w:r>
    </w:p>
    <w:p w14:paraId="04384FC3" w14:textId="77777777" w:rsidR="001B5CC6" w:rsidRPr="001B5CC6" w:rsidRDefault="001B5CC6" w:rsidP="00861935">
      <w:pPr>
        <w:numPr>
          <w:ilvl w:val="0"/>
          <w:numId w:val="2"/>
        </w:numPr>
        <w:spacing w:line="360" w:lineRule="auto"/>
        <w:jc w:val="both"/>
      </w:pPr>
      <w:r w:rsidRPr="001B5CC6">
        <w:rPr>
          <w:b/>
          <w:bCs/>
        </w:rPr>
        <w:t>High Interest, Low Power Stakeholders:</w:t>
      </w:r>
      <w:r w:rsidRPr="001B5CC6">
        <w:t xml:space="preserve"> Local residents and commuters are engaged via surveys, town hall meetings, and online feedback platforms. Regular updates and transparent reporting help maintain trust and minimize opposition.</w:t>
      </w:r>
    </w:p>
    <w:p w14:paraId="7F5892A6" w14:textId="77777777" w:rsidR="001B5CC6" w:rsidRPr="001B5CC6" w:rsidRDefault="001B5CC6" w:rsidP="00861935">
      <w:pPr>
        <w:numPr>
          <w:ilvl w:val="0"/>
          <w:numId w:val="2"/>
        </w:numPr>
        <w:spacing w:line="360" w:lineRule="auto"/>
        <w:jc w:val="both"/>
      </w:pPr>
      <w:r w:rsidRPr="001B5CC6">
        <w:rPr>
          <w:b/>
          <w:bCs/>
        </w:rPr>
        <w:t>Medium Power Stakeholders:</w:t>
      </w:r>
      <w:r w:rsidRPr="001B5CC6">
        <w:t xml:space="preserve"> Construction contractors are consulted on operational matters, scheduling, and technical requirements. This ensures practical challenges are resolved without adding unnecessary administrative burden.</w:t>
      </w:r>
    </w:p>
    <w:p w14:paraId="03FEEDF5" w14:textId="77777777" w:rsidR="001B5CC6" w:rsidRPr="001B5CC6" w:rsidRDefault="001B5CC6" w:rsidP="00861935">
      <w:pPr>
        <w:numPr>
          <w:ilvl w:val="0"/>
          <w:numId w:val="2"/>
        </w:numPr>
        <w:spacing w:line="360" w:lineRule="auto"/>
        <w:jc w:val="both"/>
      </w:pPr>
      <w:r w:rsidRPr="001B5CC6">
        <w:rPr>
          <w:b/>
          <w:bCs/>
        </w:rPr>
        <w:t>Low Power, Low Interest Stakeholders:</w:t>
      </w:r>
      <w:r w:rsidRPr="001B5CC6">
        <w:t xml:space="preserve"> Environmental groups are monitored and engaged through periodic reports and formal channels to maintain awareness and uphold corporate social responsibility.</w:t>
      </w:r>
    </w:p>
    <w:p w14:paraId="65FB8906" w14:textId="77777777" w:rsidR="001B5CC6" w:rsidRPr="001B5CC6" w:rsidRDefault="001B5CC6" w:rsidP="00861935">
      <w:pPr>
        <w:spacing w:line="360" w:lineRule="auto"/>
        <w:jc w:val="both"/>
      </w:pPr>
      <w:r w:rsidRPr="001B5CC6">
        <w:t>The overall consultation strategy is guided by principles of transparency, inclusivity, and responsiveness. Feedback collected through these mechanisms informs project adjustments, enabling continuous improvement and reducing stakeholder dissatisfaction.</w:t>
      </w:r>
    </w:p>
    <w:p w14:paraId="7DC48DC8" w14:textId="3839CC13" w:rsidR="001B5CC6" w:rsidRPr="001B5CC6" w:rsidRDefault="001B5CC6" w:rsidP="00861935">
      <w:pPr>
        <w:spacing w:line="360" w:lineRule="auto"/>
        <w:jc w:val="both"/>
      </w:pPr>
    </w:p>
    <w:p w14:paraId="63E682EC" w14:textId="77777777" w:rsidR="00096A77" w:rsidRDefault="00096A77" w:rsidP="00861935">
      <w:pPr>
        <w:spacing w:line="360" w:lineRule="auto"/>
        <w:jc w:val="both"/>
        <w:rPr>
          <w:b/>
          <w:bCs/>
        </w:rPr>
      </w:pPr>
    </w:p>
    <w:p w14:paraId="415C33D7" w14:textId="77777777" w:rsidR="00096A77" w:rsidRDefault="00096A77" w:rsidP="00861935">
      <w:pPr>
        <w:spacing w:line="360" w:lineRule="auto"/>
        <w:jc w:val="both"/>
        <w:rPr>
          <w:b/>
          <w:bCs/>
        </w:rPr>
      </w:pPr>
    </w:p>
    <w:p w14:paraId="7880335B" w14:textId="1D397C24" w:rsidR="001B5CC6" w:rsidRPr="001B5CC6" w:rsidRDefault="001B5CC6" w:rsidP="00861935">
      <w:pPr>
        <w:spacing w:line="360" w:lineRule="auto"/>
        <w:jc w:val="both"/>
      </w:pPr>
      <w:r w:rsidRPr="001B5CC6">
        <w:rPr>
          <w:b/>
          <w:bCs/>
        </w:rPr>
        <w:lastRenderedPageBreak/>
        <w:t>Justification and Alignment with Project Success</w:t>
      </w:r>
    </w:p>
    <w:p w14:paraId="693F1414" w14:textId="77777777" w:rsidR="001B5CC6" w:rsidRPr="001B5CC6" w:rsidRDefault="001B5CC6" w:rsidP="00861935">
      <w:pPr>
        <w:spacing w:line="360" w:lineRule="auto"/>
        <w:jc w:val="both"/>
      </w:pPr>
      <w:r w:rsidRPr="001B5CC6">
        <w:t>The stakeholder engagement strategy aligns with established project management best practices. By assessing stakeholders’ power and interest, developing tailored communication plans, and implementing structured consultation processes, the Elizabeth Line project can mitigate risks such as public opposition, regulatory delays, and operational inefficiencies. Effective engagement also supports sustainable outcomes by fostering collaboration, trust, and accountability among diverse stakeholders. This approach ensures both technical and social aspects of project delivery are addressed, reflecting an integrated and ethically responsible management philosophy.</w:t>
      </w:r>
    </w:p>
    <w:p w14:paraId="33F2445E" w14:textId="48B0A76C" w:rsidR="001B5CC6" w:rsidRPr="001B5CC6" w:rsidRDefault="001B5CC6" w:rsidP="00861935">
      <w:pPr>
        <w:spacing w:line="360" w:lineRule="auto"/>
        <w:jc w:val="both"/>
      </w:pPr>
    </w:p>
    <w:p w14:paraId="7035A2B6" w14:textId="77777777" w:rsidR="001B5CC6" w:rsidRPr="001B5CC6" w:rsidRDefault="001B5CC6" w:rsidP="00096A77">
      <w:pPr>
        <w:pStyle w:val="Heading1"/>
      </w:pPr>
      <w:bookmarkStart w:id="18" w:name="_Toc215924454"/>
      <w:bookmarkStart w:id="19" w:name="_Toc215924527"/>
      <w:bookmarkStart w:id="20" w:name="_Toc215924594"/>
      <w:r w:rsidRPr="001B5CC6">
        <w:t>Ethical Considerations in Stakeholder Consultation, Participation, and Feedback</w:t>
      </w:r>
      <w:bookmarkEnd w:id="18"/>
      <w:bookmarkEnd w:id="19"/>
      <w:bookmarkEnd w:id="20"/>
    </w:p>
    <w:p w14:paraId="54B014C8" w14:textId="77777777" w:rsidR="001B5CC6" w:rsidRPr="001B5CC6" w:rsidRDefault="001B5CC6" w:rsidP="00861935">
      <w:pPr>
        <w:spacing w:line="360" w:lineRule="auto"/>
        <w:jc w:val="both"/>
      </w:pPr>
      <w:r w:rsidRPr="001B5CC6">
        <w:t>Ethical considerations are crucial in large-scale infrastructure projects to ensure consultation processes are transparent, inclusive, and respectful of stakeholder rights. The Elizabeth Line project, given its societal impact, emphasizes ethical principles throughout consultation, participation, and feedback. This includes attention to methods of consultation, ethical issues in data collection, bias mitigation, and Diversity, Equity, and Inclusion (DEI), as well as systematic collection and analysis of stakeholder feedback for informed decision-making.</w:t>
      </w:r>
    </w:p>
    <w:p w14:paraId="021A0F75" w14:textId="1C56CAD9" w:rsidR="001B5CC6" w:rsidRPr="001B5CC6" w:rsidRDefault="001B5CC6" w:rsidP="00861935">
      <w:pPr>
        <w:spacing w:line="360" w:lineRule="auto"/>
        <w:jc w:val="both"/>
      </w:pPr>
    </w:p>
    <w:p w14:paraId="3CCFA3F7" w14:textId="77777777" w:rsidR="001B5CC6" w:rsidRPr="001B5CC6" w:rsidRDefault="001B5CC6" w:rsidP="00096A77">
      <w:pPr>
        <w:pStyle w:val="Heading2"/>
      </w:pPr>
      <w:bookmarkStart w:id="21" w:name="_Toc215924455"/>
      <w:bookmarkStart w:id="22" w:name="_Toc215924528"/>
      <w:bookmarkStart w:id="23" w:name="_Toc215924595"/>
      <w:r w:rsidRPr="001B5CC6">
        <w:t>Methods of Consultation</w:t>
      </w:r>
      <w:bookmarkEnd w:id="21"/>
      <w:bookmarkEnd w:id="22"/>
      <w:bookmarkEnd w:id="23"/>
    </w:p>
    <w:p w14:paraId="04D217DF" w14:textId="77777777" w:rsidR="001B5CC6" w:rsidRPr="001B5CC6" w:rsidRDefault="001B5CC6" w:rsidP="00861935">
      <w:pPr>
        <w:spacing w:line="360" w:lineRule="auto"/>
        <w:jc w:val="both"/>
      </w:pPr>
      <w:r w:rsidRPr="001B5CC6">
        <w:t>Stakeholder consultation involves structured engagement to gather input, share information, and collaboratively address concerns. For the Elizabeth Line project, multiple methods are used to ensure comprehensive engagement:</w:t>
      </w:r>
    </w:p>
    <w:p w14:paraId="0AEA8807" w14:textId="77777777" w:rsidR="001B5CC6" w:rsidRPr="001B5CC6" w:rsidRDefault="001B5CC6" w:rsidP="00861935">
      <w:pPr>
        <w:numPr>
          <w:ilvl w:val="0"/>
          <w:numId w:val="3"/>
        </w:numPr>
        <w:spacing w:line="360" w:lineRule="auto"/>
        <w:jc w:val="both"/>
      </w:pPr>
      <w:r w:rsidRPr="001B5CC6">
        <w:rPr>
          <w:b/>
          <w:bCs/>
        </w:rPr>
        <w:t>Public Meetings and Workshops:</w:t>
      </w:r>
      <w:r w:rsidRPr="001B5CC6">
        <w:t xml:space="preserve"> Interactive forums for residents, commuters, and local businesses to discuss plans, raise concerns, and provide suggestions, with project managers responding in real time.</w:t>
      </w:r>
    </w:p>
    <w:p w14:paraId="627128FE" w14:textId="77777777" w:rsidR="001B5CC6" w:rsidRPr="001B5CC6" w:rsidRDefault="001B5CC6" w:rsidP="00861935">
      <w:pPr>
        <w:numPr>
          <w:ilvl w:val="0"/>
          <w:numId w:val="3"/>
        </w:numPr>
        <w:spacing w:line="360" w:lineRule="auto"/>
        <w:jc w:val="both"/>
      </w:pPr>
      <w:r w:rsidRPr="001B5CC6">
        <w:rPr>
          <w:b/>
          <w:bCs/>
        </w:rPr>
        <w:lastRenderedPageBreak/>
        <w:t>Surveys and Questionnaires:</w:t>
      </w:r>
      <w:r w:rsidRPr="001B5CC6">
        <w:t xml:space="preserve"> Distributed online and in hard copy, these allow structured feedback on construction impacts, operational preferences, and service expectations, enabling quantitative analysis for large groups.</w:t>
      </w:r>
    </w:p>
    <w:p w14:paraId="2A3E77CF" w14:textId="77777777" w:rsidR="001B5CC6" w:rsidRPr="001B5CC6" w:rsidRDefault="001B5CC6" w:rsidP="00861935">
      <w:pPr>
        <w:numPr>
          <w:ilvl w:val="0"/>
          <w:numId w:val="3"/>
        </w:numPr>
        <w:spacing w:line="360" w:lineRule="auto"/>
        <w:jc w:val="both"/>
      </w:pPr>
      <w:r w:rsidRPr="001B5CC6">
        <w:rPr>
          <w:b/>
          <w:bCs/>
        </w:rPr>
        <w:t>Focus Groups:</w:t>
      </w:r>
      <w:r w:rsidRPr="001B5CC6">
        <w:t xml:space="preserve"> Targeted discussions with representative groups, such as local business owners or environmental advocates, provide qualitative insights and a deeper understanding of stakeholder concerns.</w:t>
      </w:r>
    </w:p>
    <w:p w14:paraId="39870A61" w14:textId="77777777" w:rsidR="001B5CC6" w:rsidRPr="001B5CC6" w:rsidRDefault="001B5CC6" w:rsidP="00861935">
      <w:pPr>
        <w:numPr>
          <w:ilvl w:val="0"/>
          <w:numId w:val="3"/>
        </w:numPr>
        <w:spacing w:line="360" w:lineRule="auto"/>
        <w:jc w:val="both"/>
      </w:pPr>
      <w:r w:rsidRPr="001B5CC6">
        <w:rPr>
          <w:b/>
          <w:bCs/>
        </w:rPr>
        <w:t>Digital Platforms and Online Portals:</w:t>
      </w:r>
      <w:r w:rsidRPr="001B5CC6">
        <w:t xml:space="preserve"> Websites, social media, and mobile applications allow stakeholders to access information, submit comments, and receive responses, extending engagement to commuters unable to attend in-person events.</w:t>
      </w:r>
    </w:p>
    <w:p w14:paraId="0CA5FE56" w14:textId="77777777" w:rsidR="001B5CC6" w:rsidRPr="001B5CC6" w:rsidRDefault="001B5CC6" w:rsidP="00861935">
      <w:pPr>
        <w:spacing w:line="360" w:lineRule="auto"/>
        <w:jc w:val="both"/>
      </w:pPr>
      <w:r w:rsidRPr="001B5CC6">
        <w:t>This multi-modal approach ensures diverse stakeholder needs are met while promoting transparency and accessibility.</w:t>
      </w:r>
    </w:p>
    <w:p w14:paraId="571AED93" w14:textId="683444A1" w:rsidR="001B5CC6" w:rsidRPr="001B5CC6" w:rsidRDefault="001B5CC6" w:rsidP="00861935">
      <w:pPr>
        <w:spacing w:line="360" w:lineRule="auto"/>
        <w:jc w:val="both"/>
      </w:pPr>
    </w:p>
    <w:p w14:paraId="3F19136B" w14:textId="77777777" w:rsidR="001B5CC6" w:rsidRDefault="001B5CC6" w:rsidP="00227AD8">
      <w:pPr>
        <w:pStyle w:val="Heading2"/>
      </w:pPr>
      <w:bookmarkStart w:id="24" w:name="_Toc215924456"/>
      <w:bookmarkStart w:id="25" w:name="_Toc215924529"/>
      <w:bookmarkStart w:id="26" w:name="_Toc215924596"/>
      <w:r w:rsidRPr="001B5CC6">
        <w:t>Ethical Considerations in Stakeholder Engagement</w:t>
      </w:r>
      <w:bookmarkEnd w:id="24"/>
      <w:bookmarkEnd w:id="25"/>
      <w:bookmarkEnd w:id="26"/>
    </w:p>
    <w:p w14:paraId="00BCB931" w14:textId="77777777" w:rsidR="00227AD8" w:rsidRPr="00227AD8" w:rsidRDefault="00227AD8" w:rsidP="00227AD8"/>
    <w:p w14:paraId="400AC2BE" w14:textId="77777777" w:rsidR="001B5CC6" w:rsidRPr="001B5CC6" w:rsidRDefault="001B5CC6" w:rsidP="00861935">
      <w:pPr>
        <w:spacing w:line="360" w:lineRule="auto"/>
        <w:jc w:val="both"/>
      </w:pPr>
      <w:r w:rsidRPr="001B5CC6">
        <w:t>Maintaining ethical engagement is vital for public trust, legal compliance, and social responsibility. Key considerations include:</w:t>
      </w:r>
    </w:p>
    <w:p w14:paraId="77DDC8D0" w14:textId="77777777" w:rsidR="001B5CC6" w:rsidRPr="001B5CC6" w:rsidRDefault="001B5CC6" w:rsidP="00861935">
      <w:pPr>
        <w:numPr>
          <w:ilvl w:val="0"/>
          <w:numId w:val="4"/>
        </w:numPr>
        <w:spacing w:line="360" w:lineRule="auto"/>
        <w:jc w:val="both"/>
      </w:pPr>
      <w:r w:rsidRPr="001B5CC6">
        <w:rPr>
          <w:b/>
          <w:bCs/>
        </w:rPr>
        <w:t>Data Protection and Privacy:</w:t>
      </w:r>
      <w:r w:rsidRPr="001B5CC6">
        <w:t xml:space="preserve"> Personal information collected through surveys, online submissions, or meeting registration must be handled in compliance with UK Data Protection Act 2018 and GDPR, ensuring confidentiality, anonymization where appropriate, and secure storage.</w:t>
      </w:r>
    </w:p>
    <w:p w14:paraId="126DD2F2" w14:textId="77777777" w:rsidR="001B5CC6" w:rsidRPr="001B5CC6" w:rsidRDefault="001B5CC6" w:rsidP="00861935">
      <w:pPr>
        <w:numPr>
          <w:ilvl w:val="0"/>
          <w:numId w:val="4"/>
        </w:numPr>
        <w:spacing w:line="360" w:lineRule="auto"/>
        <w:jc w:val="both"/>
      </w:pPr>
      <w:r w:rsidRPr="001B5CC6">
        <w:rPr>
          <w:b/>
          <w:bCs/>
        </w:rPr>
        <w:t>Minimizing Bias:</w:t>
      </w:r>
      <w:r w:rsidRPr="001B5CC6">
        <w:t xml:space="preserve"> Consultation design must avoid bias in data collection and analysis, using neutral survey language, balanced presentations, and impartial facilitation. Transparent and standardized processes uphold fairness and credibility.</w:t>
      </w:r>
    </w:p>
    <w:p w14:paraId="1A42394D" w14:textId="77777777" w:rsidR="001B5CC6" w:rsidRPr="001B5CC6" w:rsidRDefault="001B5CC6" w:rsidP="00861935">
      <w:pPr>
        <w:numPr>
          <w:ilvl w:val="0"/>
          <w:numId w:val="4"/>
        </w:numPr>
        <w:spacing w:line="360" w:lineRule="auto"/>
        <w:jc w:val="both"/>
      </w:pPr>
      <w:r w:rsidRPr="001B5CC6">
        <w:rPr>
          <w:b/>
          <w:bCs/>
        </w:rPr>
        <w:t>Transparency and Accountability:</w:t>
      </w:r>
      <w:r w:rsidRPr="001B5CC6">
        <w:t xml:space="preserve"> Stakeholders should be informed about the purpose of consultations, how their feedback will be used, and its impact on decisions. Publicly sharing consultation outcomes demonstrates accountability.</w:t>
      </w:r>
    </w:p>
    <w:p w14:paraId="799CF8F7" w14:textId="3859CDAD" w:rsidR="001B5CC6" w:rsidRPr="001B5CC6" w:rsidRDefault="001B5CC6" w:rsidP="00861935">
      <w:pPr>
        <w:spacing w:line="360" w:lineRule="auto"/>
        <w:jc w:val="both"/>
      </w:pPr>
    </w:p>
    <w:p w14:paraId="16080C33" w14:textId="77777777" w:rsidR="001B5CC6" w:rsidRPr="00227AD8" w:rsidRDefault="001B5CC6" w:rsidP="00227AD8">
      <w:pPr>
        <w:pStyle w:val="Heading2"/>
      </w:pPr>
      <w:bookmarkStart w:id="27" w:name="_Toc215924457"/>
      <w:bookmarkStart w:id="28" w:name="_Toc215924530"/>
      <w:bookmarkStart w:id="29" w:name="_Toc215924597"/>
      <w:r w:rsidRPr="00227AD8">
        <w:t>Diversity, Equity, and Inclusion (DEI)</w:t>
      </w:r>
      <w:bookmarkEnd w:id="27"/>
      <w:bookmarkEnd w:id="28"/>
      <w:bookmarkEnd w:id="29"/>
    </w:p>
    <w:p w14:paraId="1C95AB95" w14:textId="77777777" w:rsidR="00227AD8" w:rsidRPr="00227AD8" w:rsidRDefault="00227AD8" w:rsidP="00227AD8"/>
    <w:p w14:paraId="4DC8CCBB" w14:textId="77777777" w:rsidR="001B5CC6" w:rsidRPr="001B5CC6" w:rsidRDefault="001B5CC6" w:rsidP="00861935">
      <w:pPr>
        <w:spacing w:line="360" w:lineRule="auto"/>
        <w:jc w:val="both"/>
      </w:pPr>
      <w:r w:rsidRPr="001B5CC6">
        <w:t>Infrastructure projects affect communities differently; DEI principles ensure fair participation and representation:</w:t>
      </w:r>
    </w:p>
    <w:p w14:paraId="2B62F15C" w14:textId="77777777" w:rsidR="001B5CC6" w:rsidRPr="001B5CC6" w:rsidRDefault="001B5CC6" w:rsidP="00861935">
      <w:pPr>
        <w:numPr>
          <w:ilvl w:val="0"/>
          <w:numId w:val="5"/>
        </w:numPr>
        <w:spacing w:line="360" w:lineRule="auto"/>
        <w:jc w:val="both"/>
      </w:pPr>
      <w:r w:rsidRPr="001B5CC6">
        <w:rPr>
          <w:b/>
          <w:bCs/>
        </w:rPr>
        <w:t>Accessibility:</w:t>
      </w:r>
      <w:r w:rsidRPr="001B5CC6">
        <w:t xml:space="preserve"> Meetings are scheduled at various times and locations, with materials provided in accessible formats (e.g., large print, alternative languages) to accommodate disabilities and non-native speakers.</w:t>
      </w:r>
    </w:p>
    <w:p w14:paraId="0DD21E95" w14:textId="77777777" w:rsidR="001B5CC6" w:rsidRPr="001B5CC6" w:rsidRDefault="001B5CC6" w:rsidP="00861935">
      <w:pPr>
        <w:numPr>
          <w:ilvl w:val="0"/>
          <w:numId w:val="5"/>
        </w:numPr>
        <w:spacing w:line="360" w:lineRule="auto"/>
        <w:jc w:val="both"/>
      </w:pPr>
      <w:r w:rsidRPr="001B5CC6">
        <w:rPr>
          <w:b/>
          <w:bCs/>
        </w:rPr>
        <w:t>Inclusivity:</w:t>
      </w:r>
      <w:r w:rsidRPr="001B5CC6">
        <w:t xml:space="preserve"> Underrepresented groups, including marginalized communities and minority-owned businesses, are engaged through targeted outreach and dedicated consultation sessions.</w:t>
      </w:r>
    </w:p>
    <w:p w14:paraId="50EBEA88" w14:textId="77777777" w:rsidR="001B5CC6" w:rsidRPr="001B5CC6" w:rsidRDefault="001B5CC6" w:rsidP="00861935">
      <w:pPr>
        <w:numPr>
          <w:ilvl w:val="0"/>
          <w:numId w:val="5"/>
        </w:numPr>
        <w:spacing w:line="360" w:lineRule="auto"/>
        <w:jc w:val="both"/>
      </w:pPr>
      <w:r w:rsidRPr="001B5CC6">
        <w:rPr>
          <w:b/>
          <w:bCs/>
        </w:rPr>
        <w:t>Equity in Decision-Making:</w:t>
      </w:r>
      <w:r w:rsidRPr="001B5CC6">
        <w:t xml:space="preserve"> Stakeholder input is considered based on relevance and impact, not social or economic status, ensuring all perspectives are fairly represented.</w:t>
      </w:r>
    </w:p>
    <w:p w14:paraId="05914A49" w14:textId="77777777" w:rsidR="001B5CC6" w:rsidRPr="001B5CC6" w:rsidRDefault="001B5CC6" w:rsidP="00861935">
      <w:pPr>
        <w:spacing w:line="360" w:lineRule="auto"/>
        <w:jc w:val="both"/>
      </w:pPr>
      <w:r w:rsidRPr="001B5CC6">
        <w:t>Integrating DEI strengthens the legitimacy of engagement processes and enhances the social sustainability of the project.</w:t>
      </w:r>
    </w:p>
    <w:p w14:paraId="707946E7" w14:textId="77777777" w:rsidR="00227AD8" w:rsidRDefault="00227AD8" w:rsidP="00861935">
      <w:pPr>
        <w:spacing w:line="360" w:lineRule="auto"/>
        <w:jc w:val="both"/>
      </w:pPr>
    </w:p>
    <w:p w14:paraId="3CBC2A64" w14:textId="1997D2A8" w:rsidR="00850D17" w:rsidRPr="00D47006" w:rsidRDefault="00850D17" w:rsidP="00227AD8">
      <w:pPr>
        <w:pStyle w:val="Heading2"/>
      </w:pPr>
      <w:r w:rsidRPr="00D47006">
        <w:t xml:space="preserve"> </w:t>
      </w:r>
      <w:bookmarkStart w:id="30" w:name="_Toc215924458"/>
      <w:bookmarkStart w:id="31" w:name="_Toc215924531"/>
      <w:bookmarkStart w:id="32" w:name="_Toc215924598"/>
      <w:r w:rsidRPr="00D47006">
        <w:t>Stakeholder Feedback Collection and Review</w:t>
      </w:r>
      <w:bookmarkEnd w:id="30"/>
      <w:bookmarkEnd w:id="31"/>
      <w:bookmarkEnd w:id="32"/>
    </w:p>
    <w:p w14:paraId="404DD78A" w14:textId="77777777" w:rsidR="001B5CC6" w:rsidRPr="001B5CC6" w:rsidRDefault="001B5CC6" w:rsidP="00861935">
      <w:pPr>
        <w:spacing w:line="360" w:lineRule="auto"/>
        <w:jc w:val="both"/>
      </w:pPr>
    </w:p>
    <w:p w14:paraId="0423D149" w14:textId="77777777" w:rsidR="008D68FA" w:rsidRPr="008D68FA" w:rsidRDefault="008D68FA" w:rsidP="00861935">
      <w:pPr>
        <w:spacing w:line="360" w:lineRule="auto"/>
        <w:jc w:val="both"/>
      </w:pPr>
      <w:r w:rsidRPr="008D68FA">
        <w:t>A strong feedback system is essential for ethical engagement with stakeholders. For the Elizabeth Line project, the process includes:</w:t>
      </w:r>
    </w:p>
    <w:p w14:paraId="6D2092F1" w14:textId="77777777" w:rsidR="008D68FA" w:rsidRPr="008D68FA" w:rsidRDefault="008D68FA" w:rsidP="00861935">
      <w:pPr>
        <w:numPr>
          <w:ilvl w:val="0"/>
          <w:numId w:val="6"/>
        </w:numPr>
        <w:spacing w:line="360" w:lineRule="auto"/>
        <w:jc w:val="both"/>
      </w:pPr>
      <w:r w:rsidRPr="008D68FA">
        <w:rPr>
          <w:b/>
          <w:bCs/>
        </w:rPr>
        <w:t>Collection:</w:t>
      </w:r>
      <w:r w:rsidRPr="008D68FA">
        <w:t xml:space="preserve"> Feedback is obtained through surveys, online submissions, meeting records, and focus group notes. Digital platforms help ensure all input is systematically documented.</w:t>
      </w:r>
    </w:p>
    <w:p w14:paraId="15B214F3" w14:textId="77777777" w:rsidR="008D68FA" w:rsidRPr="008D68FA" w:rsidRDefault="008D68FA" w:rsidP="00861935">
      <w:pPr>
        <w:numPr>
          <w:ilvl w:val="0"/>
          <w:numId w:val="6"/>
        </w:numPr>
        <w:spacing w:line="360" w:lineRule="auto"/>
        <w:jc w:val="both"/>
      </w:pPr>
      <w:r w:rsidRPr="008D68FA">
        <w:rPr>
          <w:b/>
          <w:bCs/>
        </w:rPr>
        <w:t>Categorization:</w:t>
      </w:r>
      <w:r w:rsidRPr="008D68FA">
        <w:t xml:space="preserve"> Feedback is organized based on stakeholder type, issue area (such as construction impact or operational concerns), and urgency. This structure enables project managers to address the most pressing matters efficiently.</w:t>
      </w:r>
    </w:p>
    <w:p w14:paraId="6BDA693E" w14:textId="77777777" w:rsidR="008D68FA" w:rsidRPr="008D68FA" w:rsidRDefault="008D68FA" w:rsidP="00861935">
      <w:pPr>
        <w:numPr>
          <w:ilvl w:val="0"/>
          <w:numId w:val="6"/>
        </w:numPr>
        <w:spacing w:line="360" w:lineRule="auto"/>
        <w:jc w:val="both"/>
      </w:pPr>
      <w:r w:rsidRPr="008D68FA">
        <w:rPr>
          <w:b/>
          <w:bCs/>
        </w:rPr>
        <w:lastRenderedPageBreak/>
        <w:t>Analysis:</w:t>
      </w:r>
      <w:r w:rsidRPr="008D68FA">
        <w:t xml:space="preserve"> Both qualitative and quantitative techniques are used. Survey data are examined statistically, while focus group discussions are thematically coded to uncover recurring issues and suggestions.</w:t>
      </w:r>
    </w:p>
    <w:p w14:paraId="35046DDB" w14:textId="77777777" w:rsidR="008D68FA" w:rsidRPr="008D68FA" w:rsidRDefault="008D68FA" w:rsidP="00861935">
      <w:pPr>
        <w:numPr>
          <w:ilvl w:val="0"/>
          <w:numId w:val="6"/>
        </w:numPr>
        <w:spacing w:line="360" w:lineRule="auto"/>
        <w:jc w:val="both"/>
      </w:pPr>
      <w:r w:rsidRPr="008D68FA">
        <w:rPr>
          <w:b/>
          <w:bCs/>
        </w:rPr>
        <w:t>Integration into Decision-Making:</w:t>
      </w:r>
      <w:r w:rsidRPr="008D68FA">
        <w:t xml:space="preserve"> Practical feedback is incorporated into project plans, schedules, and operational strategies. For instance, if residents express concerns about noise, mitigation measures like temporary barriers or adjusted work schedules are considered.</w:t>
      </w:r>
    </w:p>
    <w:p w14:paraId="05F727A1" w14:textId="77777777" w:rsidR="008D68FA" w:rsidRPr="008D68FA" w:rsidRDefault="008D68FA" w:rsidP="00861935">
      <w:pPr>
        <w:numPr>
          <w:ilvl w:val="0"/>
          <w:numId w:val="6"/>
        </w:numPr>
        <w:spacing w:line="360" w:lineRule="auto"/>
        <w:jc w:val="both"/>
      </w:pPr>
      <w:r w:rsidRPr="008D68FA">
        <w:rPr>
          <w:b/>
          <w:bCs/>
        </w:rPr>
        <w:t>Response and Reporting:</w:t>
      </w:r>
      <w:r w:rsidRPr="008D68FA">
        <w:t xml:space="preserve"> Stakeholders are informed about how their feedback has influenced decisions, fostering transparency and trust. Public summary reports detail engagement outcomes and demonstrate the project’s commitment to ethical practices.</w:t>
      </w:r>
    </w:p>
    <w:p w14:paraId="75B80062" w14:textId="33E6CD2C" w:rsidR="008D68FA" w:rsidRPr="008D68FA" w:rsidRDefault="008D68FA" w:rsidP="00861935">
      <w:pPr>
        <w:spacing w:line="360" w:lineRule="auto"/>
        <w:jc w:val="both"/>
      </w:pPr>
    </w:p>
    <w:p w14:paraId="04101E6C" w14:textId="2AE1348A" w:rsidR="00AA24E3" w:rsidRPr="00227AD8" w:rsidRDefault="008D68FA" w:rsidP="00227AD8">
      <w:pPr>
        <w:pStyle w:val="Heading2"/>
      </w:pPr>
      <w:bookmarkStart w:id="33" w:name="_Toc215924459"/>
      <w:bookmarkStart w:id="34" w:name="_Toc215924532"/>
      <w:bookmarkStart w:id="35" w:name="_Toc215924599"/>
      <w:r w:rsidRPr="00227AD8">
        <w:t>Justification of the Ethical Approach</w:t>
      </w:r>
      <w:bookmarkEnd w:id="33"/>
      <w:bookmarkEnd w:id="34"/>
      <w:bookmarkEnd w:id="35"/>
    </w:p>
    <w:p w14:paraId="2EF3B8F2" w14:textId="5978A2F3" w:rsidR="008D68FA" w:rsidRPr="008D68FA" w:rsidRDefault="008D68FA" w:rsidP="00861935">
      <w:pPr>
        <w:spacing w:line="360" w:lineRule="auto"/>
        <w:jc w:val="both"/>
      </w:pPr>
      <w:r w:rsidRPr="008D68FA">
        <w:br/>
        <w:t>Following ethical principles in stakeholder consultation strengthens project legitimacy, reduces conflicts, and supports long-term sustainability. By addressing issues like privacy, bias, and inclusion, the Elizabeth Line project ensures all stakeholder perspectives are acknowledged, especially those most impacted by construction and operations. Ethical consultation not only fulfills legal requirements but also meets societal expectations for responsible governance in public infrastructure projects. This approach builds trust, lowers resistance, and cultivates a collaborative environment where project success is shared between developers and the community.</w:t>
      </w:r>
    </w:p>
    <w:p w14:paraId="14DEC558" w14:textId="77777777" w:rsidR="006730F6" w:rsidRPr="008D68FA" w:rsidRDefault="006730F6" w:rsidP="00861935">
      <w:pPr>
        <w:spacing w:line="360" w:lineRule="auto"/>
        <w:jc w:val="both"/>
      </w:pPr>
    </w:p>
    <w:p w14:paraId="2101260B" w14:textId="77777777" w:rsidR="006730F6" w:rsidRDefault="006730F6" w:rsidP="00861935">
      <w:pPr>
        <w:spacing w:line="360" w:lineRule="auto"/>
        <w:jc w:val="both"/>
        <w:rPr>
          <w:lang w:val="en-US"/>
        </w:rPr>
      </w:pPr>
    </w:p>
    <w:p w14:paraId="3217C9BC" w14:textId="77777777" w:rsidR="006730F6" w:rsidRDefault="006730F6" w:rsidP="00861935">
      <w:pPr>
        <w:spacing w:line="360" w:lineRule="auto"/>
        <w:jc w:val="both"/>
        <w:rPr>
          <w:lang w:val="en-US"/>
        </w:rPr>
      </w:pPr>
    </w:p>
    <w:p w14:paraId="6B3CABE4" w14:textId="77777777" w:rsidR="006730F6" w:rsidRDefault="006730F6" w:rsidP="00861935">
      <w:pPr>
        <w:spacing w:line="360" w:lineRule="auto"/>
        <w:jc w:val="both"/>
        <w:rPr>
          <w:lang w:val="en-US"/>
        </w:rPr>
      </w:pPr>
    </w:p>
    <w:p w14:paraId="0DF540C3" w14:textId="77777777" w:rsidR="006730F6" w:rsidRDefault="006730F6" w:rsidP="00861935">
      <w:pPr>
        <w:spacing w:line="360" w:lineRule="auto"/>
        <w:jc w:val="both"/>
        <w:rPr>
          <w:lang w:val="en-US"/>
        </w:rPr>
      </w:pPr>
    </w:p>
    <w:p w14:paraId="2B354D90" w14:textId="41D67B1B" w:rsidR="008B2D87" w:rsidRPr="00227AD8" w:rsidRDefault="008B2D87" w:rsidP="00227AD8">
      <w:pPr>
        <w:pStyle w:val="Heading1"/>
      </w:pPr>
      <w:bookmarkStart w:id="36" w:name="_Toc215924460"/>
      <w:bookmarkStart w:id="37" w:name="_Toc215924533"/>
      <w:bookmarkStart w:id="38" w:name="_Toc215924600"/>
      <w:r w:rsidRPr="00227AD8">
        <w:lastRenderedPageBreak/>
        <w:t>Conclusion and Reflection</w:t>
      </w:r>
      <w:bookmarkEnd w:id="36"/>
      <w:bookmarkEnd w:id="37"/>
      <w:bookmarkEnd w:id="38"/>
    </w:p>
    <w:p w14:paraId="36ED62E2" w14:textId="77777777" w:rsidR="008B2D87" w:rsidRPr="009A7948" w:rsidRDefault="008B2D87" w:rsidP="00227AD8">
      <w:pPr>
        <w:pStyle w:val="Heading2"/>
      </w:pPr>
      <w:bookmarkStart w:id="39" w:name="_Toc215924461"/>
      <w:bookmarkStart w:id="40" w:name="_Toc215924534"/>
      <w:bookmarkStart w:id="41" w:name="_Toc215924601"/>
      <w:r w:rsidRPr="009A7948">
        <w:t>Conclusion</w:t>
      </w:r>
      <w:bookmarkEnd w:id="39"/>
      <w:bookmarkEnd w:id="40"/>
      <w:bookmarkEnd w:id="41"/>
    </w:p>
    <w:p w14:paraId="0A397A0D" w14:textId="77777777" w:rsidR="00EE2A20" w:rsidRPr="00EE2A20" w:rsidRDefault="00EE2A20" w:rsidP="00861935">
      <w:pPr>
        <w:spacing w:line="360" w:lineRule="auto"/>
        <w:jc w:val="both"/>
      </w:pPr>
      <w:r w:rsidRPr="00EE2A20">
        <w:t>The Elizabeth Line stands as a landmark infrastructure project, highlighting the complexity, scale, and societal significance of modern urban transport initiatives. As this portfolio demonstrates, successful stakeholder management is crucial to ensuring the project’s effectiveness, sustainability, and social acceptance. Stakeholders—including local residents, commuters, government bodies, contractors, and advocacy organizations—play varied yet interconnected roles in shaping project outcomes. By systematically identifying stakeholders, evaluating their influence, power, and interest, and implementing structured communication and consultation strategies, the project can proactively address concerns, anticipate challenges, and foster collaborative relationships with all parties involved or impacted.</w:t>
      </w:r>
    </w:p>
    <w:p w14:paraId="5A0C0CCD" w14:textId="77777777" w:rsidR="00EE2A20" w:rsidRPr="00EE2A20" w:rsidRDefault="00EE2A20" w:rsidP="00861935">
      <w:pPr>
        <w:spacing w:line="360" w:lineRule="auto"/>
        <w:jc w:val="both"/>
      </w:pPr>
      <w:r w:rsidRPr="00EE2A20">
        <w:t>The stakeholder engagement approaches detailed in this portfolio underscore the need to align stakeholder priorities with project objectives. High-power, high-interest stakeholders, such as Transport for London (TfL) and local authorities, were identified as requiring close management, emphasizing participatory decision-making and continuous information exchange. Meanwhile, stakeholders with high interest but limited power, including local residents and commuters, were engaged through transparent channels such as public meetings, surveys, and digital platforms. Tailoring engagement strategies to stakeholder characteristics allows project managers to allocate resources effectively, reduce conflicts, and improve overall project efficiency.</w:t>
      </w:r>
    </w:p>
    <w:p w14:paraId="1B540AA3" w14:textId="77777777" w:rsidR="00EE2A20" w:rsidRPr="00EE2A20" w:rsidRDefault="00EE2A20" w:rsidP="00861935">
      <w:pPr>
        <w:spacing w:line="360" w:lineRule="auto"/>
        <w:jc w:val="both"/>
      </w:pPr>
      <w:r w:rsidRPr="00EE2A20">
        <w:t>Equally important is the ethical aspect of stakeholder engagement, ensuring that consultation, participation, and feedback processes are conducted transparently, inclusively, and responsibly. Considerations around data protection, bias, and diversity, equity, and inclusion (DEI) not only meet legal and professional standards but also build trust and legitimacy among stakeholders. Systematically gathering and analyzing feedback, and integrating it into project decisions, enhances accountability and demonstrates responsiveness to the communities most affected by infrastructure development. Together, these strategies provide a framework for sustainable stakeholder engagement, risk mitigation, and the long-term success of the Elizabeth Line.</w:t>
      </w:r>
    </w:p>
    <w:p w14:paraId="57470EF0" w14:textId="77777777" w:rsidR="00E06215" w:rsidRPr="009A7948" w:rsidRDefault="00E06215" w:rsidP="00227AD8">
      <w:pPr>
        <w:pStyle w:val="Heading2"/>
      </w:pPr>
      <w:bookmarkStart w:id="42" w:name="_Toc215924462"/>
      <w:bookmarkStart w:id="43" w:name="_Toc215924535"/>
      <w:bookmarkStart w:id="44" w:name="_Toc215924602"/>
      <w:r w:rsidRPr="009A7948">
        <w:lastRenderedPageBreak/>
        <w:t>Reflection</w:t>
      </w:r>
      <w:bookmarkEnd w:id="42"/>
      <w:bookmarkEnd w:id="43"/>
      <w:bookmarkEnd w:id="44"/>
    </w:p>
    <w:p w14:paraId="334BF9B5" w14:textId="77777777" w:rsidR="00097E45" w:rsidRPr="00097E45" w:rsidRDefault="00097E45" w:rsidP="00861935">
      <w:pPr>
        <w:spacing w:line="360" w:lineRule="auto"/>
        <w:jc w:val="both"/>
      </w:pPr>
      <w:r w:rsidRPr="00097E45">
        <w:t>Reflecting on the process of creating a stakeholder management plan offers valuable insights into the pivotal role of stakeholder engagement in infrastructure projects. Large-scale initiatives like the Elizabeth Line highlight the importance of thoroughly understanding stakeholder dynamics. Assessing stakeholders’ power, influence, and interest, along with mapping their relationships, helps prioritize engagement efforts and allocate resources effectively. Without a structured approach, project managers risk overlooking key stakeholders or misaligning engagement strategies, which could lead to delays, opposition, or damage to the project’s reputation.</w:t>
      </w:r>
    </w:p>
    <w:p w14:paraId="04B75F29" w14:textId="77777777" w:rsidR="00097E45" w:rsidRPr="00097E45" w:rsidRDefault="00097E45" w:rsidP="00861935">
      <w:pPr>
        <w:spacing w:line="360" w:lineRule="auto"/>
        <w:jc w:val="both"/>
      </w:pPr>
      <w:r w:rsidRPr="00097E45">
        <w:t>Furthermore, communication and consultation extend beyond operational tasks—they are strategic tools that shape stakeholder perceptions, promote collaboration, and facilitate conflict resolution. A communication plan tailored to stakeholder needs demonstrates that timely, consistent, and context-sensitive information sharing builds trust, transparency, and goodwill. For instance, informing local residents about construction schedules and potential disruptions can alleviate concerns and increase public acceptance. Engaging local businesses and environmental organizations also ensures project impacts are managed responsibly while incorporating diverse perspectives into decision-making. This reflection highlights that communication is a dynamic, iterative process that must adapt continuously to stakeholder feedback and project developments.</w:t>
      </w:r>
    </w:p>
    <w:p w14:paraId="09CA6989" w14:textId="77777777" w:rsidR="00097E45" w:rsidRPr="00097E45" w:rsidRDefault="00097E45" w:rsidP="00861935">
      <w:pPr>
        <w:spacing w:line="360" w:lineRule="auto"/>
        <w:jc w:val="both"/>
      </w:pPr>
      <w:r w:rsidRPr="00097E45">
        <w:t>Ethical considerations also play a crucial role in stakeholder engagement. Protecting privacy, ensuring confidentiality in data collection, mitigating biases in consultation methods, and promoting diversity, equity, and inclusion (DEI) are essential for a fair and inclusive process. Recognizing these aspects emphasizes that infrastructure projects bear not only technical and financial responsibilities but also significant social obligations. Ethical engagement fosters community trust, reinforces social legitimacy, and contributes to the project’s sustainable success beyond its operational outcomes. Practically, this means stakeholders are active contributors whose input shapes decisions and enhances societal value.</w:t>
      </w:r>
    </w:p>
    <w:p w14:paraId="353F64BE" w14:textId="77777777" w:rsidR="00097E45" w:rsidRPr="00097E45" w:rsidRDefault="00097E45" w:rsidP="00861935">
      <w:pPr>
        <w:spacing w:line="360" w:lineRule="auto"/>
        <w:jc w:val="both"/>
      </w:pPr>
      <w:r w:rsidRPr="00097E45">
        <w:t xml:space="preserve">Finally, the reflective process highlights the link between stakeholder engagement and project sustainability. Effective engagement strengthens the long-term viability of </w:t>
      </w:r>
      <w:r w:rsidRPr="00097E45">
        <w:lastRenderedPageBreak/>
        <w:t>projects like the Elizabeth Line by fostering collaboration, anticipating and addressing concerns proactively, and integrating social, environmental, and economic considerations into planning. Projects that prioritize stakeholder management generally experience smoother implementation, reduced conflicts, and stronger public support. This underscores that stakeholder engagement is a strategic competency for project managers, critical to ensuring infrastructure projects deliver lasting benefits to communities and the urban environment.</w:t>
      </w:r>
    </w:p>
    <w:p w14:paraId="5C089ACC" w14:textId="77777777" w:rsidR="00097E45" w:rsidRDefault="00097E45" w:rsidP="00861935">
      <w:pPr>
        <w:spacing w:line="360" w:lineRule="auto"/>
        <w:jc w:val="both"/>
      </w:pPr>
      <w:r w:rsidRPr="00097E45">
        <w:t>In conclusion, developing a stakeholder management plan for the Elizabeth Line demonstrates the importance of integrating systematic engagement, ethical consultation, and responsive feedback mechanisms in infrastructure projects. Stakeholder management is not merely procedural but a strategic approach that enhances project effectiveness, legitimacy, and sustainability. Reflecting on this process offers valuable lessons for future initiatives, emphasizing that successful projects actively engage stakeholders, uphold ethical principles, and embed social responsibility in decision-making. The Elizabeth Line illustrates how proactive and thoughtful stakeholder management can drive transformative urban infrastructure while fostering trust, collaboration, and long-term societal value.</w:t>
      </w:r>
    </w:p>
    <w:p w14:paraId="065065EC" w14:textId="77777777" w:rsidR="006A1220" w:rsidRDefault="006A1220" w:rsidP="00861935">
      <w:pPr>
        <w:spacing w:line="360" w:lineRule="auto"/>
        <w:jc w:val="both"/>
      </w:pPr>
    </w:p>
    <w:p w14:paraId="49A758F1" w14:textId="77777777" w:rsidR="006A1220" w:rsidRDefault="006A1220" w:rsidP="00861935">
      <w:pPr>
        <w:spacing w:line="360" w:lineRule="auto"/>
        <w:jc w:val="both"/>
      </w:pPr>
    </w:p>
    <w:p w14:paraId="3E291F14" w14:textId="77777777" w:rsidR="006A1220" w:rsidRDefault="006A1220" w:rsidP="00861935">
      <w:pPr>
        <w:spacing w:line="360" w:lineRule="auto"/>
        <w:jc w:val="both"/>
      </w:pPr>
    </w:p>
    <w:p w14:paraId="5B42D1D8" w14:textId="77777777" w:rsidR="006A1220" w:rsidRDefault="006A1220" w:rsidP="00861935">
      <w:pPr>
        <w:spacing w:line="360" w:lineRule="auto"/>
        <w:jc w:val="both"/>
      </w:pPr>
    </w:p>
    <w:p w14:paraId="28289337" w14:textId="77777777" w:rsidR="006A1220" w:rsidRDefault="006A1220" w:rsidP="00861935">
      <w:pPr>
        <w:spacing w:line="360" w:lineRule="auto"/>
        <w:jc w:val="both"/>
      </w:pPr>
    </w:p>
    <w:p w14:paraId="5CFF5FE8" w14:textId="77777777" w:rsidR="006A1220" w:rsidRDefault="006A1220" w:rsidP="00861935">
      <w:pPr>
        <w:spacing w:line="360" w:lineRule="auto"/>
        <w:jc w:val="both"/>
      </w:pPr>
    </w:p>
    <w:p w14:paraId="6EF89846" w14:textId="77777777" w:rsidR="006A1220" w:rsidRDefault="006A1220" w:rsidP="00861935">
      <w:pPr>
        <w:spacing w:line="360" w:lineRule="auto"/>
        <w:jc w:val="both"/>
      </w:pPr>
    </w:p>
    <w:p w14:paraId="1EC407F7" w14:textId="77777777" w:rsidR="006A1220" w:rsidRDefault="006A1220" w:rsidP="00861935">
      <w:pPr>
        <w:spacing w:line="360" w:lineRule="auto"/>
        <w:jc w:val="both"/>
      </w:pPr>
    </w:p>
    <w:p w14:paraId="102C5D67" w14:textId="77777777" w:rsidR="006A1220" w:rsidRPr="00097E45" w:rsidRDefault="006A1220" w:rsidP="00861935">
      <w:pPr>
        <w:spacing w:line="360" w:lineRule="auto"/>
        <w:jc w:val="both"/>
      </w:pPr>
    </w:p>
    <w:p w14:paraId="22B4D21B" w14:textId="0EE934B1" w:rsidR="00444DC3" w:rsidRDefault="00444DC3" w:rsidP="00227AD8">
      <w:pPr>
        <w:pStyle w:val="Heading1"/>
      </w:pPr>
      <w:bookmarkStart w:id="45" w:name="_Toc215924536"/>
      <w:bookmarkStart w:id="46" w:name="_Toc215924603"/>
      <w:r w:rsidRPr="00444DC3">
        <w:lastRenderedPageBreak/>
        <w:t>References</w:t>
      </w:r>
      <w:bookmarkEnd w:id="45"/>
      <w:bookmarkEnd w:id="46"/>
    </w:p>
    <w:p w14:paraId="1E609627" w14:textId="77777777" w:rsidR="00227AD8" w:rsidRPr="00227AD8" w:rsidRDefault="00227AD8" w:rsidP="00227AD8"/>
    <w:p w14:paraId="37FD269A" w14:textId="3F18F680" w:rsidR="00B25C43" w:rsidRPr="008B1226" w:rsidRDefault="008E0534" w:rsidP="00861935">
      <w:pPr>
        <w:spacing w:line="360" w:lineRule="auto"/>
        <w:jc w:val="both"/>
      </w:pPr>
      <w:r w:rsidRPr="008E0534">
        <w:rPr>
          <w:b/>
          <w:bCs/>
        </w:rPr>
        <w:t>1.</w:t>
      </w:r>
      <w:r w:rsidR="00B25C43" w:rsidRPr="008B1226">
        <w:t xml:space="preserve">Bourne, L. (2015). </w:t>
      </w:r>
      <w:r w:rsidR="00B25C43" w:rsidRPr="008B1226">
        <w:rPr>
          <w:i/>
          <w:iCs/>
        </w:rPr>
        <w:t>Stakeholder Relationship Management: A Maturity Model for Organisational Implementation.</w:t>
      </w:r>
      <w:r w:rsidR="00B25C43" w:rsidRPr="008B1226">
        <w:t xml:space="preserve"> Routledge.</w:t>
      </w:r>
    </w:p>
    <w:p w14:paraId="05BEAA54" w14:textId="143156AF" w:rsidR="00B25C43" w:rsidRPr="008B1226" w:rsidRDefault="008E0534" w:rsidP="00861935">
      <w:pPr>
        <w:spacing w:line="360" w:lineRule="auto"/>
        <w:jc w:val="both"/>
      </w:pPr>
      <w:r w:rsidRPr="008E0534">
        <w:rPr>
          <w:b/>
          <w:bCs/>
        </w:rPr>
        <w:t>2.</w:t>
      </w:r>
      <w:r w:rsidR="00B25C43" w:rsidRPr="008B1226">
        <w:t xml:space="preserve">  Freeman, R. E. (2010). </w:t>
      </w:r>
      <w:r w:rsidR="00B25C43" w:rsidRPr="008B1226">
        <w:rPr>
          <w:i/>
          <w:iCs/>
        </w:rPr>
        <w:t>Strategic Management: A Stakeholder Approach.</w:t>
      </w:r>
      <w:r w:rsidR="00B25C43" w:rsidRPr="008B1226">
        <w:t xml:space="preserve"> Cambridge University Press.</w:t>
      </w:r>
    </w:p>
    <w:p w14:paraId="7E991DD2" w14:textId="7C2A5C1F" w:rsidR="00B25C43" w:rsidRPr="008B1226" w:rsidRDefault="008E0534" w:rsidP="00861935">
      <w:pPr>
        <w:spacing w:line="360" w:lineRule="auto"/>
        <w:jc w:val="both"/>
      </w:pPr>
      <w:r w:rsidRPr="008E0534">
        <w:rPr>
          <w:b/>
          <w:bCs/>
        </w:rPr>
        <w:t>3.</w:t>
      </w:r>
      <w:r w:rsidR="00B25C43" w:rsidRPr="008B1226">
        <w:t xml:space="preserve"> Project Management Institute (PMI). (2021). </w:t>
      </w:r>
      <w:r w:rsidR="00B25C43" w:rsidRPr="008B1226">
        <w:rPr>
          <w:i/>
          <w:iCs/>
        </w:rPr>
        <w:t>A Guide to the Project Management Body of Knowledge (PMBOK® Guide), 7th Edition.</w:t>
      </w:r>
      <w:r w:rsidR="00B25C43" w:rsidRPr="008B1226">
        <w:t xml:space="preserve"> PMI.</w:t>
      </w:r>
    </w:p>
    <w:p w14:paraId="531A022A" w14:textId="029C9E57" w:rsidR="00B25C43" w:rsidRPr="008B1226" w:rsidRDefault="008E0534" w:rsidP="00861935">
      <w:pPr>
        <w:spacing w:line="360" w:lineRule="auto"/>
        <w:jc w:val="both"/>
      </w:pPr>
      <w:r w:rsidRPr="008E0534">
        <w:rPr>
          <w:b/>
          <w:bCs/>
        </w:rPr>
        <w:t>4.</w:t>
      </w:r>
      <w:r w:rsidR="00B25C43" w:rsidRPr="008B1226">
        <w:t xml:space="preserve"> UK Government. (2018). </w:t>
      </w:r>
      <w:r w:rsidR="00B25C43" w:rsidRPr="008B1226">
        <w:rPr>
          <w:i/>
          <w:iCs/>
        </w:rPr>
        <w:t>Data Protection Act 2018.</w:t>
      </w:r>
      <w:r w:rsidR="00B25C43" w:rsidRPr="008B1226">
        <w:t xml:space="preserve"> </w:t>
      </w:r>
      <w:hyperlink r:id="rId9" w:tgtFrame="_new" w:history="1">
        <w:r w:rsidR="00B25C43" w:rsidRPr="008B1226">
          <w:rPr>
            <w:rStyle w:val="Hyperlink"/>
          </w:rPr>
          <w:t>https://www.legislation.gov.uk</w:t>
        </w:r>
      </w:hyperlink>
    </w:p>
    <w:p w14:paraId="27D1EF48" w14:textId="1CFFBA42" w:rsidR="00B25C43" w:rsidRPr="002831E7" w:rsidRDefault="008E0534" w:rsidP="00861935">
      <w:pPr>
        <w:spacing w:line="360" w:lineRule="auto"/>
        <w:jc w:val="both"/>
      </w:pPr>
      <w:r w:rsidRPr="008E0534">
        <w:rPr>
          <w:b/>
          <w:bCs/>
        </w:rPr>
        <w:t>5.</w:t>
      </w:r>
      <w:r w:rsidR="00B25C43" w:rsidRPr="002831E7">
        <w:t xml:space="preserve"> Aaltonen, K., &amp; Kujala, J. (2010). </w:t>
      </w:r>
      <w:r w:rsidR="00B25C43" w:rsidRPr="002831E7">
        <w:rPr>
          <w:i/>
          <w:iCs/>
        </w:rPr>
        <w:t>A project stakeholder analysis method: Conceptual foundations and empirical evidence.</w:t>
      </w:r>
      <w:r w:rsidR="00B25C43" w:rsidRPr="002831E7">
        <w:t xml:space="preserve"> International Journal of Project Management, 28(5), 473–483. </w:t>
      </w:r>
      <w:hyperlink r:id="rId10" w:tgtFrame="_new" w:history="1">
        <w:r w:rsidR="00B25C43" w:rsidRPr="002831E7">
          <w:rPr>
            <w:rStyle w:val="Hyperlink"/>
          </w:rPr>
          <w:t>https://doi.org/10.1016/j.ijproman.2009.09.003</w:t>
        </w:r>
      </w:hyperlink>
    </w:p>
    <w:p w14:paraId="3BD577D2" w14:textId="2B5CAAF1" w:rsidR="00B25C43" w:rsidRPr="002831E7" w:rsidRDefault="008E0534" w:rsidP="00861935">
      <w:pPr>
        <w:spacing w:line="360" w:lineRule="auto"/>
        <w:jc w:val="both"/>
      </w:pPr>
      <w:r w:rsidRPr="008E0534">
        <w:rPr>
          <w:b/>
          <w:bCs/>
        </w:rPr>
        <w:t>6.</w:t>
      </w:r>
      <w:r w:rsidR="00B25C43" w:rsidRPr="002831E7">
        <w:t xml:space="preserve"> Bourne, L., &amp; Walker, D. H. T. (2005). </w:t>
      </w:r>
      <w:r w:rsidR="00B25C43" w:rsidRPr="002831E7">
        <w:rPr>
          <w:i/>
          <w:iCs/>
        </w:rPr>
        <w:t>Visualising and mapping stakeholder influence.</w:t>
      </w:r>
      <w:r w:rsidR="00B25C43" w:rsidRPr="002831E7">
        <w:t xml:space="preserve"> Management Decision, 43(5), 649–660. https://doi.org/10.1108/00251740510605333</w:t>
      </w:r>
    </w:p>
    <w:p w14:paraId="076284E4" w14:textId="2CA4D3A0" w:rsidR="00B25C43" w:rsidRPr="002831E7" w:rsidRDefault="008E0534" w:rsidP="00861935">
      <w:pPr>
        <w:spacing w:line="360" w:lineRule="auto"/>
        <w:jc w:val="both"/>
      </w:pPr>
      <w:r w:rsidRPr="008E0534">
        <w:rPr>
          <w:b/>
          <w:bCs/>
        </w:rPr>
        <w:t>8.</w:t>
      </w:r>
      <w:r w:rsidR="00B25C43" w:rsidRPr="002831E7">
        <w:t xml:space="preserve"> Cleland, D. I., &amp; Ireland, L. R. (2006). </w:t>
      </w:r>
      <w:r w:rsidR="00B25C43" w:rsidRPr="002831E7">
        <w:rPr>
          <w:i/>
          <w:iCs/>
        </w:rPr>
        <w:t>Project Management: Strategic Design and Implementation.</w:t>
      </w:r>
      <w:r w:rsidR="00B25C43" w:rsidRPr="002831E7">
        <w:t xml:space="preserve"> McGraw-Hill.</w:t>
      </w:r>
    </w:p>
    <w:p w14:paraId="6990CAE2" w14:textId="114ACDE4" w:rsidR="00B25C43" w:rsidRPr="002831E7" w:rsidRDefault="008E0534" w:rsidP="00861935">
      <w:pPr>
        <w:spacing w:line="360" w:lineRule="auto"/>
        <w:jc w:val="both"/>
      </w:pPr>
      <w:r w:rsidRPr="008E0534">
        <w:rPr>
          <w:b/>
          <w:bCs/>
        </w:rPr>
        <w:t>9.</w:t>
      </w:r>
      <w:r w:rsidR="00B25C43" w:rsidRPr="002831E7">
        <w:t xml:space="preserve"> Dainty, A., Moore, D., &amp; Murray, M. (2006). </w:t>
      </w:r>
      <w:r w:rsidR="00B25C43" w:rsidRPr="002831E7">
        <w:rPr>
          <w:i/>
          <w:iCs/>
        </w:rPr>
        <w:t>Communication in Construction: Theory and Practice.</w:t>
      </w:r>
      <w:r w:rsidR="00B25C43" w:rsidRPr="002831E7">
        <w:t xml:space="preserve"> Taylor &amp; Francis.</w:t>
      </w:r>
    </w:p>
    <w:p w14:paraId="72C438CF" w14:textId="5570893A" w:rsidR="00B25C43" w:rsidRPr="002831E7" w:rsidRDefault="008E0534" w:rsidP="00861935">
      <w:pPr>
        <w:spacing w:line="360" w:lineRule="auto"/>
        <w:jc w:val="both"/>
      </w:pPr>
      <w:r w:rsidRPr="00564B60">
        <w:rPr>
          <w:b/>
          <w:bCs/>
        </w:rPr>
        <w:t>10.</w:t>
      </w:r>
      <w:r w:rsidR="00B25C43" w:rsidRPr="00564B60">
        <w:rPr>
          <w:b/>
          <w:bCs/>
        </w:rPr>
        <w:t xml:space="preserve">  </w:t>
      </w:r>
      <w:r w:rsidR="00B25C43" w:rsidRPr="00564B60">
        <w:t xml:space="preserve">Jepsen, A. L., &amp; Eskerod, P. (2009). </w:t>
      </w:r>
      <w:r w:rsidR="00B25C43" w:rsidRPr="002831E7">
        <w:rPr>
          <w:i/>
          <w:iCs/>
        </w:rPr>
        <w:t>Stakeholder analysis in projects: Challenges in using current methods.</w:t>
      </w:r>
      <w:r w:rsidR="00B25C43" w:rsidRPr="002831E7">
        <w:t xml:space="preserve"> International Journal of Project Management, 27(4), 335–343. https://doi.org/10.1016/j.ijproman.2008.03.002</w:t>
      </w:r>
    </w:p>
    <w:p w14:paraId="6CC44EF0" w14:textId="53AFBAEE" w:rsidR="00B25C43" w:rsidRPr="002831E7" w:rsidRDefault="008E0534" w:rsidP="00861935">
      <w:pPr>
        <w:spacing w:line="360" w:lineRule="auto"/>
        <w:jc w:val="both"/>
      </w:pPr>
      <w:r w:rsidRPr="008E0534">
        <w:rPr>
          <w:b/>
          <w:bCs/>
        </w:rPr>
        <w:t>11.</w:t>
      </w:r>
      <w:r w:rsidR="00B25C43" w:rsidRPr="002831E7">
        <w:t xml:space="preserve">  Karlsen, J. T. (2002). </w:t>
      </w:r>
      <w:r w:rsidR="00B25C43" w:rsidRPr="002831E7">
        <w:rPr>
          <w:i/>
          <w:iCs/>
        </w:rPr>
        <w:t>Project stakeholder management.</w:t>
      </w:r>
      <w:r w:rsidR="00B25C43" w:rsidRPr="002831E7">
        <w:t xml:space="preserve"> Engineering Management Journal, 14(4), 19–24. https://doi.org/10.1080/10429247.2002.11415133</w:t>
      </w:r>
    </w:p>
    <w:p w14:paraId="2ECE407E" w14:textId="76EA63B6" w:rsidR="006730F6" w:rsidRDefault="008E0534" w:rsidP="00861935">
      <w:pPr>
        <w:spacing w:line="360" w:lineRule="auto"/>
        <w:jc w:val="both"/>
        <w:rPr>
          <w:lang w:val="en-US"/>
        </w:rPr>
      </w:pPr>
      <w:r w:rsidRPr="008E0534">
        <w:rPr>
          <w:b/>
          <w:bCs/>
        </w:rPr>
        <w:t>12.</w:t>
      </w:r>
      <w:r w:rsidR="00B25C43" w:rsidRPr="002831E7">
        <w:t xml:space="preserve"> Olander, S., &amp; Landin, A. (2005). </w:t>
      </w:r>
      <w:r w:rsidR="00B25C43" w:rsidRPr="002831E7">
        <w:rPr>
          <w:i/>
          <w:iCs/>
        </w:rPr>
        <w:t>Evaluation of stakeholder influence in the implementation of construction projects.</w:t>
      </w:r>
      <w:r w:rsidR="00B25C43" w:rsidRPr="002831E7">
        <w:t xml:space="preserve"> International Journal of Project Management, 23(4), 321–328. https://doi.org/10.1016/j.ijproman.2005.02.002</w:t>
      </w:r>
    </w:p>
    <w:p w14:paraId="6FC031AA" w14:textId="77777777" w:rsidR="006730F6" w:rsidRPr="006730F6" w:rsidRDefault="006730F6" w:rsidP="00861935">
      <w:pPr>
        <w:spacing w:line="360" w:lineRule="auto"/>
        <w:jc w:val="both"/>
        <w:rPr>
          <w:lang w:val="en-US"/>
        </w:rPr>
      </w:pPr>
    </w:p>
    <w:sectPr w:rsidR="006730F6" w:rsidRPr="00673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BDB"/>
    <w:multiLevelType w:val="multilevel"/>
    <w:tmpl w:val="F1864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71F3C"/>
    <w:multiLevelType w:val="multilevel"/>
    <w:tmpl w:val="F140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F536D"/>
    <w:multiLevelType w:val="multilevel"/>
    <w:tmpl w:val="6A8CE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A63373"/>
    <w:multiLevelType w:val="hybridMultilevel"/>
    <w:tmpl w:val="2278CC00"/>
    <w:lvl w:ilvl="0" w:tplc="9ABE18E6">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8A7F00"/>
    <w:multiLevelType w:val="multilevel"/>
    <w:tmpl w:val="EFF8A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F8053F"/>
    <w:multiLevelType w:val="multilevel"/>
    <w:tmpl w:val="FAB81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5420F6"/>
    <w:multiLevelType w:val="multilevel"/>
    <w:tmpl w:val="8200A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1441070">
    <w:abstractNumId w:val="2"/>
  </w:num>
  <w:num w:numId="2" w16cid:durableId="1205675130">
    <w:abstractNumId w:val="5"/>
  </w:num>
  <w:num w:numId="3" w16cid:durableId="555630676">
    <w:abstractNumId w:val="0"/>
  </w:num>
  <w:num w:numId="4" w16cid:durableId="779228686">
    <w:abstractNumId w:val="1"/>
  </w:num>
  <w:num w:numId="5" w16cid:durableId="1618752344">
    <w:abstractNumId w:val="4"/>
  </w:num>
  <w:num w:numId="6" w16cid:durableId="649479519">
    <w:abstractNumId w:val="6"/>
  </w:num>
  <w:num w:numId="7" w16cid:durableId="2196327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971"/>
    <w:rsid w:val="0002280E"/>
    <w:rsid w:val="00044243"/>
    <w:rsid w:val="00096A77"/>
    <w:rsid w:val="00097E45"/>
    <w:rsid w:val="000F6A02"/>
    <w:rsid w:val="00107530"/>
    <w:rsid w:val="001105FB"/>
    <w:rsid w:val="001361BA"/>
    <w:rsid w:val="00160CF6"/>
    <w:rsid w:val="001615FD"/>
    <w:rsid w:val="00165F86"/>
    <w:rsid w:val="0018149A"/>
    <w:rsid w:val="00182F94"/>
    <w:rsid w:val="001B5CC6"/>
    <w:rsid w:val="00227AD8"/>
    <w:rsid w:val="00244350"/>
    <w:rsid w:val="002A2110"/>
    <w:rsid w:val="002D3230"/>
    <w:rsid w:val="002D5E39"/>
    <w:rsid w:val="003377A2"/>
    <w:rsid w:val="003F634E"/>
    <w:rsid w:val="00444DC3"/>
    <w:rsid w:val="004459E0"/>
    <w:rsid w:val="0047045F"/>
    <w:rsid w:val="00523971"/>
    <w:rsid w:val="005323B0"/>
    <w:rsid w:val="00564B60"/>
    <w:rsid w:val="005803A2"/>
    <w:rsid w:val="005F3F6C"/>
    <w:rsid w:val="006730F6"/>
    <w:rsid w:val="006951AC"/>
    <w:rsid w:val="006A1220"/>
    <w:rsid w:val="006A757D"/>
    <w:rsid w:val="006D5084"/>
    <w:rsid w:val="00732A25"/>
    <w:rsid w:val="007F7D2C"/>
    <w:rsid w:val="00822197"/>
    <w:rsid w:val="00826F82"/>
    <w:rsid w:val="00850D17"/>
    <w:rsid w:val="00854AD3"/>
    <w:rsid w:val="00861935"/>
    <w:rsid w:val="008B2D87"/>
    <w:rsid w:val="008D68FA"/>
    <w:rsid w:val="008E0534"/>
    <w:rsid w:val="008E3ABB"/>
    <w:rsid w:val="00907471"/>
    <w:rsid w:val="00910F2E"/>
    <w:rsid w:val="00A02860"/>
    <w:rsid w:val="00AA24E3"/>
    <w:rsid w:val="00AC44CD"/>
    <w:rsid w:val="00AF7F4F"/>
    <w:rsid w:val="00B05618"/>
    <w:rsid w:val="00B25C43"/>
    <w:rsid w:val="00B97E72"/>
    <w:rsid w:val="00C61AE7"/>
    <w:rsid w:val="00C804D0"/>
    <w:rsid w:val="00CC6059"/>
    <w:rsid w:val="00CF4492"/>
    <w:rsid w:val="00DD4236"/>
    <w:rsid w:val="00E06215"/>
    <w:rsid w:val="00E675D1"/>
    <w:rsid w:val="00E72187"/>
    <w:rsid w:val="00E76CFF"/>
    <w:rsid w:val="00E9390E"/>
    <w:rsid w:val="00EA6FC0"/>
    <w:rsid w:val="00EC4BCA"/>
    <w:rsid w:val="00EE2A20"/>
    <w:rsid w:val="00F10C07"/>
    <w:rsid w:val="00F1425D"/>
    <w:rsid w:val="00F54D87"/>
    <w:rsid w:val="00F6220C"/>
    <w:rsid w:val="00F81963"/>
    <w:rsid w:val="00FB4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3D2C0"/>
  <w15:chartTrackingRefBased/>
  <w15:docId w15:val="{2BB5F5FB-FEF4-4CEE-8D48-F0B36D1EC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AE7"/>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2D5E39"/>
    <w:pPr>
      <w:keepNext/>
      <w:keepLines/>
      <w:spacing w:before="160" w:after="80"/>
      <w:outlineLvl w:val="1"/>
    </w:pPr>
    <w:rPr>
      <w:rFonts w:asciiTheme="majorHAnsi" w:eastAsiaTheme="majorEastAsia" w:hAnsiTheme="majorHAnsi" w:cstheme="majorBidi"/>
      <w:b/>
      <w:color w:val="000000" w:themeColor="text1"/>
      <w:szCs w:val="32"/>
    </w:rPr>
  </w:style>
  <w:style w:type="paragraph" w:styleId="Heading3">
    <w:name w:val="heading 3"/>
    <w:basedOn w:val="Normal"/>
    <w:next w:val="Normal"/>
    <w:link w:val="Heading3Char"/>
    <w:uiPriority w:val="9"/>
    <w:unhideWhenUsed/>
    <w:qFormat/>
    <w:rsid w:val="002D5E39"/>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5239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9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9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9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9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9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AE7"/>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2D5E39"/>
    <w:rPr>
      <w:rFonts w:asciiTheme="majorHAnsi" w:eastAsiaTheme="majorEastAsia" w:hAnsiTheme="majorHAnsi" w:cstheme="majorBidi"/>
      <w:b/>
      <w:color w:val="000000" w:themeColor="text1"/>
      <w:szCs w:val="32"/>
    </w:rPr>
  </w:style>
  <w:style w:type="character" w:customStyle="1" w:styleId="Heading3Char">
    <w:name w:val="Heading 3 Char"/>
    <w:basedOn w:val="DefaultParagraphFont"/>
    <w:link w:val="Heading3"/>
    <w:uiPriority w:val="9"/>
    <w:rsid w:val="002D5E39"/>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5239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9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9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9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9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971"/>
    <w:rPr>
      <w:rFonts w:eastAsiaTheme="majorEastAsia" w:cstheme="majorBidi"/>
      <w:color w:val="272727" w:themeColor="text1" w:themeTint="D8"/>
    </w:rPr>
  </w:style>
  <w:style w:type="paragraph" w:styleId="Title">
    <w:name w:val="Title"/>
    <w:basedOn w:val="Normal"/>
    <w:next w:val="Normal"/>
    <w:link w:val="TitleChar"/>
    <w:uiPriority w:val="10"/>
    <w:qFormat/>
    <w:rsid w:val="005239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9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9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9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971"/>
    <w:pPr>
      <w:spacing w:before="160"/>
      <w:jc w:val="center"/>
    </w:pPr>
    <w:rPr>
      <w:i/>
      <w:iCs/>
      <w:color w:val="404040" w:themeColor="text1" w:themeTint="BF"/>
    </w:rPr>
  </w:style>
  <w:style w:type="character" w:customStyle="1" w:styleId="QuoteChar">
    <w:name w:val="Quote Char"/>
    <w:basedOn w:val="DefaultParagraphFont"/>
    <w:link w:val="Quote"/>
    <w:uiPriority w:val="29"/>
    <w:rsid w:val="00523971"/>
    <w:rPr>
      <w:i/>
      <w:iCs/>
      <w:color w:val="404040" w:themeColor="text1" w:themeTint="BF"/>
    </w:rPr>
  </w:style>
  <w:style w:type="paragraph" w:styleId="ListParagraph">
    <w:name w:val="List Paragraph"/>
    <w:basedOn w:val="Normal"/>
    <w:uiPriority w:val="34"/>
    <w:qFormat/>
    <w:rsid w:val="00523971"/>
    <w:pPr>
      <w:ind w:left="720"/>
      <w:contextualSpacing/>
    </w:pPr>
  </w:style>
  <w:style w:type="character" w:styleId="IntenseEmphasis">
    <w:name w:val="Intense Emphasis"/>
    <w:basedOn w:val="DefaultParagraphFont"/>
    <w:uiPriority w:val="21"/>
    <w:qFormat/>
    <w:rsid w:val="00523971"/>
    <w:rPr>
      <w:i/>
      <w:iCs/>
      <w:color w:val="0F4761" w:themeColor="accent1" w:themeShade="BF"/>
    </w:rPr>
  </w:style>
  <w:style w:type="paragraph" w:styleId="IntenseQuote">
    <w:name w:val="Intense Quote"/>
    <w:basedOn w:val="Normal"/>
    <w:next w:val="Normal"/>
    <w:link w:val="IntenseQuoteChar"/>
    <w:uiPriority w:val="30"/>
    <w:qFormat/>
    <w:rsid w:val="005239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971"/>
    <w:rPr>
      <w:i/>
      <w:iCs/>
      <w:color w:val="0F4761" w:themeColor="accent1" w:themeShade="BF"/>
    </w:rPr>
  </w:style>
  <w:style w:type="character" w:styleId="IntenseReference">
    <w:name w:val="Intense Reference"/>
    <w:basedOn w:val="DefaultParagraphFont"/>
    <w:uiPriority w:val="32"/>
    <w:qFormat/>
    <w:rsid w:val="00523971"/>
    <w:rPr>
      <w:b/>
      <w:bCs/>
      <w:smallCaps/>
      <w:color w:val="0F4761" w:themeColor="accent1" w:themeShade="BF"/>
      <w:spacing w:val="5"/>
    </w:rPr>
  </w:style>
  <w:style w:type="character" w:styleId="Hyperlink">
    <w:name w:val="Hyperlink"/>
    <w:basedOn w:val="DefaultParagraphFont"/>
    <w:uiPriority w:val="99"/>
    <w:unhideWhenUsed/>
    <w:rsid w:val="00B25C43"/>
    <w:rPr>
      <w:color w:val="467886" w:themeColor="hyperlink"/>
      <w:u w:val="single"/>
    </w:rPr>
  </w:style>
  <w:style w:type="paragraph" w:styleId="TOCHeading">
    <w:name w:val="TOC Heading"/>
    <w:basedOn w:val="Heading1"/>
    <w:next w:val="Normal"/>
    <w:uiPriority w:val="39"/>
    <w:unhideWhenUsed/>
    <w:qFormat/>
    <w:rsid w:val="00227AD8"/>
    <w:pPr>
      <w:spacing w:before="240" w:after="0" w:line="259" w:lineRule="auto"/>
      <w:outlineLvl w:val="9"/>
    </w:pPr>
    <w:rPr>
      <w:b w:val="0"/>
      <w:kern w:val="0"/>
      <w:sz w:val="32"/>
      <w:szCs w:val="32"/>
      <w:lang w:val="en-US"/>
      <w14:ligatures w14:val="none"/>
    </w:rPr>
  </w:style>
  <w:style w:type="paragraph" w:styleId="TOC1">
    <w:name w:val="toc 1"/>
    <w:basedOn w:val="Normal"/>
    <w:next w:val="Normal"/>
    <w:autoRedefine/>
    <w:uiPriority w:val="39"/>
    <w:unhideWhenUsed/>
    <w:rsid w:val="00227AD8"/>
    <w:pPr>
      <w:numPr>
        <w:numId w:val="7"/>
      </w:numPr>
      <w:tabs>
        <w:tab w:val="right" w:leader="dot" w:pos="9016"/>
      </w:tabs>
      <w:spacing w:after="100"/>
    </w:pPr>
    <w:rPr>
      <w:b/>
      <w:bCs/>
      <w:noProof/>
    </w:rPr>
  </w:style>
  <w:style w:type="paragraph" w:styleId="TOC3">
    <w:name w:val="toc 3"/>
    <w:basedOn w:val="Normal"/>
    <w:next w:val="Normal"/>
    <w:autoRedefine/>
    <w:uiPriority w:val="39"/>
    <w:unhideWhenUsed/>
    <w:rsid w:val="00227AD8"/>
    <w:pPr>
      <w:spacing w:after="100"/>
      <w:ind w:left="480"/>
    </w:pPr>
  </w:style>
  <w:style w:type="paragraph" w:styleId="TOC2">
    <w:name w:val="toc 2"/>
    <w:basedOn w:val="Normal"/>
    <w:next w:val="Normal"/>
    <w:autoRedefine/>
    <w:uiPriority w:val="39"/>
    <w:unhideWhenUsed/>
    <w:rsid w:val="00227A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16/j.ijproman.2009.09.003" TargetMode="External"/><Relationship Id="rId4" Type="http://schemas.openxmlformats.org/officeDocument/2006/relationships/settings" Target="settings.xml"/><Relationship Id="rId9"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5535A-FE81-4C14-B0BA-2DCE775E7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3345</Words>
  <Characters>23519</Characters>
  <Application>Microsoft Office Word</Application>
  <DocSecurity>0</DocSecurity>
  <Lines>587</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66</cp:revision>
  <dcterms:created xsi:type="dcterms:W3CDTF">2025-11-02T14:46:00Z</dcterms:created>
  <dcterms:modified xsi:type="dcterms:W3CDTF">2025-12-13T15:22:00Z</dcterms:modified>
</cp:coreProperties>
</file>