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63B4C" w:rsidRDefault="00063B4C" w14:paraId="1AFC2A57" w14:textId="2C7A28E8">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063B4C" w:rsidRDefault="00063B4C" w14:paraId="7B396377" w14:textId="74AF5F5A"/>
    <w:p w:rsidR="00063B4C" w:rsidRDefault="00063B4C" w14:paraId="00DE7510" w14:textId="684CC594"/>
    <w:p w:rsidR="00063B4C" w:rsidRDefault="00063B4C" w14:paraId="62B6C1AB" w14:textId="77777777"/>
    <w:p w:rsidR="00063B4C" w:rsidP="00063B4C" w:rsidRDefault="00063B4C" w14:paraId="19C1447B" w14:textId="77777777">
      <w:pPr>
        <w:ind w:right="1229"/>
      </w:pPr>
    </w:p>
    <w:p w:rsidRPr="00063B4C" w:rsidR="00063B4C" w:rsidP="00063B4C" w:rsidRDefault="00063B4C" w14:paraId="4BD32C57" w14:textId="2FA64C13">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rsidRPr="00063B4C" w:rsidR="00063B4C" w:rsidP="00063B4C" w:rsidRDefault="00063B4C" w14:paraId="7F58ECA1" w14:textId="77777777">
      <w:pPr>
        <w:pStyle w:val="BodyText"/>
        <w:jc w:val="center"/>
        <w:rPr>
          <w:rFonts w:ascii="Aptos" w:hAnsi="Aptos" w:cs="Arial"/>
          <w:sz w:val="20"/>
        </w:rPr>
      </w:pPr>
    </w:p>
    <w:p w:rsidRPr="00063B4C" w:rsidR="00063B4C" w:rsidP="00063B4C" w:rsidRDefault="00063B4C" w14:paraId="3009F44A" w14:textId="2F598781">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rsidRPr="00063B4C" w:rsidR="00063B4C" w:rsidP="00063B4C" w:rsidRDefault="00063B4C" w14:paraId="08ED8C42" w14:textId="16EBC3C5">
      <w:pPr>
        <w:spacing w:line="1342" w:lineRule="exact"/>
        <w:jc w:val="left"/>
        <w:rPr>
          <w:rFonts w:cs="Arial"/>
          <w:sz w:val="70"/>
          <w:szCs w:val="70"/>
        </w:rPr>
      </w:pPr>
      <w:r w:rsidRPr="524D1DFC" w:rsidR="05A9B10B">
        <w:rPr>
          <w:rFonts w:cs="Arial"/>
          <w:sz w:val="70"/>
          <w:szCs w:val="70"/>
        </w:rPr>
        <w:t xml:space="preserve">DISSERTATION </w:t>
      </w:r>
    </w:p>
    <w:p w:rsidR="00063B4C" w:rsidRDefault="00063B4C" w14:paraId="5B270734" w14:textId="55782988"/>
    <w:p w:rsidR="524D1DFC" w:rsidRDefault="524D1DFC" w14:paraId="7C21FA3A" w14:textId="7F7E9B60"/>
    <w:p w:rsidR="00995444" w:rsidP="00995444" w:rsidRDefault="00995444" w14:paraId="2C0F81B3" w14:textId="77777777">
      <w:pPr>
        <w:pStyle w:val="Heading1"/>
        <w:ind w:left="0"/>
        <w:rPr>
          <w:rFonts w:ascii="Aptos" w:hAnsi="Aptos" w:cs="Arial"/>
        </w:rPr>
      </w:pPr>
    </w:p>
    <w:p w:rsidRPr="00063B4C" w:rsidR="00063B4C" w:rsidP="00995444" w:rsidRDefault="00063B4C" w14:paraId="6D29CD44" w14:textId="75C545B1">
      <w:pPr>
        <w:pStyle w:val="Heading1"/>
        <w:ind w:left="0"/>
        <w:rPr>
          <w:rFonts w:ascii="Aptos" w:hAnsi="Aptos" w:cs="Arial"/>
        </w:rPr>
      </w:pPr>
      <w:bookmarkStart w:name="_Toc213058142" w:id="0"/>
      <w:r w:rsidRPr="00063B4C">
        <w:rPr>
          <w:rFonts w:ascii="Aptos" w:hAnsi="Aptos" w:cs="Arial"/>
        </w:rPr>
        <w:t>Disclaimer</w:t>
      </w:r>
      <w:bookmarkEnd w:id="0"/>
    </w:p>
    <w:p w:rsidR="00604A87" w:rsidP="00995444" w:rsidRDefault="00063B4C" w14:paraId="2E1C9484" w14:textId="77777777">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rsidR="00730C3C" w:rsidP="00604A87" w:rsidRDefault="00730C3C" w14:paraId="265E2262" w14:textId="77777777">
      <w:pPr>
        <w:rPr>
          <w:rFonts w:eastAsia="Times New Roman" w:cs="Arial"/>
          <w:b/>
          <w:sz w:val="28"/>
          <w:szCs w:val="28"/>
        </w:rPr>
      </w:pPr>
    </w:p>
    <w:p w:rsidRPr="0073280B" w:rsidR="00604A87" w:rsidP="00604A87" w:rsidRDefault="00604A87" w14:paraId="3492E4C4" w14:textId="45AA03BC">
      <w:pPr>
        <w:rPr>
          <w:rFonts w:eastAsia="Times New Roman" w:cs="Arial"/>
          <w:b/>
          <w:sz w:val="28"/>
          <w:szCs w:val="28"/>
        </w:rPr>
      </w:pPr>
      <w:r w:rsidRPr="0073280B">
        <w:rPr>
          <w:rFonts w:eastAsia="Times New Roman" w:cs="Arial"/>
          <w:b/>
          <w:sz w:val="28"/>
          <w:szCs w:val="28"/>
        </w:rPr>
        <w:t>DECLARATION</w:t>
      </w:r>
    </w:p>
    <w:p w:rsidRPr="00604A87" w:rsidR="00604A87" w:rsidP="00604A87" w:rsidRDefault="00604A87" w14:paraId="113CAAED" w14:textId="2CC33593">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rsidRPr="00604A87" w:rsidR="00604A87" w:rsidP="00604A87" w:rsidRDefault="00604A87" w14:paraId="3EF51212" w14:textId="29048085">
      <w:pPr>
        <w:rPr>
          <w:rFonts w:eastAsia="Times New Roman" w:cs="Arial"/>
        </w:rPr>
      </w:pPr>
      <w:r w:rsidRPr="00604A87">
        <w:rPr>
          <w:rFonts w:eastAsia="Times New Roman" w:cs="Arial"/>
        </w:rPr>
        <w:t>Signed……………………………………………</w:t>
      </w:r>
    </w:p>
    <w:p w:rsidRPr="00604A87" w:rsidR="00604A87" w:rsidP="00604A87" w:rsidRDefault="00604A87" w14:paraId="16B6CB34" w14:textId="3CC7F576">
      <w:pPr>
        <w:rPr>
          <w:rFonts w:eastAsia="Times New Roman" w:cs="Arial"/>
        </w:rPr>
      </w:pPr>
      <w:r w:rsidRPr="00604A87">
        <w:rPr>
          <w:rFonts w:eastAsia="Times New Roman" w:cs="Arial"/>
        </w:rPr>
        <w:t>Date………………………………………………</w:t>
      </w:r>
    </w:p>
    <w:p w:rsidRPr="00604A87" w:rsidR="00604A87" w:rsidP="00604A87" w:rsidRDefault="00604A87" w14:paraId="7D9E43A8" w14:textId="77777777">
      <w:pPr>
        <w:rPr>
          <w:rFonts w:eastAsia="Times New Roman" w:cs="Arial"/>
          <w:bCs/>
          <w:kern w:val="32"/>
        </w:rPr>
      </w:pPr>
      <w:r w:rsidRPr="00604A87">
        <w:rPr>
          <w:rFonts w:eastAsia="Times New Roman" w:cs="Arial"/>
          <w:b/>
        </w:rPr>
        <w:t xml:space="preserve">STATEMENT 1 </w:t>
      </w:r>
    </w:p>
    <w:p w:rsidRPr="00604A87" w:rsidR="00604A87" w:rsidP="00604A87" w:rsidRDefault="00604A87" w14:paraId="189DE0A6" w14:textId="710F2765">
      <w:pPr>
        <w:rPr>
          <w:rFonts w:eastAsia="Times New Roman" w:cs="Arial"/>
        </w:rPr>
      </w:pPr>
      <w:r w:rsidRPr="00604A87">
        <w:rPr>
          <w:rFonts w:eastAsia="Times New Roman" w:cs="Arial"/>
        </w:rPr>
        <w:t>This dissertation is being submitted in partial fulfilment of the requirements for the degree of BSc.</w:t>
      </w:r>
    </w:p>
    <w:p w:rsidRPr="00604A87" w:rsidR="00604A87" w:rsidP="00604A87" w:rsidRDefault="00604A87" w14:paraId="39F661A6" w14:textId="57EB1846">
      <w:pPr>
        <w:rPr>
          <w:rFonts w:eastAsia="Times New Roman" w:cs="Arial"/>
        </w:rPr>
      </w:pPr>
      <w:r w:rsidRPr="00604A87">
        <w:rPr>
          <w:rFonts w:eastAsia="Times New Roman" w:cs="Arial"/>
        </w:rPr>
        <w:t xml:space="preserve">Signed……………………………………………. </w:t>
      </w:r>
    </w:p>
    <w:p w:rsidRPr="00604A87" w:rsidR="00604A87" w:rsidP="00604A87" w:rsidRDefault="00604A87" w14:paraId="21F5E413" w14:textId="5E20952B">
      <w:pPr>
        <w:rPr>
          <w:rFonts w:eastAsia="Times New Roman" w:cs="Arial"/>
        </w:rPr>
      </w:pPr>
      <w:r w:rsidRPr="00604A87">
        <w:rPr>
          <w:rFonts w:eastAsia="Times New Roman" w:cs="Arial"/>
        </w:rPr>
        <w:t>Date………………………………………………</w:t>
      </w:r>
    </w:p>
    <w:p w:rsidRPr="00604A87" w:rsidR="00604A87" w:rsidP="00604A87" w:rsidRDefault="00604A87" w14:paraId="713B64B9" w14:textId="77777777">
      <w:pPr>
        <w:rPr>
          <w:rFonts w:eastAsia="Times New Roman" w:cs="Arial"/>
        </w:rPr>
      </w:pPr>
      <w:r w:rsidRPr="00604A87">
        <w:rPr>
          <w:rFonts w:eastAsia="Times New Roman" w:cs="Arial"/>
          <w:b/>
        </w:rPr>
        <w:t>STATEMENT 2</w:t>
      </w:r>
    </w:p>
    <w:p w:rsidRPr="00604A87" w:rsidR="00604A87" w:rsidP="00604A87" w:rsidRDefault="00604A87" w14:paraId="4AA5D04A" w14:textId="65BB11AC">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rsidRPr="00604A87" w:rsidR="00604A87" w:rsidP="00604A87" w:rsidRDefault="00604A87" w14:paraId="319A31E7" w14:textId="56364DB7">
      <w:pPr>
        <w:rPr>
          <w:rFonts w:eastAsia="Times New Roman" w:cs="Arial"/>
        </w:rPr>
      </w:pPr>
      <w:r w:rsidRPr="00604A87">
        <w:rPr>
          <w:rFonts w:eastAsia="Times New Roman" w:cs="Arial"/>
        </w:rPr>
        <w:t>Signed……………………………………………</w:t>
      </w:r>
    </w:p>
    <w:p w:rsidRPr="00604A87" w:rsidR="00604A87" w:rsidP="00604A87" w:rsidRDefault="00604A87" w14:paraId="1CB40FFB" w14:textId="230782A4">
      <w:pPr>
        <w:rPr>
          <w:rFonts w:eastAsia="Times New Roman" w:cs="Arial"/>
        </w:rPr>
      </w:pPr>
      <w:r w:rsidRPr="00604A87">
        <w:rPr>
          <w:rFonts w:eastAsia="Times New Roman" w:cs="Arial"/>
        </w:rPr>
        <w:t xml:space="preserve">Date……………………………………………… </w:t>
      </w:r>
    </w:p>
    <w:p w:rsidRPr="00604A87" w:rsidR="00604A87" w:rsidP="00604A87" w:rsidRDefault="00604A87" w14:paraId="42D5D0C6" w14:textId="77777777">
      <w:pPr>
        <w:rPr>
          <w:rFonts w:eastAsia="Times New Roman" w:cs="Arial"/>
        </w:rPr>
      </w:pPr>
      <w:r w:rsidRPr="00604A87">
        <w:rPr>
          <w:rFonts w:eastAsia="Times New Roman" w:cs="Arial"/>
          <w:b/>
        </w:rPr>
        <w:t>STATEMENT 3</w:t>
      </w:r>
    </w:p>
    <w:p w:rsidRPr="00604A87" w:rsidR="00604A87" w:rsidP="00604A87" w:rsidRDefault="00604A87" w14:paraId="4B58546E" w14:textId="61CCB29A">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rsidRPr="00604A87" w:rsidR="00604A87" w:rsidP="00604A87" w:rsidRDefault="00604A87" w14:paraId="5C25443E" w14:textId="54A1E4A0">
      <w:pPr>
        <w:rPr>
          <w:rFonts w:eastAsia="Times New Roman" w:cs="Arial"/>
        </w:rPr>
      </w:pPr>
      <w:r w:rsidRPr="00604A87">
        <w:rPr>
          <w:rFonts w:eastAsia="Times New Roman" w:cs="Arial"/>
        </w:rPr>
        <w:t>Signed………………………………………………</w:t>
      </w:r>
    </w:p>
    <w:p w:rsidRPr="00604A87" w:rsidR="00604A87" w:rsidP="00604A87" w:rsidRDefault="00604A87" w14:paraId="021196D1" w14:textId="722B964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rsidRPr="00604A87" w:rsidR="00604A87" w:rsidP="00604A87" w:rsidRDefault="00604A87" w14:paraId="77D38054" w14:textId="77777777">
      <w:pPr>
        <w:rPr>
          <w:rFonts w:eastAsia="Times New Roman" w:cs="Arial"/>
          <w:b/>
        </w:rPr>
      </w:pPr>
      <w:r w:rsidRPr="00604A87">
        <w:rPr>
          <w:rFonts w:eastAsia="Times New Roman" w:cs="Arial"/>
          <w:b/>
        </w:rPr>
        <w:t>STATEMENT 4</w:t>
      </w:r>
    </w:p>
    <w:p w:rsidRPr="00604A87" w:rsidR="00604A87" w:rsidP="00604A87" w:rsidRDefault="00604A87" w14:paraId="0A15E499" w14:textId="1F9546C0">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rsidRPr="00604A87" w:rsidR="00604A87" w:rsidP="00604A87" w:rsidRDefault="00604A87" w14:paraId="73D7762F" w14:textId="7B4EF837">
      <w:pPr>
        <w:rPr>
          <w:rFonts w:eastAsia="Times New Roman" w:cs="Arial"/>
        </w:rPr>
      </w:pPr>
      <w:r w:rsidRPr="00604A87">
        <w:rPr>
          <w:rFonts w:eastAsia="Times New Roman" w:cs="Arial"/>
        </w:rPr>
        <w:t>Signed………………………………………………</w:t>
      </w:r>
    </w:p>
    <w:p w:rsidRPr="00604A87" w:rsidR="00604A87" w:rsidP="00604A87" w:rsidRDefault="00604A87" w14:paraId="2BDDE109" w14:textId="7777777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rsidR="00063B4C" w:rsidRDefault="00063B4C" w14:paraId="324943A4" w14:textId="77777777"/>
    <w:p w:rsidR="00063B4C" w:rsidRDefault="00063B4C" w14:paraId="13649F9E" w14:textId="77777777"/>
    <w:p w:rsidR="00995444" w:rsidP="00995444" w:rsidRDefault="00995444" w14:paraId="4E014F16" w14:textId="77777777">
      <w:pPr>
        <w:jc w:val="center"/>
        <w:rPr>
          <w:rFonts w:ascii="Arial" w:hAnsi="Arial" w:eastAsia="Arial Unicode MS" w:cs="Arial"/>
          <w:b/>
          <w:sz w:val="56"/>
          <w:szCs w:val="56"/>
        </w:rPr>
      </w:pPr>
    </w:p>
    <w:p w:rsidR="00995444" w:rsidP="00995444" w:rsidRDefault="00995444" w14:paraId="7CE514EB" w14:textId="77777777">
      <w:pPr>
        <w:jc w:val="center"/>
        <w:rPr>
          <w:rFonts w:ascii="Arial" w:hAnsi="Arial" w:eastAsia="Arial Unicode MS" w:cs="Arial"/>
          <w:b/>
          <w:sz w:val="56"/>
          <w:szCs w:val="56"/>
        </w:rPr>
      </w:pPr>
    </w:p>
    <w:p w:rsidRPr="00995444" w:rsidR="00995444" w:rsidP="524D1DFC" w:rsidRDefault="00995444" w14:paraId="3F8DA723" w14:textId="46134F11">
      <w:pPr>
        <w:pStyle w:val="Normal"/>
        <w:jc w:val="center"/>
        <w:rPr>
          <w:rFonts w:ascii="Aptos" w:hAnsi="Aptos" w:eastAsia="Aptos" w:cs="Aptos"/>
          <w:noProof w:val="0"/>
          <w:sz w:val="56"/>
          <w:szCs w:val="56"/>
          <w:lang w:val="en-GB"/>
        </w:rPr>
      </w:pPr>
      <w:r w:rsidRPr="524D1DFC" w:rsidR="33EA687D">
        <w:rPr>
          <w:rFonts w:ascii="Aptos" w:hAnsi="Aptos" w:eastAsia="Aptos" w:cs="Aptos"/>
          <w:noProof w:val="0"/>
          <w:sz w:val="24"/>
          <w:szCs w:val="24"/>
          <w:lang w:val="en-GB"/>
        </w:rPr>
        <w:t>Supporting children with chronic illnesses in educational settings.</w:t>
      </w:r>
    </w:p>
    <w:p w:rsidR="33EA687D" w:rsidP="524D1DFC" w:rsidRDefault="33EA687D" w14:paraId="3DE53712" w14:textId="0F8D473A">
      <w:pPr>
        <w:pStyle w:val="Normal"/>
        <w:jc w:val="center"/>
        <w:rPr>
          <w:rFonts w:ascii="Aptos" w:hAnsi="Aptos" w:eastAsia="Aptos" w:cs="Aptos"/>
          <w:noProof w:val="0"/>
          <w:sz w:val="24"/>
          <w:szCs w:val="24"/>
          <w:lang w:val="en-GB"/>
        </w:rPr>
      </w:pPr>
      <w:r w:rsidRPr="524D1DFC" w:rsidR="33EA687D">
        <w:rPr>
          <w:rFonts w:ascii="Aptos" w:hAnsi="Aptos" w:eastAsia="Aptos" w:cs="Aptos"/>
          <w:noProof w:val="0"/>
          <w:sz w:val="24"/>
          <w:szCs w:val="24"/>
          <w:lang w:val="en-GB"/>
        </w:rPr>
        <w:t xml:space="preserve">student name: sabina aslam </w:t>
      </w:r>
    </w:p>
    <w:p w:rsidR="33EA687D" w:rsidP="524D1DFC" w:rsidRDefault="33EA687D" w14:paraId="5F876D82" w14:textId="40614BF8">
      <w:pPr>
        <w:pStyle w:val="Normal"/>
        <w:jc w:val="center"/>
        <w:rPr>
          <w:rFonts w:ascii="Aptos" w:hAnsi="Aptos" w:eastAsia="Aptos" w:cs="Aptos"/>
          <w:noProof w:val="0"/>
          <w:sz w:val="24"/>
          <w:szCs w:val="24"/>
          <w:lang w:val="en-GB"/>
        </w:rPr>
      </w:pPr>
      <w:r w:rsidRPr="524D1DFC" w:rsidR="33EA687D">
        <w:rPr>
          <w:rFonts w:ascii="Aptos" w:hAnsi="Aptos" w:eastAsia="Aptos" w:cs="Aptos"/>
          <w:noProof w:val="0"/>
          <w:sz w:val="24"/>
          <w:szCs w:val="24"/>
          <w:lang w:val="en-GB"/>
        </w:rPr>
        <w:t>Student number: 2220574</w:t>
      </w:r>
    </w:p>
    <w:p w:rsidRPr="00995444" w:rsidR="00995444" w:rsidP="00995444" w:rsidRDefault="00995444" w14:paraId="3851CFD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rsidRPr="00995444" w:rsidR="00995444" w:rsidP="00995444" w:rsidRDefault="00995444" w14:paraId="359F5B0D"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rsidRPr="00995444" w:rsidR="00995444" w:rsidP="00995444" w:rsidRDefault="00995444" w14:paraId="11885DD2"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rsidRPr="00995444" w:rsidR="00995444" w:rsidP="00995444" w:rsidRDefault="00995444" w14:paraId="2057C793" w14:textId="103D0F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rsidR="00063B4C" w:rsidRDefault="00063B4C" w14:paraId="03004EEE" w14:textId="77777777"/>
    <w:p w:rsidR="00995444" w:rsidRDefault="00995444" w14:paraId="65358A57" w14:textId="77777777"/>
    <w:p w:rsidR="524D1DFC" w:rsidP="524D1DFC" w:rsidRDefault="524D1DFC" w14:paraId="025F9DD7" w14:textId="7F504915">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sz w:val="28"/>
          <w:szCs w:val="28"/>
        </w:rPr>
      </w:pPr>
    </w:p>
    <w:p w:rsidR="524D1DFC" w:rsidP="524D1DFC" w:rsidRDefault="524D1DFC" w14:paraId="01C21FF4" w14:textId="3B73647D">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sz w:val="28"/>
          <w:szCs w:val="28"/>
        </w:rPr>
      </w:pPr>
    </w:p>
    <w:p w:rsidRPr="0025020C" w:rsidR="00995444" w:rsidP="00995444" w:rsidRDefault="00995444" w14:paraId="0F4A849F" w14:textId="6FEF3295">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Pr="0025020C" w:rsidR="0073280B">
        <w:rPr>
          <w:rFonts w:eastAsia="Arial Unicode MS" w:cs="Arial"/>
          <w:bCs/>
        </w:rPr>
        <w:t>(optional)</w:t>
      </w:r>
    </w:p>
    <w:p w:rsidRPr="00995444" w:rsidR="00995444" w:rsidP="007F7847" w:rsidRDefault="00995444" w14:paraId="63B1FE13" w14:textId="1054A976">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section  is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rsidRPr="00995444" w:rsidR="00995444" w:rsidP="007F7847" w:rsidRDefault="00995444" w14:paraId="3E6D1A03" w14:textId="16157DD0">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example</w:t>
      </w:r>
      <w:r w:rsidR="0073280B">
        <w:rPr>
          <w:rFonts w:ascii="Aptos" w:hAnsi="Aptos" w:cs="Arial"/>
          <w:color w:val="333333"/>
          <w:sz w:val="22"/>
          <w:szCs w:val="22"/>
        </w:rPr>
        <w:t xml:space="preserve"> </w:t>
      </w:r>
      <w:r w:rsidRPr="00995444">
        <w:rPr>
          <w:rFonts w:ascii="Aptos" w:hAnsi="Aptos" w:cs="Arial"/>
          <w:color w:val="333333"/>
          <w:sz w:val="22"/>
          <w:szCs w:val="22"/>
        </w:rPr>
        <w:t xml:space="preserve">librarians; external bodies who have given </w:t>
      </w:r>
      <w:proofErr w:type="spellStart"/>
      <w:r w:rsidRPr="00995444">
        <w:rPr>
          <w:rFonts w:ascii="Aptos" w:hAnsi="Aptos" w:cs="Arial"/>
          <w:color w:val="333333"/>
          <w:sz w:val="22"/>
          <w:szCs w:val="22"/>
        </w:rPr>
        <w:t>you</w:t>
      </w:r>
      <w:proofErr w:type="spellEnd"/>
      <w:r w:rsidRPr="00995444">
        <w:rPr>
          <w:rFonts w:ascii="Aptos" w:hAnsi="Aptos" w:cs="Arial"/>
          <w:color w:val="333333"/>
          <w:sz w:val="22"/>
          <w:szCs w:val="22"/>
        </w:rPr>
        <w:t xml:space="preserve"> assistance.</w:t>
      </w:r>
    </w:p>
    <w:p w:rsidR="00995444" w:rsidRDefault="00995444" w14:paraId="40A3E6C2" w14:textId="77777777"/>
    <w:p w:rsidR="0073280B" w:rsidRDefault="0073280B" w14:paraId="7EA8A979" w14:textId="77777777"/>
    <w:p w:rsidR="0073280B" w:rsidRDefault="0073280B" w14:paraId="24382F47" w14:textId="77777777"/>
    <w:p w:rsidR="0073280B" w:rsidRDefault="0073280B" w14:paraId="6A8FCE15" w14:textId="77777777"/>
    <w:p w:rsidR="0073280B" w:rsidRDefault="0073280B" w14:paraId="5B45260B" w14:textId="77777777"/>
    <w:p w:rsidR="0073280B" w:rsidRDefault="0073280B" w14:paraId="29F99602" w14:textId="77777777"/>
    <w:p w:rsidR="0073280B" w:rsidRDefault="0073280B" w14:paraId="7FFDFCFF" w14:textId="77777777"/>
    <w:p w:rsidR="0073280B" w:rsidRDefault="0073280B" w14:paraId="1E61CB56" w14:textId="77777777"/>
    <w:p w:rsidR="0073280B" w:rsidRDefault="0073280B" w14:paraId="4650381F" w14:textId="77777777"/>
    <w:p w:rsidR="0073280B" w:rsidRDefault="0073280B" w14:paraId="413A9F5D" w14:textId="77777777"/>
    <w:p w:rsidR="0073280B" w:rsidRDefault="0073280B" w14:paraId="0F7E2C83" w14:textId="77777777"/>
    <w:p w:rsidR="0073280B" w:rsidRDefault="0073280B" w14:paraId="68D32102" w14:textId="77777777"/>
    <w:p w:rsidR="0073280B" w:rsidRDefault="0073280B" w14:paraId="3269986A" w14:textId="77777777"/>
    <w:p w:rsidR="0073280B" w:rsidRDefault="0073280B" w14:paraId="26B038C1" w14:textId="77777777"/>
    <w:p w:rsidR="0073280B" w:rsidRDefault="0073280B" w14:paraId="6976232E" w14:textId="77777777"/>
    <w:p w:rsidR="0073280B" w:rsidRDefault="0073280B" w14:paraId="045F19C6" w14:textId="77777777"/>
    <w:p w:rsidR="0073280B" w:rsidRDefault="0073280B" w14:paraId="1063F851" w14:textId="77777777"/>
    <w:p w:rsidR="0073280B" w:rsidRDefault="0073280B" w14:paraId="58131FA4" w14:textId="77777777"/>
    <w:p w:rsidR="0073280B" w:rsidRDefault="0073280B" w14:paraId="6C0EC770" w14:textId="77777777"/>
    <w:p w:rsidR="0073280B" w:rsidRDefault="0073280B" w14:paraId="16D78A60" w14:textId="77777777"/>
    <w:p w:rsidRPr="0025020C" w:rsidR="0073280B" w:rsidP="0073280B" w:rsidRDefault="0073280B" w14:paraId="68249928" w14:textId="5B3929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(1 page or 300 words – not included in the word count)</w:t>
      </w:r>
    </w:p>
    <w:p w:rsidRPr="0025020C" w:rsidR="0073280B" w:rsidP="0025020C" w:rsidRDefault="0073280B" w14:paraId="310D40A5" w14:textId="77777777">
      <w:pPr>
        <w:ind w:right="194"/>
        <w:rPr>
          <w:rFonts w:eastAsia="Arial Unicode MS" w:cs="Arial"/>
        </w:rPr>
      </w:pPr>
    </w:p>
    <w:p w:rsidRPr="0025020C" w:rsidR="0073280B" w:rsidP="0073280B" w:rsidRDefault="0073280B" w14:paraId="6475D2E1" w14:textId="31028868">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dissertation and is one of the final things you will complete</w:t>
      </w:r>
      <w:r w:rsidRPr="0025020C" w:rsidR="00CE620E">
        <w:rPr>
          <w:rFonts w:eastAsia="Arial Unicode MS" w:cs="Arial"/>
        </w:rPr>
        <w:t>, yet is one of the first parts of your dissertation a reader will see, therefore, be specific and explicit in your approach.</w:t>
      </w:r>
      <w:r w:rsidRPr="0025020C">
        <w:rPr>
          <w:rFonts w:eastAsia="Arial Unicode MS" w:cs="Arial"/>
        </w:rPr>
        <w:t xml:space="preserve">  </w:t>
      </w:r>
      <w:r w:rsidRPr="0025020C" w:rsidR="00CE620E">
        <w:rPr>
          <w:rFonts w:eastAsia="Arial Unicode MS" w:cs="Arial"/>
        </w:rPr>
        <w:t>An abstract</w:t>
      </w:r>
      <w:r w:rsidRPr="0025020C">
        <w:rPr>
          <w:rFonts w:eastAsia="Arial Unicode MS" w:cs="Arial"/>
        </w:rPr>
        <w:t xml:space="preserve"> should include:</w:t>
      </w:r>
    </w:p>
    <w:p w:rsidRPr="0025020C" w:rsidR="0073280B" w:rsidP="0073280B" w:rsidRDefault="0073280B" w14:paraId="1727F2E2"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rsidRPr="0025020C" w:rsidR="0073280B" w:rsidP="0025020C" w:rsidRDefault="0073280B" w14:paraId="729D8637" w14:textId="223914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r>
      <w:r w:rsidRPr="0025020C">
        <w:rPr>
          <w:rFonts w:eastAsia="Arial Unicode MS" w:cs="Arial"/>
        </w:rPr>
        <w:t>The overall</w:t>
      </w:r>
      <w:r w:rsidRPr="0025020C" w:rsidR="0025020C">
        <w:rPr>
          <w:rFonts w:eastAsia="Arial Unicode MS" w:cs="Arial"/>
        </w:rPr>
        <w:t xml:space="preserve"> purpose, aim and objectives. An explanation as to why this research is important in the context of health and social care. </w:t>
      </w:r>
    </w:p>
    <w:p w:rsidRPr="0025020C" w:rsidR="0073280B" w:rsidP="0025020C" w:rsidRDefault="0073280B" w14:paraId="2032DC13" w14:textId="6D7D7A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r>
      <w:r w:rsidRPr="0025020C">
        <w:rPr>
          <w:rFonts w:eastAsia="Arial Unicode MS" w:cs="Arial"/>
        </w:rPr>
        <w:t xml:space="preserve">A </w:t>
      </w:r>
      <w:r w:rsidRPr="0025020C" w:rsidR="0025020C">
        <w:rPr>
          <w:rFonts w:eastAsia="Arial Unicode MS" w:cs="Arial"/>
        </w:rPr>
        <w:t>summary</w:t>
      </w:r>
      <w:r w:rsidRPr="0025020C">
        <w:rPr>
          <w:rFonts w:eastAsia="Arial Unicode MS" w:cs="Arial"/>
        </w:rPr>
        <w:t xml:space="preserve"> of the methods used</w:t>
      </w:r>
      <w:r w:rsidRPr="0025020C" w:rsidR="0025020C">
        <w:rPr>
          <w:rFonts w:eastAsia="Arial Unicode MS" w:cs="Arial"/>
        </w:rPr>
        <w:t xml:space="preserve"> to complete your dissertation</w:t>
      </w:r>
      <w:r w:rsidRPr="0025020C">
        <w:rPr>
          <w:rFonts w:eastAsia="Arial Unicode MS" w:cs="Arial"/>
        </w:rPr>
        <w:t>.</w:t>
      </w:r>
      <w:r w:rsidRPr="0025020C" w:rsidR="0025020C">
        <w:rPr>
          <w:rFonts w:eastAsia="Arial Unicode MS" w:cs="Arial"/>
        </w:rPr>
        <w:t xml:space="preserve"> Outline the research approach (</w:t>
      </w:r>
      <w:r w:rsidR="00BD2909">
        <w:rPr>
          <w:rFonts w:eastAsia="Arial Unicode MS" w:cs="Arial"/>
        </w:rPr>
        <w:t>thematic</w:t>
      </w:r>
      <w:r w:rsidRPr="0025020C" w:rsidR="0025020C">
        <w:rPr>
          <w:rFonts w:eastAsia="Arial Unicode MS" w:cs="Arial"/>
        </w:rPr>
        <w:t xml:space="preserve"> </w:t>
      </w:r>
      <w:r w:rsidR="00BD2909">
        <w:rPr>
          <w:rFonts w:eastAsia="Arial Unicode MS" w:cs="Arial"/>
        </w:rPr>
        <w:t>analysis</w:t>
      </w:r>
      <w:r w:rsidRPr="0025020C" w:rsidR="0025020C">
        <w:rPr>
          <w:rFonts w:eastAsia="Arial Unicode MS" w:cs="Arial"/>
        </w:rPr>
        <w:t>) and indicate the focus on reviewing currently published literature.</w:t>
      </w:r>
    </w:p>
    <w:p w:rsidRPr="0025020C" w:rsidR="0073280B" w:rsidP="0025020C" w:rsidRDefault="0073280B" w14:paraId="5A31948D" w14:textId="144B3B2A">
      <w:pPr>
        <w:ind w:left="1440" w:hanging="720"/>
        <w:rPr>
          <w:rFonts w:eastAsia="Arial Unicode MS" w:cs="Times New Roman"/>
          <w:b/>
        </w:rPr>
      </w:pPr>
      <w:r w:rsidRPr="0025020C">
        <w:rPr>
          <w:rFonts w:eastAsia="Arial Unicode MS" w:cs="Arial"/>
          <w:b/>
        </w:rPr>
        <w:t>c)</w:t>
      </w:r>
      <w:r w:rsidRPr="0025020C">
        <w:rPr>
          <w:rFonts w:eastAsia="Arial Unicode MS" w:cs="Arial"/>
        </w:rPr>
        <w:tab/>
      </w:r>
      <w:r w:rsidRPr="0025020C">
        <w:rPr>
          <w:rFonts w:eastAsia="Arial Unicode MS" w:cs="Arial"/>
        </w:rPr>
        <w:t>A summary of the main findings</w:t>
      </w:r>
      <w:r w:rsidRPr="0025020C" w:rsidR="0025020C">
        <w:rPr>
          <w:rFonts w:eastAsia="Arial Unicode MS" w:cs="Times New Roman"/>
          <w:bCs/>
        </w:rPr>
        <w:t>. Highlight the most significant insights, themes and patterns and the conclusions drawn.</w:t>
      </w:r>
      <w:r w:rsidR="0025020C">
        <w:rPr>
          <w:rFonts w:eastAsia="Arial Unicode MS" w:cs="Arial"/>
        </w:rPr>
        <w:tab/>
      </w:r>
    </w:p>
    <w:p w:rsidRPr="0025020C" w:rsidR="0073280B" w:rsidP="0025020C" w:rsidRDefault="0073280B" w14:paraId="3B1CC249" w14:textId="3101DC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r>
      <w:r w:rsidRPr="0025020C">
        <w:rPr>
          <w:rFonts w:eastAsia="Arial Unicode MS" w:cs="Arial"/>
        </w:rPr>
        <w:t xml:space="preserve">A brief mention of the </w:t>
      </w:r>
      <w:r w:rsidR="0025020C">
        <w:rPr>
          <w:rFonts w:eastAsia="Arial Unicode MS" w:cs="Arial"/>
        </w:rPr>
        <w:t xml:space="preserve">limitations and barriers which you identified within your research and how this can be impactful in practice. </w:t>
      </w:r>
    </w:p>
    <w:p w:rsidR="0025020C" w:rsidP="0025020C" w:rsidRDefault="0073280B" w14:paraId="101AA6A9"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hAnsi="Times New Roman" w:eastAsia="Arial Unicode MS" w:cs="Times New Roman"/>
          <w:b/>
          <w:sz w:val="24"/>
          <w:szCs w:val="24"/>
        </w:rPr>
      </w:pPr>
      <w:r w:rsidRPr="0025020C">
        <w:rPr>
          <w:rFonts w:eastAsia="Arial Unicode MS" w:cs="Arial"/>
          <w:b/>
        </w:rPr>
        <w:t>e)</w:t>
      </w:r>
      <w:r w:rsidRPr="0025020C">
        <w:rPr>
          <w:rFonts w:eastAsia="Arial Unicode MS" w:cs="Arial"/>
        </w:rPr>
        <w:tab/>
      </w:r>
      <w:r w:rsidRPr="0025020C" w:rsid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hAnsi="Times New Roman" w:eastAsia="Arial Unicode MS" w:cs="Times New Roman"/>
          <w:b/>
          <w:sz w:val="24"/>
          <w:szCs w:val="24"/>
        </w:rPr>
        <w:t xml:space="preserve">   </w:t>
      </w:r>
      <w:r w:rsidRPr="006340BA" w:rsidR="0025020C">
        <w:rPr>
          <w:rFonts w:ascii="Times New Roman" w:hAnsi="Times New Roman" w:eastAsia="Arial Unicode MS" w:cs="Times New Roman"/>
          <w:b/>
          <w:sz w:val="24"/>
          <w:szCs w:val="24"/>
        </w:rPr>
        <w:t xml:space="preserve"> </w:t>
      </w:r>
    </w:p>
    <w:p w:rsidR="0073280B" w:rsidRDefault="0073280B" w14:paraId="019A2C1E" w14:textId="77777777"/>
    <w:p w:rsidR="00730C3C" w:rsidRDefault="00730C3C" w14:paraId="4B65C5F3" w14:textId="77777777"/>
    <w:p w:rsidR="00730C3C" w:rsidRDefault="00730C3C" w14:paraId="1EDA5561" w14:textId="77777777"/>
    <w:p w:rsidR="00730C3C" w:rsidRDefault="00730C3C" w14:paraId="576A2163" w14:textId="77777777"/>
    <w:p w:rsidR="00730C3C" w:rsidRDefault="00730C3C" w14:paraId="2F774362" w14:textId="77777777"/>
    <w:p w:rsidR="00730C3C" w:rsidRDefault="00730C3C" w14:paraId="57922C1A" w14:textId="77777777"/>
    <w:p w:rsidR="00804B94" w:rsidRDefault="00804B94" w14:paraId="3A43D7FB" w14:textId="77777777"/>
    <w:p w:rsidR="00804B94" w:rsidRDefault="00804B94" w14:paraId="350684A4" w14:textId="77777777"/>
    <w:p w:rsidR="00804B94" w:rsidRDefault="00804B94" w14:paraId="72CB7F2C" w14:textId="77777777"/>
    <w:p w:rsidRPr="00EF6341" w:rsidR="00804B94" w:rsidP="00804B94" w:rsidRDefault="00804B94" w14:paraId="15BFA27A" w14:textId="49FBF17F">
      <w:pPr>
        <w:pStyle w:val="Heading1"/>
        <w:spacing w:line="360" w:lineRule="auto"/>
        <w:ind w:left="0"/>
        <w:jc w:val="center"/>
        <w:rPr>
          <w:rFonts w:ascii="Aptos" w:hAnsi="Aptos"/>
          <w:b w:val="0"/>
        </w:rPr>
      </w:pPr>
      <w:bookmarkStart w:name="_Toc213058143" w:id="1"/>
      <w:r>
        <w:rPr>
          <w:rFonts w:ascii="Aptos" w:hAnsi="Aptos"/>
        </w:rPr>
        <w:t>Table of Contents</w:t>
      </w:r>
      <w:bookmarkEnd w:id="1"/>
    </w:p>
    <w:p w:rsidR="00804B94" w:rsidRDefault="00804B94" w14:paraId="756C3EE0" w14:textId="77777777"/>
    <w:p w:rsidR="00804B94" w:rsidRDefault="00804B94" w14:paraId="3EF52184" w14:textId="77777777"/>
    <w:sdt>
      <w:sdtPr>
        <w:id w:val="2132972393"/>
        <w:docPartObj>
          <w:docPartGallery w:val="Table of Contents"/>
          <w:docPartUnique/>
        </w:docPartObj>
      </w:sdtPr>
      <w:sdtEndPr>
        <w:rPr>
          <w:rFonts w:ascii="Aptos" w:hAnsi="Aptos" w:eastAsia="等线" w:cs="Arial" w:eastAsiaTheme="minorEastAsia" w:cstheme="minorBidi"/>
          <w:b w:val="1"/>
          <w:bCs w:val="1"/>
          <w:noProof/>
          <w:color w:val="auto"/>
          <w:kern w:val="2"/>
          <w:sz w:val="22"/>
          <w:szCs w:val="22"/>
          <w:lang w:val="en-GB" w:eastAsia="zh-CN"/>
          <w14:ligatures w14:val="standardContextual"/>
        </w:rPr>
      </w:sdtEndPr>
      <w:sdtContent>
        <w:p w:rsidR="00967C4F" w:rsidRDefault="00967C4F" w14:paraId="3FF4A2F2" w14:textId="51A486A9">
          <w:pPr>
            <w:pStyle w:val="TOCHeading"/>
          </w:pPr>
          <w:r>
            <w:t>Contents</w:t>
          </w:r>
        </w:p>
        <w:p w:rsidR="00967C4F" w:rsidRDefault="00967C4F" w14:paraId="64E6C70A" w14:textId="0A603C22">
          <w:pPr>
            <w:pStyle w:val="TOC1"/>
            <w:tabs>
              <w:tab w:val="right" w:leader="dot" w:pos="9016"/>
            </w:tabs>
            <w:rPr>
              <w:noProof/>
            </w:rPr>
          </w:pPr>
          <w:r>
            <w:fldChar w:fldCharType="begin"/>
          </w:r>
          <w:r>
            <w:instrText xml:space="preserve"> TOC \o "1-3" \h \z \u </w:instrText>
          </w:r>
          <w:r>
            <w:fldChar w:fldCharType="separate"/>
          </w:r>
          <w:hyperlink w:history="1" w:anchor="_Toc213058142">
            <w:r w:rsidRPr="004A19BF">
              <w:rPr>
                <w:rStyle w:val="Hyperlink"/>
                <w:rFonts w:cs="Arial"/>
                <w:noProof/>
                <w:lang w:bidi="en-GB"/>
              </w:rPr>
              <w:t>Disclaimer</w:t>
            </w:r>
            <w:r>
              <w:rPr>
                <w:noProof/>
                <w:webHidden/>
              </w:rPr>
              <w:tab/>
            </w:r>
            <w:r>
              <w:rPr>
                <w:noProof/>
                <w:webHidden/>
              </w:rPr>
              <w:fldChar w:fldCharType="begin"/>
            </w:r>
            <w:r>
              <w:rPr>
                <w:noProof/>
                <w:webHidden/>
              </w:rPr>
              <w:instrText xml:space="preserve"> PAGEREF _Toc213058142 \h </w:instrText>
            </w:r>
            <w:r>
              <w:rPr>
                <w:noProof/>
                <w:webHidden/>
              </w:rPr>
            </w:r>
            <w:r>
              <w:rPr>
                <w:noProof/>
                <w:webHidden/>
              </w:rPr>
              <w:fldChar w:fldCharType="separate"/>
            </w:r>
            <w:r>
              <w:rPr>
                <w:noProof/>
                <w:webHidden/>
              </w:rPr>
              <w:t>1</w:t>
            </w:r>
            <w:r>
              <w:rPr>
                <w:noProof/>
                <w:webHidden/>
              </w:rPr>
              <w:fldChar w:fldCharType="end"/>
            </w:r>
          </w:hyperlink>
        </w:p>
        <w:p w:rsidR="00967C4F" w:rsidRDefault="00967C4F" w14:paraId="046EABE5" w14:textId="0CD3D858">
          <w:pPr>
            <w:pStyle w:val="TOC1"/>
            <w:tabs>
              <w:tab w:val="right" w:leader="dot" w:pos="9016"/>
            </w:tabs>
            <w:rPr>
              <w:noProof/>
            </w:rPr>
          </w:pPr>
          <w:hyperlink w:history="1" w:anchor="_Toc213058143">
            <w:r w:rsidRPr="004A19BF">
              <w:rPr>
                <w:rStyle w:val="Hyperlink"/>
                <w:noProof/>
                <w:lang w:bidi="en-GB"/>
              </w:rPr>
              <w:t>Table of Contents</w:t>
            </w:r>
            <w:r>
              <w:rPr>
                <w:noProof/>
                <w:webHidden/>
              </w:rPr>
              <w:tab/>
            </w:r>
            <w:r>
              <w:rPr>
                <w:noProof/>
                <w:webHidden/>
              </w:rPr>
              <w:fldChar w:fldCharType="begin"/>
            </w:r>
            <w:r>
              <w:rPr>
                <w:noProof/>
                <w:webHidden/>
              </w:rPr>
              <w:instrText xml:space="preserve"> PAGEREF _Toc213058143 \h </w:instrText>
            </w:r>
            <w:r>
              <w:rPr>
                <w:noProof/>
                <w:webHidden/>
              </w:rPr>
            </w:r>
            <w:r>
              <w:rPr>
                <w:noProof/>
                <w:webHidden/>
              </w:rPr>
              <w:fldChar w:fldCharType="separate"/>
            </w:r>
            <w:r>
              <w:rPr>
                <w:noProof/>
                <w:webHidden/>
              </w:rPr>
              <w:t>6</w:t>
            </w:r>
            <w:r>
              <w:rPr>
                <w:noProof/>
                <w:webHidden/>
              </w:rPr>
              <w:fldChar w:fldCharType="end"/>
            </w:r>
          </w:hyperlink>
        </w:p>
        <w:p w:rsidR="00967C4F" w:rsidRDefault="00967C4F" w14:paraId="24C51AD4" w14:textId="6BA23A7B">
          <w:pPr>
            <w:pStyle w:val="TOC1"/>
            <w:tabs>
              <w:tab w:val="right" w:leader="dot" w:pos="9016"/>
            </w:tabs>
            <w:rPr>
              <w:noProof/>
            </w:rPr>
          </w:pPr>
          <w:hyperlink w:history="1" w:anchor="_Toc213058144">
            <w:r w:rsidRPr="004A19BF">
              <w:rPr>
                <w:rStyle w:val="Hyperlink"/>
                <w:noProof/>
                <w:lang w:bidi="en-GB"/>
              </w:rPr>
              <w:t>CHAPTER 1: Introduction (1,000 words approx.)</w:t>
            </w:r>
            <w:r>
              <w:rPr>
                <w:noProof/>
                <w:webHidden/>
              </w:rPr>
              <w:tab/>
            </w:r>
            <w:r>
              <w:rPr>
                <w:noProof/>
                <w:webHidden/>
              </w:rPr>
              <w:fldChar w:fldCharType="begin"/>
            </w:r>
            <w:r>
              <w:rPr>
                <w:noProof/>
                <w:webHidden/>
              </w:rPr>
              <w:instrText xml:space="preserve"> PAGEREF _Toc213058144 \h </w:instrText>
            </w:r>
            <w:r>
              <w:rPr>
                <w:noProof/>
                <w:webHidden/>
              </w:rPr>
            </w:r>
            <w:r>
              <w:rPr>
                <w:noProof/>
                <w:webHidden/>
              </w:rPr>
              <w:fldChar w:fldCharType="separate"/>
            </w:r>
            <w:r>
              <w:rPr>
                <w:noProof/>
                <w:webHidden/>
              </w:rPr>
              <w:t>8</w:t>
            </w:r>
            <w:r>
              <w:rPr>
                <w:noProof/>
                <w:webHidden/>
              </w:rPr>
              <w:fldChar w:fldCharType="end"/>
            </w:r>
          </w:hyperlink>
        </w:p>
        <w:p w:rsidR="00967C4F" w:rsidRDefault="00967C4F" w14:paraId="38A2F80E" w14:textId="2B0E6E02">
          <w:pPr>
            <w:pStyle w:val="TOC1"/>
            <w:tabs>
              <w:tab w:val="right" w:leader="dot" w:pos="9016"/>
            </w:tabs>
            <w:rPr>
              <w:noProof/>
            </w:rPr>
          </w:pPr>
          <w:hyperlink w:history="1" w:anchor="_Toc213058145">
            <w:r w:rsidRPr="004A19BF">
              <w:rPr>
                <w:rStyle w:val="Hyperlink"/>
                <w:noProof/>
                <w:lang w:bidi="en-GB"/>
              </w:rPr>
              <w:t>CHAPTER 2 – Background Information and Analysis</w:t>
            </w:r>
            <w:r>
              <w:rPr>
                <w:noProof/>
                <w:webHidden/>
              </w:rPr>
              <w:tab/>
            </w:r>
            <w:r>
              <w:rPr>
                <w:noProof/>
                <w:webHidden/>
              </w:rPr>
              <w:fldChar w:fldCharType="begin"/>
            </w:r>
            <w:r>
              <w:rPr>
                <w:noProof/>
                <w:webHidden/>
              </w:rPr>
              <w:instrText xml:space="preserve"> PAGEREF _Toc213058145 \h </w:instrText>
            </w:r>
            <w:r>
              <w:rPr>
                <w:noProof/>
                <w:webHidden/>
              </w:rPr>
            </w:r>
            <w:r>
              <w:rPr>
                <w:noProof/>
                <w:webHidden/>
              </w:rPr>
              <w:fldChar w:fldCharType="separate"/>
            </w:r>
            <w:r>
              <w:rPr>
                <w:noProof/>
                <w:webHidden/>
              </w:rPr>
              <w:t>11</w:t>
            </w:r>
            <w:r>
              <w:rPr>
                <w:noProof/>
                <w:webHidden/>
              </w:rPr>
              <w:fldChar w:fldCharType="end"/>
            </w:r>
          </w:hyperlink>
        </w:p>
        <w:p w:rsidR="00967C4F" w:rsidRDefault="00967C4F" w14:paraId="5F12FE09" w14:textId="69B8DC9D">
          <w:pPr>
            <w:pStyle w:val="TOC1"/>
            <w:tabs>
              <w:tab w:val="right" w:leader="dot" w:pos="9016"/>
            </w:tabs>
            <w:rPr>
              <w:noProof/>
            </w:rPr>
          </w:pPr>
          <w:hyperlink w:history="1" w:anchor="_Toc213058146">
            <w:r w:rsidRPr="004A19BF">
              <w:rPr>
                <w:rStyle w:val="Hyperlink"/>
                <w:noProof/>
                <w:lang w:bidi="en-GB"/>
              </w:rPr>
              <w:t>CHAPTER 3 – Methods and Search Strategy (1,000 words approx.)</w:t>
            </w:r>
            <w:r>
              <w:rPr>
                <w:noProof/>
                <w:webHidden/>
              </w:rPr>
              <w:tab/>
            </w:r>
            <w:r>
              <w:rPr>
                <w:noProof/>
                <w:webHidden/>
              </w:rPr>
              <w:fldChar w:fldCharType="begin"/>
            </w:r>
            <w:r>
              <w:rPr>
                <w:noProof/>
                <w:webHidden/>
              </w:rPr>
              <w:instrText xml:space="preserve"> PAGEREF _Toc213058146 \h </w:instrText>
            </w:r>
            <w:r>
              <w:rPr>
                <w:noProof/>
                <w:webHidden/>
              </w:rPr>
            </w:r>
            <w:r>
              <w:rPr>
                <w:noProof/>
                <w:webHidden/>
              </w:rPr>
              <w:fldChar w:fldCharType="separate"/>
            </w:r>
            <w:r>
              <w:rPr>
                <w:noProof/>
                <w:webHidden/>
              </w:rPr>
              <w:t>15</w:t>
            </w:r>
            <w:r>
              <w:rPr>
                <w:noProof/>
                <w:webHidden/>
              </w:rPr>
              <w:fldChar w:fldCharType="end"/>
            </w:r>
          </w:hyperlink>
        </w:p>
        <w:p w:rsidR="00967C4F" w:rsidRDefault="00967C4F" w14:paraId="76A88E03" w14:textId="0146BBBF">
          <w:pPr>
            <w:pStyle w:val="TOC2"/>
            <w:tabs>
              <w:tab w:val="right" w:leader="dot" w:pos="9016"/>
            </w:tabs>
            <w:rPr>
              <w:noProof/>
            </w:rPr>
          </w:pPr>
          <w:hyperlink w:history="1" w:anchor="_Toc213058147">
            <w:r w:rsidRPr="004A19BF">
              <w:rPr>
                <w:rStyle w:val="Hyperlink"/>
                <w:noProof/>
              </w:rPr>
              <w:t>3.1 – Introduction (100 word approx.)</w:t>
            </w:r>
            <w:r>
              <w:rPr>
                <w:noProof/>
                <w:webHidden/>
              </w:rPr>
              <w:tab/>
            </w:r>
            <w:r>
              <w:rPr>
                <w:noProof/>
                <w:webHidden/>
              </w:rPr>
              <w:fldChar w:fldCharType="begin"/>
            </w:r>
            <w:r>
              <w:rPr>
                <w:noProof/>
                <w:webHidden/>
              </w:rPr>
              <w:instrText xml:space="preserve"> PAGEREF _Toc213058147 \h </w:instrText>
            </w:r>
            <w:r>
              <w:rPr>
                <w:noProof/>
                <w:webHidden/>
              </w:rPr>
            </w:r>
            <w:r>
              <w:rPr>
                <w:noProof/>
                <w:webHidden/>
              </w:rPr>
              <w:fldChar w:fldCharType="separate"/>
            </w:r>
            <w:r>
              <w:rPr>
                <w:noProof/>
                <w:webHidden/>
              </w:rPr>
              <w:t>15</w:t>
            </w:r>
            <w:r>
              <w:rPr>
                <w:noProof/>
                <w:webHidden/>
              </w:rPr>
              <w:fldChar w:fldCharType="end"/>
            </w:r>
          </w:hyperlink>
        </w:p>
        <w:p w:rsidR="00967C4F" w:rsidRDefault="00967C4F" w14:paraId="3B5CF4C3" w14:textId="57062333">
          <w:pPr>
            <w:pStyle w:val="TOC2"/>
            <w:tabs>
              <w:tab w:val="right" w:leader="dot" w:pos="9016"/>
            </w:tabs>
            <w:rPr>
              <w:noProof/>
            </w:rPr>
          </w:pPr>
          <w:hyperlink w:history="1" w:anchor="_Toc213058148">
            <w:r w:rsidRPr="004A19BF">
              <w:rPr>
                <w:rStyle w:val="Hyperlink"/>
                <w:noProof/>
              </w:rPr>
              <w:t>3.2 – Search Strategy (100 word approx.)</w:t>
            </w:r>
            <w:r>
              <w:rPr>
                <w:noProof/>
                <w:webHidden/>
              </w:rPr>
              <w:tab/>
            </w:r>
            <w:r>
              <w:rPr>
                <w:noProof/>
                <w:webHidden/>
              </w:rPr>
              <w:fldChar w:fldCharType="begin"/>
            </w:r>
            <w:r>
              <w:rPr>
                <w:noProof/>
                <w:webHidden/>
              </w:rPr>
              <w:instrText xml:space="preserve"> PAGEREF _Toc213058148 \h </w:instrText>
            </w:r>
            <w:r>
              <w:rPr>
                <w:noProof/>
                <w:webHidden/>
              </w:rPr>
            </w:r>
            <w:r>
              <w:rPr>
                <w:noProof/>
                <w:webHidden/>
              </w:rPr>
              <w:fldChar w:fldCharType="separate"/>
            </w:r>
            <w:r>
              <w:rPr>
                <w:noProof/>
                <w:webHidden/>
              </w:rPr>
              <w:t>15</w:t>
            </w:r>
            <w:r>
              <w:rPr>
                <w:noProof/>
                <w:webHidden/>
              </w:rPr>
              <w:fldChar w:fldCharType="end"/>
            </w:r>
          </w:hyperlink>
        </w:p>
        <w:p w:rsidR="00967C4F" w:rsidRDefault="00967C4F" w14:paraId="7826B76D" w14:textId="794E8639">
          <w:pPr>
            <w:pStyle w:val="TOC2"/>
            <w:tabs>
              <w:tab w:val="left" w:pos="960"/>
              <w:tab w:val="right" w:leader="dot" w:pos="9016"/>
            </w:tabs>
            <w:rPr>
              <w:noProof/>
            </w:rPr>
          </w:pPr>
          <w:hyperlink w:history="1" w:anchor="_Toc213058149">
            <w:r w:rsidRPr="004A19BF">
              <w:rPr>
                <w:rStyle w:val="Hyperlink"/>
                <w:noProof/>
              </w:rPr>
              <w:t>3.3</w:t>
            </w:r>
            <w:r>
              <w:rPr>
                <w:noProof/>
              </w:rPr>
              <w:tab/>
            </w:r>
            <w:r w:rsidRPr="004A19BF">
              <w:rPr>
                <w:rStyle w:val="Hyperlink"/>
                <w:noProof/>
              </w:rPr>
              <w:t>– Searching for Information (200 words approx.)</w:t>
            </w:r>
            <w:r>
              <w:rPr>
                <w:noProof/>
                <w:webHidden/>
              </w:rPr>
              <w:tab/>
            </w:r>
            <w:r>
              <w:rPr>
                <w:noProof/>
                <w:webHidden/>
              </w:rPr>
              <w:fldChar w:fldCharType="begin"/>
            </w:r>
            <w:r>
              <w:rPr>
                <w:noProof/>
                <w:webHidden/>
              </w:rPr>
              <w:instrText xml:space="preserve"> PAGEREF _Toc213058149 \h </w:instrText>
            </w:r>
            <w:r>
              <w:rPr>
                <w:noProof/>
                <w:webHidden/>
              </w:rPr>
            </w:r>
            <w:r>
              <w:rPr>
                <w:noProof/>
                <w:webHidden/>
              </w:rPr>
              <w:fldChar w:fldCharType="separate"/>
            </w:r>
            <w:r>
              <w:rPr>
                <w:noProof/>
                <w:webHidden/>
              </w:rPr>
              <w:t>16</w:t>
            </w:r>
            <w:r>
              <w:rPr>
                <w:noProof/>
                <w:webHidden/>
              </w:rPr>
              <w:fldChar w:fldCharType="end"/>
            </w:r>
          </w:hyperlink>
        </w:p>
        <w:p w:rsidR="00967C4F" w:rsidRDefault="00967C4F" w14:paraId="0057C198" w14:textId="563692D7">
          <w:pPr>
            <w:pStyle w:val="TOC2"/>
            <w:tabs>
              <w:tab w:val="left" w:pos="960"/>
              <w:tab w:val="right" w:leader="dot" w:pos="9016"/>
            </w:tabs>
            <w:rPr>
              <w:noProof/>
            </w:rPr>
          </w:pPr>
          <w:hyperlink w:history="1" w:anchor="_Toc213058150">
            <w:r w:rsidRPr="004A19BF">
              <w:rPr>
                <w:rStyle w:val="Hyperlink"/>
                <w:noProof/>
              </w:rPr>
              <w:t>3.4</w:t>
            </w:r>
            <w:r>
              <w:rPr>
                <w:noProof/>
              </w:rPr>
              <w:tab/>
            </w:r>
            <w:r w:rsidRPr="004A19BF">
              <w:rPr>
                <w:rStyle w:val="Hyperlink"/>
                <w:noProof/>
              </w:rPr>
              <w:t>– Research Validation (150 words approx.)</w:t>
            </w:r>
            <w:r>
              <w:rPr>
                <w:noProof/>
                <w:webHidden/>
              </w:rPr>
              <w:tab/>
            </w:r>
            <w:r>
              <w:rPr>
                <w:noProof/>
                <w:webHidden/>
              </w:rPr>
              <w:fldChar w:fldCharType="begin"/>
            </w:r>
            <w:r>
              <w:rPr>
                <w:noProof/>
                <w:webHidden/>
              </w:rPr>
              <w:instrText xml:space="preserve"> PAGEREF _Toc213058150 \h </w:instrText>
            </w:r>
            <w:r>
              <w:rPr>
                <w:noProof/>
                <w:webHidden/>
              </w:rPr>
            </w:r>
            <w:r>
              <w:rPr>
                <w:noProof/>
                <w:webHidden/>
              </w:rPr>
              <w:fldChar w:fldCharType="separate"/>
            </w:r>
            <w:r>
              <w:rPr>
                <w:noProof/>
                <w:webHidden/>
              </w:rPr>
              <w:t>16</w:t>
            </w:r>
            <w:r>
              <w:rPr>
                <w:noProof/>
                <w:webHidden/>
              </w:rPr>
              <w:fldChar w:fldCharType="end"/>
            </w:r>
          </w:hyperlink>
        </w:p>
        <w:p w:rsidR="00967C4F" w:rsidRDefault="00967C4F" w14:paraId="41AA9466" w14:textId="13098C7A">
          <w:pPr>
            <w:pStyle w:val="TOC2"/>
            <w:tabs>
              <w:tab w:val="left" w:pos="960"/>
              <w:tab w:val="right" w:leader="dot" w:pos="9016"/>
            </w:tabs>
            <w:rPr>
              <w:noProof/>
            </w:rPr>
          </w:pPr>
          <w:hyperlink w:history="1" w:anchor="_Toc213058151">
            <w:r w:rsidRPr="004A19BF">
              <w:rPr>
                <w:rStyle w:val="Hyperlink"/>
                <w:noProof/>
              </w:rPr>
              <w:t>3.5</w:t>
            </w:r>
            <w:r>
              <w:rPr>
                <w:noProof/>
              </w:rPr>
              <w:tab/>
            </w:r>
            <w:r w:rsidRPr="004A19BF">
              <w:rPr>
                <w:rStyle w:val="Hyperlink"/>
                <w:noProof/>
              </w:rPr>
              <w:t>- Inclusion and Exclusion Criteria (100 words approx.)</w:t>
            </w:r>
            <w:r>
              <w:rPr>
                <w:noProof/>
                <w:webHidden/>
              </w:rPr>
              <w:tab/>
            </w:r>
            <w:r>
              <w:rPr>
                <w:noProof/>
                <w:webHidden/>
              </w:rPr>
              <w:fldChar w:fldCharType="begin"/>
            </w:r>
            <w:r>
              <w:rPr>
                <w:noProof/>
                <w:webHidden/>
              </w:rPr>
              <w:instrText xml:space="preserve"> PAGEREF _Toc213058151 \h </w:instrText>
            </w:r>
            <w:r>
              <w:rPr>
                <w:noProof/>
                <w:webHidden/>
              </w:rPr>
            </w:r>
            <w:r>
              <w:rPr>
                <w:noProof/>
                <w:webHidden/>
              </w:rPr>
              <w:fldChar w:fldCharType="separate"/>
            </w:r>
            <w:r>
              <w:rPr>
                <w:noProof/>
                <w:webHidden/>
              </w:rPr>
              <w:t>17</w:t>
            </w:r>
            <w:r>
              <w:rPr>
                <w:noProof/>
                <w:webHidden/>
              </w:rPr>
              <w:fldChar w:fldCharType="end"/>
            </w:r>
          </w:hyperlink>
        </w:p>
        <w:p w:rsidR="00967C4F" w:rsidRDefault="00967C4F" w14:paraId="480BDF07" w14:textId="04A5BAF6">
          <w:pPr>
            <w:pStyle w:val="TOC2"/>
            <w:tabs>
              <w:tab w:val="left" w:pos="960"/>
              <w:tab w:val="right" w:leader="dot" w:pos="9016"/>
            </w:tabs>
            <w:rPr>
              <w:noProof/>
            </w:rPr>
          </w:pPr>
          <w:hyperlink w:history="1" w:anchor="_Toc213058152">
            <w:r w:rsidRPr="004A19BF">
              <w:rPr>
                <w:rStyle w:val="Hyperlink"/>
                <w:noProof/>
              </w:rPr>
              <w:t>3.6</w:t>
            </w:r>
            <w:r>
              <w:rPr>
                <w:noProof/>
              </w:rPr>
              <w:tab/>
            </w:r>
            <w:r w:rsidRPr="004A19BF">
              <w:rPr>
                <w:rStyle w:val="Hyperlink"/>
                <w:noProof/>
              </w:rPr>
              <w:t>– Analysing Research (150 words approx.)</w:t>
            </w:r>
            <w:r>
              <w:rPr>
                <w:noProof/>
                <w:webHidden/>
              </w:rPr>
              <w:tab/>
            </w:r>
            <w:r>
              <w:rPr>
                <w:noProof/>
                <w:webHidden/>
              </w:rPr>
              <w:fldChar w:fldCharType="begin"/>
            </w:r>
            <w:r>
              <w:rPr>
                <w:noProof/>
                <w:webHidden/>
              </w:rPr>
              <w:instrText xml:space="preserve"> PAGEREF _Toc213058152 \h </w:instrText>
            </w:r>
            <w:r>
              <w:rPr>
                <w:noProof/>
                <w:webHidden/>
              </w:rPr>
            </w:r>
            <w:r>
              <w:rPr>
                <w:noProof/>
                <w:webHidden/>
              </w:rPr>
              <w:fldChar w:fldCharType="separate"/>
            </w:r>
            <w:r>
              <w:rPr>
                <w:noProof/>
                <w:webHidden/>
              </w:rPr>
              <w:t>17</w:t>
            </w:r>
            <w:r>
              <w:rPr>
                <w:noProof/>
                <w:webHidden/>
              </w:rPr>
              <w:fldChar w:fldCharType="end"/>
            </w:r>
          </w:hyperlink>
        </w:p>
        <w:p w:rsidR="00967C4F" w:rsidRDefault="00967C4F" w14:paraId="0A77ECD5" w14:textId="1F587AA0">
          <w:pPr>
            <w:pStyle w:val="TOC2"/>
            <w:tabs>
              <w:tab w:val="left" w:pos="960"/>
              <w:tab w:val="right" w:leader="dot" w:pos="9016"/>
            </w:tabs>
            <w:rPr>
              <w:noProof/>
            </w:rPr>
          </w:pPr>
          <w:hyperlink w:history="1" w:anchor="_Toc213058153">
            <w:r w:rsidRPr="004A19BF">
              <w:rPr>
                <w:rStyle w:val="Hyperlink"/>
                <w:noProof/>
              </w:rPr>
              <w:t>3.7</w:t>
            </w:r>
            <w:r>
              <w:rPr>
                <w:noProof/>
              </w:rPr>
              <w:tab/>
            </w:r>
            <w:r w:rsidRPr="004A19BF">
              <w:rPr>
                <w:rStyle w:val="Hyperlink"/>
                <w:noProof/>
              </w:rPr>
              <w:t>– Ethical Considerations (100 words approx.)</w:t>
            </w:r>
            <w:r>
              <w:rPr>
                <w:noProof/>
                <w:webHidden/>
              </w:rPr>
              <w:tab/>
            </w:r>
            <w:r>
              <w:rPr>
                <w:noProof/>
                <w:webHidden/>
              </w:rPr>
              <w:fldChar w:fldCharType="begin"/>
            </w:r>
            <w:r>
              <w:rPr>
                <w:noProof/>
                <w:webHidden/>
              </w:rPr>
              <w:instrText xml:space="preserve"> PAGEREF _Toc213058153 \h </w:instrText>
            </w:r>
            <w:r>
              <w:rPr>
                <w:noProof/>
                <w:webHidden/>
              </w:rPr>
            </w:r>
            <w:r>
              <w:rPr>
                <w:noProof/>
                <w:webHidden/>
              </w:rPr>
              <w:fldChar w:fldCharType="separate"/>
            </w:r>
            <w:r>
              <w:rPr>
                <w:noProof/>
                <w:webHidden/>
              </w:rPr>
              <w:t>18</w:t>
            </w:r>
            <w:r>
              <w:rPr>
                <w:noProof/>
                <w:webHidden/>
              </w:rPr>
              <w:fldChar w:fldCharType="end"/>
            </w:r>
          </w:hyperlink>
        </w:p>
        <w:p w:rsidR="00967C4F" w:rsidRDefault="00967C4F" w14:paraId="35C56053" w14:textId="5E3E4226">
          <w:pPr>
            <w:pStyle w:val="TOC2"/>
            <w:tabs>
              <w:tab w:val="right" w:leader="dot" w:pos="9016"/>
            </w:tabs>
            <w:rPr>
              <w:noProof/>
            </w:rPr>
          </w:pPr>
          <w:hyperlink w:history="1" w:anchor="_Toc213058154">
            <w:r w:rsidRPr="004A19BF">
              <w:rPr>
                <w:rStyle w:val="Hyperlink"/>
                <w:noProof/>
              </w:rPr>
              <w:t>3.8 – Chapter Conclusion (100 words approx.)</w:t>
            </w:r>
            <w:r>
              <w:rPr>
                <w:noProof/>
                <w:webHidden/>
              </w:rPr>
              <w:tab/>
            </w:r>
            <w:r>
              <w:rPr>
                <w:noProof/>
                <w:webHidden/>
              </w:rPr>
              <w:fldChar w:fldCharType="begin"/>
            </w:r>
            <w:r>
              <w:rPr>
                <w:noProof/>
                <w:webHidden/>
              </w:rPr>
              <w:instrText xml:space="preserve"> PAGEREF _Toc213058154 \h </w:instrText>
            </w:r>
            <w:r>
              <w:rPr>
                <w:noProof/>
                <w:webHidden/>
              </w:rPr>
            </w:r>
            <w:r>
              <w:rPr>
                <w:noProof/>
                <w:webHidden/>
              </w:rPr>
              <w:fldChar w:fldCharType="separate"/>
            </w:r>
            <w:r>
              <w:rPr>
                <w:noProof/>
                <w:webHidden/>
              </w:rPr>
              <w:t>18</w:t>
            </w:r>
            <w:r>
              <w:rPr>
                <w:noProof/>
                <w:webHidden/>
              </w:rPr>
              <w:fldChar w:fldCharType="end"/>
            </w:r>
          </w:hyperlink>
        </w:p>
        <w:p w:rsidR="00967C4F" w:rsidRDefault="00967C4F" w14:paraId="700D2BC9" w14:textId="68AC33BE">
          <w:pPr>
            <w:pStyle w:val="TOC1"/>
            <w:tabs>
              <w:tab w:val="right" w:leader="dot" w:pos="9016"/>
            </w:tabs>
            <w:rPr>
              <w:noProof/>
            </w:rPr>
          </w:pPr>
          <w:hyperlink w:history="1" w:anchor="_Toc213058155">
            <w:r w:rsidRPr="004A19BF">
              <w:rPr>
                <w:rStyle w:val="Hyperlink"/>
                <w:noProof/>
                <w:lang w:bidi="en-GB"/>
              </w:rPr>
              <w:t>CHAPTER 4 – Findings and Discussion (3,000 words approx.)</w:t>
            </w:r>
            <w:r>
              <w:rPr>
                <w:noProof/>
                <w:webHidden/>
              </w:rPr>
              <w:tab/>
            </w:r>
            <w:r>
              <w:rPr>
                <w:noProof/>
                <w:webHidden/>
              </w:rPr>
              <w:fldChar w:fldCharType="begin"/>
            </w:r>
            <w:r>
              <w:rPr>
                <w:noProof/>
                <w:webHidden/>
              </w:rPr>
              <w:instrText xml:space="preserve"> PAGEREF _Toc213058155 \h </w:instrText>
            </w:r>
            <w:r>
              <w:rPr>
                <w:noProof/>
                <w:webHidden/>
              </w:rPr>
            </w:r>
            <w:r>
              <w:rPr>
                <w:noProof/>
                <w:webHidden/>
              </w:rPr>
              <w:fldChar w:fldCharType="separate"/>
            </w:r>
            <w:r>
              <w:rPr>
                <w:noProof/>
                <w:webHidden/>
              </w:rPr>
              <w:t>19</w:t>
            </w:r>
            <w:r>
              <w:rPr>
                <w:noProof/>
                <w:webHidden/>
              </w:rPr>
              <w:fldChar w:fldCharType="end"/>
            </w:r>
          </w:hyperlink>
        </w:p>
        <w:p w:rsidR="00967C4F" w:rsidRDefault="00967C4F" w14:paraId="4455C3D7" w14:textId="7F36BFE5">
          <w:pPr>
            <w:pStyle w:val="TOC2"/>
            <w:tabs>
              <w:tab w:val="right" w:leader="dot" w:pos="9016"/>
            </w:tabs>
            <w:rPr>
              <w:noProof/>
            </w:rPr>
          </w:pPr>
          <w:hyperlink w:history="1" w:anchor="_Toc213058156">
            <w:r w:rsidRPr="004A19BF">
              <w:rPr>
                <w:rStyle w:val="Hyperlink"/>
                <w:noProof/>
              </w:rPr>
              <w:t>4.1 – Introduction (100 word approx.)</w:t>
            </w:r>
            <w:r>
              <w:rPr>
                <w:noProof/>
                <w:webHidden/>
              </w:rPr>
              <w:tab/>
            </w:r>
            <w:r>
              <w:rPr>
                <w:noProof/>
                <w:webHidden/>
              </w:rPr>
              <w:fldChar w:fldCharType="begin"/>
            </w:r>
            <w:r>
              <w:rPr>
                <w:noProof/>
                <w:webHidden/>
              </w:rPr>
              <w:instrText xml:space="preserve"> PAGEREF _Toc213058156 \h </w:instrText>
            </w:r>
            <w:r>
              <w:rPr>
                <w:noProof/>
                <w:webHidden/>
              </w:rPr>
            </w:r>
            <w:r>
              <w:rPr>
                <w:noProof/>
                <w:webHidden/>
              </w:rPr>
              <w:fldChar w:fldCharType="separate"/>
            </w:r>
            <w:r>
              <w:rPr>
                <w:noProof/>
                <w:webHidden/>
              </w:rPr>
              <w:t>19</w:t>
            </w:r>
            <w:r>
              <w:rPr>
                <w:noProof/>
                <w:webHidden/>
              </w:rPr>
              <w:fldChar w:fldCharType="end"/>
            </w:r>
          </w:hyperlink>
        </w:p>
        <w:p w:rsidR="00967C4F" w:rsidRDefault="00967C4F" w14:paraId="2946F8D5" w14:textId="4D297145">
          <w:pPr>
            <w:pStyle w:val="TOC2"/>
            <w:tabs>
              <w:tab w:val="right" w:leader="dot" w:pos="9016"/>
            </w:tabs>
            <w:rPr>
              <w:noProof/>
            </w:rPr>
          </w:pPr>
          <w:hyperlink w:history="1" w:anchor="_Toc213058157">
            <w:r w:rsidRPr="004A19BF">
              <w:rPr>
                <w:rStyle w:val="Hyperlink"/>
                <w:noProof/>
              </w:rPr>
              <w:t>4.2 – Thematic Analysis (100 word approx.)</w:t>
            </w:r>
            <w:r>
              <w:rPr>
                <w:noProof/>
                <w:webHidden/>
              </w:rPr>
              <w:tab/>
            </w:r>
            <w:r>
              <w:rPr>
                <w:noProof/>
                <w:webHidden/>
              </w:rPr>
              <w:fldChar w:fldCharType="begin"/>
            </w:r>
            <w:r>
              <w:rPr>
                <w:noProof/>
                <w:webHidden/>
              </w:rPr>
              <w:instrText xml:space="preserve"> PAGEREF _Toc213058157 \h </w:instrText>
            </w:r>
            <w:r>
              <w:rPr>
                <w:noProof/>
                <w:webHidden/>
              </w:rPr>
            </w:r>
            <w:r>
              <w:rPr>
                <w:noProof/>
                <w:webHidden/>
              </w:rPr>
              <w:fldChar w:fldCharType="separate"/>
            </w:r>
            <w:r>
              <w:rPr>
                <w:noProof/>
                <w:webHidden/>
              </w:rPr>
              <w:t>19</w:t>
            </w:r>
            <w:r>
              <w:rPr>
                <w:noProof/>
                <w:webHidden/>
              </w:rPr>
              <w:fldChar w:fldCharType="end"/>
            </w:r>
          </w:hyperlink>
        </w:p>
        <w:p w:rsidR="00967C4F" w:rsidRDefault="00967C4F" w14:paraId="22C4C22C" w14:textId="5F87CC67">
          <w:pPr>
            <w:pStyle w:val="TOC2"/>
            <w:tabs>
              <w:tab w:val="right" w:leader="dot" w:pos="9016"/>
            </w:tabs>
            <w:rPr>
              <w:noProof/>
            </w:rPr>
          </w:pPr>
          <w:hyperlink w:history="1" w:anchor="_Toc213058158">
            <w:r w:rsidRPr="004A19BF">
              <w:rPr>
                <w:rStyle w:val="Hyperlink"/>
                <w:noProof/>
              </w:rPr>
              <w:t>4.3 – Theme 1 (insert theme heading here) (900 words approx.)</w:t>
            </w:r>
            <w:r>
              <w:rPr>
                <w:noProof/>
                <w:webHidden/>
              </w:rPr>
              <w:tab/>
            </w:r>
            <w:r>
              <w:rPr>
                <w:noProof/>
                <w:webHidden/>
              </w:rPr>
              <w:fldChar w:fldCharType="begin"/>
            </w:r>
            <w:r>
              <w:rPr>
                <w:noProof/>
                <w:webHidden/>
              </w:rPr>
              <w:instrText xml:space="preserve"> PAGEREF _Toc213058158 \h </w:instrText>
            </w:r>
            <w:r>
              <w:rPr>
                <w:noProof/>
                <w:webHidden/>
              </w:rPr>
            </w:r>
            <w:r>
              <w:rPr>
                <w:noProof/>
                <w:webHidden/>
              </w:rPr>
              <w:fldChar w:fldCharType="separate"/>
            </w:r>
            <w:r>
              <w:rPr>
                <w:noProof/>
                <w:webHidden/>
              </w:rPr>
              <w:t>20</w:t>
            </w:r>
            <w:r>
              <w:rPr>
                <w:noProof/>
                <w:webHidden/>
              </w:rPr>
              <w:fldChar w:fldCharType="end"/>
            </w:r>
          </w:hyperlink>
        </w:p>
        <w:p w:rsidR="00967C4F" w:rsidRDefault="00967C4F" w14:paraId="7159CDB3" w14:textId="1F5A1C0C">
          <w:pPr>
            <w:pStyle w:val="TOC2"/>
            <w:tabs>
              <w:tab w:val="right" w:leader="dot" w:pos="9016"/>
            </w:tabs>
            <w:rPr>
              <w:noProof/>
            </w:rPr>
          </w:pPr>
          <w:hyperlink w:history="1" w:anchor="_Toc213058159">
            <w:r w:rsidRPr="004A19BF">
              <w:rPr>
                <w:rStyle w:val="Hyperlink"/>
                <w:noProof/>
              </w:rPr>
              <w:t>4.4 – Theme 2 (insert theme heading here) (900 words approx.)</w:t>
            </w:r>
            <w:r>
              <w:rPr>
                <w:noProof/>
                <w:webHidden/>
              </w:rPr>
              <w:tab/>
            </w:r>
            <w:r>
              <w:rPr>
                <w:noProof/>
                <w:webHidden/>
              </w:rPr>
              <w:fldChar w:fldCharType="begin"/>
            </w:r>
            <w:r>
              <w:rPr>
                <w:noProof/>
                <w:webHidden/>
              </w:rPr>
              <w:instrText xml:space="preserve"> PAGEREF _Toc213058159 \h </w:instrText>
            </w:r>
            <w:r>
              <w:rPr>
                <w:noProof/>
                <w:webHidden/>
              </w:rPr>
            </w:r>
            <w:r>
              <w:rPr>
                <w:noProof/>
                <w:webHidden/>
              </w:rPr>
              <w:fldChar w:fldCharType="separate"/>
            </w:r>
            <w:r>
              <w:rPr>
                <w:noProof/>
                <w:webHidden/>
              </w:rPr>
              <w:t>21</w:t>
            </w:r>
            <w:r>
              <w:rPr>
                <w:noProof/>
                <w:webHidden/>
              </w:rPr>
              <w:fldChar w:fldCharType="end"/>
            </w:r>
          </w:hyperlink>
        </w:p>
        <w:p w:rsidR="00967C4F" w:rsidRDefault="00967C4F" w14:paraId="1D354351" w14:textId="1FBF7685">
          <w:pPr>
            <w:pStyle w:val="TOC2"/>
            <w:tabs>
              <w:tab w:val="right" w:leader="dot" w:pos="9016"/>
            </w:tabs>
            <w:rPr>
              <w:noProof/>
            </w:rPr>
          </w:pPr>
          <w:hyperlink w:history="1" w:anchor="_Toc213058160">
            <w:r w:rsidRPr="004A19BF">
              <w:rPr>
                <w:rStyle w:val="Hyperlink"/>
                <w:noProof/>
              </w:rPr>
              <w:t>4.5 – Theme 3 (insert theme heading here) (900 words approx.)</w:t>
            </w:r>
            <w:r>
              <w:rPr>
                <w:noProof/>
                <w:webHidden/>
              </w:rPr>
              <w:tab/>
            </w:r>
            <w:r>
              <w:rPr>
                <w:noProof/>
                <w:webHidden/>
              </w:rPr>
              <w:fldChar w:fldCharType="begin"/>
            </w:r>
            <w:r>
              <w:rPr>
                <w:noProof/>
                <w:webHidden/>
              </w:rPr>
              <w:instrText xml:space="preserve"> PAGEREF _Toc213058160 \h </w:instrText>
            </w:r>
            <w:r>
              <w:rPr>
                <w:noProof/>
                <w:webHidden/>
              </w:rPr>
            </w:r>
            <w:r>
              <w:rPr>
                <w:noProof/>
                <w:webHidden/>
              </w:rPr>
              <w:fldChar w:fldCharType="separate"/>
            </w:r>
            <w:r>
              <w:rPr>
                <w:noProof/>
                <w:webHidden/>
              </w:rPr>
              <w:t>23</w:t>
            </w:r>
            <w:r>
              <w:rPr>
                <w:noProof/>
                <w:webHidden/>
              </w:rPr>
              <w:fldChar w:fldCharType="end"/>
            </w:r>
          </w:hyperlink>
        </w:p>
        <w:p w:rsidR="00967C4F" w:rsidRDefault="00967C4F" w14:paraId="1F64347F" w14:textId="1FF89970">
          <w:pPr>
            <w:pStyle w:val="TOC2"/>
            <w:tabs>
              <w:tab w:val="right" w:leader="dot" w:pos="9016"/>
            </w:tabs>
            <w:rPr>
              <w:noProof/>
            </w:rPr>
          </w:pPr>
          <w:hyperlink w:history="1" w:anchor="_Toc213058161">
            <w:r w:rsidRPr="004A19BF">
              <w:rPr>
                <w:rStyle w:val="Hyperlink"/>
                <w:noProof/>
              </w:rPr>
              <w:t>4.6 – Chapter Conclusion (200 words approx.)</w:t>
            </w:r>
            <w:r>
              <w:rPr>
                <w:noProof/>
                <w:webHidden/>
              </w:rPr>
              <w:tab/>
            </w:r>
            <w:r>
              <w:rPr>
                <w:noProof/>
                <w:webHidden/>
              </w:rPr>
              <w:fldChar w:fldCharType="begin"/>
            </w:r>
            <w:r>
              <w:rPr>
                <w:noProof/>
                <w:webHidden/>
              </w:rPr>
              <w:instrText xml:space="preserve"> PAGEREF _Toc213058161 \h </w:instrText>
            </w:r>
            <w:r>
              <w:rPr>
                <w:noProof/>
                <w:webHidden/>
              </w:rPr>
            </w:r>
            <w:r>
              <w:rPr>
                <w:noProof/>
                <w:webHidden/>
              </w:rPr>
              <w:fldChar w:fldCharType="separate"/>
            </w:r>
            <w:r>
              <w:rPr>
                <w:noProof/>
                <w:webHidden/>
              </w:rPr>
              <w:t>24</w:t>
            </w:r>
            <w:r>
              <w:rPr>
                <w:noProof/>
                <w:webHidden/>
              </w:rPr>
              <w:fldChar w:fldCharType="end"/>
            </w:r>
          </w:hyperlink>
        </w:p>
        <w:p w:rsidR="00967C4F" w:rsidRDefault="00967C4F" w14:paraId="623EBD35" w14:textId="206A3D84">
          <w:pPr>
            <w:pStyle w:val="TOC1"/>
            <w:tabs>
              <w:tab w:val="right" w:leader="dot" w:pos="9016"/>
            </w:tabs>
            <w:rPr>
              <w:noProof/>
            </w:rPr>
          </w:pPr>
          <w:hyperlink w:history="1" w:anchor="_Toc213058162">
            <w:r w:rsidRPr="004A19BF">
              <w:rPr>
                <w:rStyle w:val="Hyperlink"/>
                <w:noProof/>
                <w:lang w:bidi="en-GB"/>
              </w:rPr>
              <w:t>CHAPTER 5 – Conclusion and Recommendations (1,000 words approx.)</w:t>
            </w:r>
            <w:r>
              <w:rPr>
                <w:noProof/>
                <w:webHidden/>
              </w:rPr>
              <w:tab/>
            </w:r>
            <w:r>
              <w:rPr>
                <w:noProof/>
                <w:webHidden/>
              </w:rPr>
              <w:fldChar w:fldCharType="begin"/>
            </w:r>
            <w:r>
              <w:rPr>
                <w:noProof/>
                <w:webHidden/>
              </w:rPr>
              <w:instrText xml:space="preserve"> PAGEREF _Toc213058162 \h </w:instrText>
            </w:r>
            <w:r>
              <w:rPr>
                <w:noProof/>
                <w:webHidden/>
              </w:rPr>
            </w:r>
            <w:r>
              <w:rPr>
                <w:noProof/>
                <w:webHidden/>
              </w:rPr>
              <w:fldChar w:fldCharType="separate"/>
            </w:r>
            <w:r>
              <w:rPr>
                <w:noProof/>
                <w:webHidden/>
              </w:rPr>
              <w:t>25</w:t>
            </w:r>
            <w:r>
              <w:rPr>
                <w:noProof/>
                <w:webHidden/>
              </w:rPr>
              <w:fldChar w:fldCharType="end"/>
            </w:r>
          </w:hyperlink>
        </w:p>
        <w:p w:rsidR="00967C4F" w:rsidRDefault="00967C4F" w14:paraId="1BED88A0" w14:textId="318174E3">
          <w:pPr>
            <w:pStyle w:val="TOC2"/>
            <w:tabs>
              <w:tab w:val="right" w:leader="dot" w:pos="9016"/>
            </w:tabs>
            <w:rPr>
              <w:noProof/>
            </w:rPr>
          </w:pPr>
          <w:hyperlink w:history="1" w:anchor="_Toc213058163">
            <w:r w:rsidRPr="004A19BF">
              <w:rPr>
                <w:rStyle w:val="Hyperlink"/>
                <w:noProof/>
              </w:rPr>
              <w:t>5.1 – Overall Conclusion (200 words approx.)</w:t>
            </w:r>
            <w:r>
              <w:rPr>
                <w:noProof/>
                <w:webHidden/>
              </w:rPr>
              <w:tab/>
            </w:r>
            <w:r>
              <w:rPr>
                <w:noProof/>
                <w:webHidden/>
              </w:rPr>
              <w:fldChar w:fldCharType="begin"/>
            </w:r>
            <w:r>
              <w:rPr>
                <w:noProof/>
                <w:webHidden/>
              </w:rPr>
              <w:instrText xml:space="preserve"> PAGEREF _Toc213058163 \h </w:instrText>
            </w:r>
            <w:r>
              <w:rPr>
                <w:noProof/>
                <w:webHidden/>
              </w:rPr>
            </w:r>
            <w:r>
              <w:rPr>
                <w:noProof/>
                <w:webHidden/>
              </w:rPr>
              <w:fldChar w:fldCharType="separate"/>
            </w:r>
            <w:r>
              <w:rPr>
                <w:noProof/>
                <w:webHidden/>
              </w:rPr>
              <w:t>25</w:t>
            </w:r>
            <w:r>
              <w:rPr>
                <w:noProof/>
                <w:webHidden/>
              </w:rPr>
              <w:fldChar w:fldCharType="end"/>
            </w:r>
          </w:hyperlink>
        </w:p>
        <w:p w:rsidR="00967C4F" w:rsidRDefault="00967C4F" w14:paraId="029F2AF6" w14:textId="6C52C7E7">
          <w:pPr>
            <w:pStyle w:val="TOC2"/>
            <w:tabs>
              <w:tab w:val="right" w:leader="dot" w:pos="9016"/>
            </w:tabs>
            <w:rPr>
              <w:noProof/>
            </w:rPr>
          </w:pPr>
          <w:hyperlink w:history="1" w:anchor="_Toc213058164">
            <w:r w:rsidRPr="004A19BF">
              <w:rPr>
                <w:rStyle w:val="Hyperlink"/>
                <w:noProof/>
              </w:rPr>
              <w:t>5.2 – Recommendations (800 words approx.)</w:t>
            </w:r>
            <w:r>
              <w:rPr>
                <w:noProof/>
                <w:webHidden/>
              </w:rPr>
              <w:tab/>
            </w:r>
            <w:r>
              <w:rPr>
                <w:noProof/>
                <w:webHidden/>
              </w:rPr>
              <w:fldChar w:fldCharType="begin"/>
            </w:r>
            <w:r>
              <w:rPr>
                <w:noProof/>
                <w:webHidden/>
              </w:rPr>
              <w:instrText xml:space="preserve"> PAGEREF _Toc213058164 \h </w:instrText>
            </w:r>
            <w:r>
              <w:rPr>
                <w:noProof/>
                <w:webHidden/>
              </w:rPr>
            </w:r>
            <w:r>
              <w:rPr>
                <w:noProof/>
                <w:webHidden/>
              </w:rPr>
              <w:fldChar w:fldCharType="separate"/>
            </w:r>
            <w:r>
              <w:rPr>
                <w:noProof/>
                <w:webHidden/>
              </w:rPr>
              <w:t>26</w:t>
            </w:r>
            <w:r>
              <w:rPr>
                <w:noProof/>
                <w:webHidden/>
              </w:rPr>
              <w:fldChar w:fldCharType="end"/>
            </w:r>
          </w:hyperlink>
        </w:p>
        <w:p w:rsidR="00967C4F" w:rsidRDefault="00967C4F" w14:paraId="2F3FC1C3" w14:textId="2EFD648C">
          <w:pPr>
            <w:pStyle w:val="TOC1"/>
            <w:tabs>
              <w:tab w:val="right" w:leader="dot" w:pos="9016"/>
            </w:tabs>
            <w:rPr>
              <w:noProof/>
            </w:rPr>
          </w:pPr>
          <w:hyperlink w:history="1" w:anchor="_Toc213058165">
            <w:r w:rsidRPr="004A19BF">
              <w:rPr>
                <w:rStyle w:val="Hyperlink"/>
                <w:noProof/>
                <w:lang w:bidi="en-GB"/>
              </w:rPr>
              <w:t>5.2.1 – Recommendation 1</w:t>
            </w:r>
            <w:r>
              <w:rPr>
                <w:noProof/>
                <w:webHidden/>
              </w:rPr>
              <w:tab/>
            </w:r>
            <w:r>
              <w:rPr>
                <w:noProof/>
                <w:webHidden/>
              </w:rPr>
              <w:fldChar w:fldCharType="begin"/>
            </w:r>
            <w:r>
              <w:rPr>
                <w:noProof/>
                <w:webHidden/>
              </w:rPr>
              <w:instrText xml:space="preserve"> PAGEREF _Toc213058165 \h </w:instrText>
            </w:r>
            <w:r>
              <w:rPr>
                <w:noProof/>
                <w:webHidden/>
              </w:rPr>
            </w:r>
            <w:r>
              <w:rPr>
                <w:noProof/>
                <w:webHidden/>
              </w:rPr>
              <w:fldChar w:fldCharType="separate"/>
            </w:r>
            <w:r>
              <w:rPr>
                <w:noProof/>
                <w:webHidden/>
              </w:rPr>
              <w:t>26</w:t>
            </w:r>
            <w:r>
              <w:rPr>
                <w:noProof/>
                <w:webHidden/>
              </w:rPr>
              <w:fldChar w:fldCharType="end"/>
            </w:r>
          </w:hyperlink>
        </w:p>
        <w:p w:rsidR="00967C4F" w:rsidRDefault="00967C4F" w14:paraId="3BF917A1" w14:textId="0B6FBDB8">
          <w:pPr>
            <w:pStyle w:val="TOC1"/>
            <w:tabs>
              <w:tab w:val="right" w:leader="dot" w:pos="9016"/>
            </w:tabs>
            <w:rPr>
              <w:noProof/>
            </w:rPr>
          </w:pPr>
          <w:hyperlink w:history="1" w:anchor="_Toc213058166">
            <w:r w:rsidRPr="004A19BF">
              <w:rPr>
                <w:rStyle w:val="Hyperlink"/>
                <w:noProof/>
                <w:lang w:bidi="en-GB"/>
              </w:rPr>
              <w:t>5.2.2 – Recommendation 2</w:t>
            </w:r>
            <w:r>
              <w:rPr>
                <w:noProof/>
                <w:webHidden/>
              </w:rPr>
              <w:tab/>
            </w:r>
            <w:r>
              <w:rPr>
                <w:noProof/>
                <w:webHidden/>
              </w:rPr>
              <w:fldChar w:fldCharType="begin"/>
            </w:r>
            <w:r>
              <w:rPr>
                <w:noProof/>
                <w:webHidden/>
              </w:rPr>
              <w:instrText xml:space="preserve"> PAGEREF _Toc213058166 \h </w:instrText>
            </w:r>
            <w:r>
              <w:rPr>
                <w:noProof/>
                <w:webHidden/>
              </w:rPr>
            </w:r>
            <w:r>
              <w:rPr>
                <w:noProof/>
                <w:webHidden/>
              </w:rPr>
              <w:fldChar w:fldCharType="separate"/>
            </w:r>
            <w:r>
              <w:rPr>
                <w:noProof/>
                <w:webHidden/>
              </w:rPr>
              <w:t>26</w:t>
            </w:r>
            <w:r>
              <w:rPr>
                <w:noProof/>
                <w:webHidden/>
              </w:rPr>
              <w:fldChar w:fldCharType="end"/>
            </w:r>
          </w:hyperlink>
        </w:p>
        <w:p w:rsidR="00967C4F" w:rsidRDefault="00967C4F" w14:paraId="5E0C5866" w14:textId="6DAB223F">
          <w:pPr>
            <w:pStyle w:val="TOC1"/>
            <w:tabs>
              <w:tab w:val="right" w:leader="dot" w:pos="9016"/>
            </w:tabs>
            <w:rPr>
              <w:noProof/>
            </w:rPr>
          </w:pPr>
          <w:hyperlink w:history="1" w:anchor="_Toc213058167">
            <w:r w:rsidRPr="004A19BF">
              <w:rPr>
                <w:rStyle w:val="Hyperlink"/>
                <w:noProof/>
                <w:lang w:bidi="en-GB"/>
              </w:rPr>
              <w:t>5.2.3 – Recommendation 3</w:t>
            </w:r>
            <w:r>
              <w:rPr>
                <w:noProof/>
                <w:webHidden/>
              </w:rPr>
              <w:tab/>
            </w:r>
            <w:r>
              <w:rPr>
                <w:noProof/>
                <w:webHidden/>
              </w:rPr>
              <w:fldChar w:fldCharType="begin"/>
            </w:r>
            <w:r>
              <w:rPr>
                <w:noProof/>
                <w:webHidden/>
              </w:rPr>
              <w:instrText xml:space="preserve"> PAGEREF _Toc213058167 \h </w:instrText>
            </w:r>
            <w:r>
              <w:rPr>
                <w:noProof/>
                <w:webHidden/>
              </w:rPr>
            </w:r>
            <w:r>
              <w:rPr>
                <w:noProof/>
                <w:webHidden/>
              </w:rPr>
              <w:fldChar w:fldCharType="separate"/>
            </w:r>
            <w:r>
              <w:rPr>
                <w:noProof/>
                <w:webHidden/>
              </w:rPr>
              <w:t>26</w:t>
            </w:r>
            <w:r>
              <w:rPr>
                <w:noProof/>
                <w:webHidden/>
              </w:rPr>
              <w:fldChar w:fldCharType="end"/>
            </w:r>
          </w:hyperlink>
        </w:p>
        <w:p w:rsidR="00967C4F" w:rsidRDefault="00967C4F" w14:paraId="1AA823E3" w14:textId="1525092E">
          <w:pPr>
            <w:pStyle w:val="TOC1"/>
            <w:tabs>
              <w:tab w:val="right" w:leader="dot" w:pos="9016"/>
            </w:tabs>
            <w:rPr>
              <w:noProof/>
            </w:rPr>
          </w:pPr>
          <w:hyperlink w:history="1" w:anchor="_Toc213058168">
            <w:r w:rsidRPr="004A19BF">
              <w:rPr>
                <w:rStyle w:val="Hyperlink"/>
                <w:noProof/>
                <w:lang w:bidi="en-GB"/>
              </w:rPr>
              <w:t>CHAPTER 6 – References and Appendices</w:t>
            </w:r>
            <w:r>
              <w:rPr>
                <w:noProof/>
                <w:webHidden/>
              </w:rPr>
              <w:tab/>
            </w:r>
            <w:r>
              <w:rPr>
                <w:noProof/>
                <w:webHidden/>
              </w:rPr>
              <w:fldChar w:fldCharType="begin"/>
            </w:r>
            <w:r>
              <w:rPr>
                <w:noProof/>
                <w:webHidden/>
              </w:rPr>
              <w:instrText xml:space="preserve"> PAGEREF _Toc213058168 \h </w:instrText>
            </w:r>
            <w:r>
              <w:rPr>
                <w:noProof/>
                <w:webHidden/>
              </w:rPr>
            </w:r>
            <w:r>
              <w:rPr>
                <w:noProof/>
                <w:webHidden/>
              </w:rPr>
              <w:fldChar w:fldCharType="separate"/>
            </w:r>
            <w:r>
              <w:rPr>
                <w:noProof/>
                <w:webHidden/>
              </w:rPr>
              <w:t>27</w:t>
            </w:r>
            <w:r>
              <w:rPr>
                <w:noProof/>
                <w:webHidden/>
              </w:rPr>
              <w:fldChar w:fldCharType="end"/>
            </w:r>
          </w:hyperlink>
        </w:p>
        <w:p w:rsidR="00967C4F" w:rsidRDefault="00967C4F" w14:paraId="3F758558" w14:textId="0660BF3D">
          <w:pPr>
            <w:pStyle w:val="TOC1"/>
            <w:tabs>
              <w:tab w:val="right" w:leader="dot" w:pos="9016"/>
            </w:tabs>
            <w:rPr>
              <w:noProof/>
            </w:rPr>
          </w:pPr>
          <w:hyperlink w:history="1" w:anchor="_Toc213058169">
            <w:r w:rsidRPr="004A19BF">
              <w:rPr>
                <w:rStyle w:val="Hyperlink"/>
                <w:noProof/>
                <w:lang w:bidi="en-GB"/>
              </w:rPr>
              <w:t>6.1 – References</w:t>
            </w:r>
            <w:r>
              <w:rPr>
                <w:noProof/>
                <w:webHidden/>
              </w:rPr>
              <w:tab/>
            </w:r>
            <w:r>
              <w:rPr>
                <w:noProof/>
                <w:webHidden/>
              </w:rPr>
              <w:fldChar w:fldCharType="begin"/>
            </w:r>
            <w:r>
              <w:rPr>
                <w:noProof/>
                <w:webHidden/>
              </w:rPr>
              <w:instrText xml:space="preserve"> PAGEREF _Toc213058169 \h </w:instrText>
            </w:r>
            <w:r>
              <w:rPr>
                <w:noProof/>
                <w:webHidden/>
              </w:rPr>
            </w:r>
            <w:r>
              <w:rPr>
                <w:noProof/>
                <w:webHidden/>
              </w:rPr>
              <w:fldChar w:fldCharType="separate"/>
            </w:r>
            <w:r>
              <w:rPr>
                <w:noProof/>
                <w:webHidden/>
              </w:rPr>
              <w:t>27</w:t>
            </w:r>
            <w:r>
              <w:rPr>
                <w:noProof/>
                <w:webHidden/>
              </w:rPr>
              <w:fldChar w:fldCharType="end"/>
            </w:r>
          </w:hyperlink>
        </w:p>
        <w:p w:rsidR="00967C4F" w:rsidRDefault="00967C4F" w14:paraId="1A895E8F" w14:textId="1E50C3E6">
          <w:pPr>
            <w:pStyle w:val="TOC1"/>
            <w:tabs>
              <w:tab w:val="right" w:leader="dot" w:pos="9016"/>
            </w:tabs>
            <w:rPr>
              <w:noProof/>
            </w:rPr>
          </w:pPr>
          <w:hyperlink w:history="1" w:anchor="_Toc213058170">
            <w:r w:rsidRPr="004A19BF">
              <w:rPr>
                <w:rStyle w:val="Hyperlink"/>
                <w:noProof/>
                <w:lang w:bidi="en-GB"/>
              </w:rPr>
              <w:t>6.2 – Appendices</w:t>
            </w:r>
            <w:r>
              <w:rPr>
                <w:noProof/>
                <w:webHidden/>
              </w:rPr>
              <w:tab/>
            </w:r>
            <w:r>
              <w:rPr>
                <w:noProof/>
                <w:webHidden/>
              </w:rPr>
              <w:fldChar w:fldCharType="begin"/>
            </w:r>
            <w:r>
              <w:rPr>
                <w:noProof/>
                <w:webHidden/>
              </w:rPr>
              <w:instrText xml:space="preserve"> PAGEREF _Toc213058170 \h </w:instrText>
            </w:r>
            <w:r>
              <w:rPr>
                <w:noProof/>
                <w:webHidden/>
              </w:rPr>
            </w:r>
            <w:r>
              <w:rPr>
                <w:noProof/>
                <w:webHidden/>
              </w:rPr>
              <w:fldChar w:fldCharType="separate"/>
            </w:r>
            <w:r>
              <w:rPr>
                <w:noProof/>
                <w:webHidden/>
              </w:rPr>
              <w:t>28</w:t>
            </w:r>
            <w:r>
              <w:rPr>
                <w:noProof/>
                <w:webHidden/>
              </w:rPr>
              <w:fldChar w:fldCharType="end"/>
            </w:r>
          </w:hyperlink>
        </w:p>
        <w:p w:rsidR="00967C4F" w:rsidRDefault="00967C4F" w14:paraId="22FD4268" w14:textId="6A6DAAFA">
          <w:pPr>
            <w:pStyle w:val="TOC1"/>
            <w:tabs>
              <w:tab w:val="right" w:leader="dot" w:pos="9016"/>
            </w:tabs>
            <w:rPr>
              <w:noProof/>
            </w:rPr>
          </w:pPr>
          <w:hyperlink w:history="1" w:anchor="_Toc213058171">
            <w:r w:rsidRPr="004A19BF">
              <w:rPr>
                <w:rStyle w:val="Hyperlink"/>
                <w:noProof/>
                <w:lang w:bidi="en-GB"/>
              </w:rPr>
              <w:t>Additional Information</w:t>
            </w:r>
            <w:r>
              <w:rPr>
                <w:noProof/>
                <w:webHidden/>
              </w:rPr>
              <w:tab/>
            </w:r>
            <w:r>
              <w:rPr>
                <w:noProof/>
                <w:webHidden/>
              </w:rPr>
              <w:fldChar w:fldCharType="begin"/>
            </w:r>
            <w:r>
              <w:rPr>
                <w:noProof/>
                <w:webHidden/>
              </w:rPr>
              <w:instrText xml:space="preserve"> PAGEREF _Toc213058171 \h </w:instrText>
            </w:r>
            <w:r>
              <w:rPr>
                <w:noProof/>
                <w:webHidden/>
              </w:rPr>
            </w:r>
            <w:r>
              <w:rPr>
                <w:noProof/>
                <w:webHidden/>
              </w:rPr>
              <w:fldChar w:fldCharType="separate"/>
            </w:r>
            <w:r>
              <w:rPr>
                <w:noProof/>
                <w:webHidden/>
              </w:rPr>
              <w:t>29</w:t>
            </w:r>
            <w:r>
              <w:rPr>
                <w:noProof/>
                <w:webHidden/>
              </w:rPr>
              <w:fldChar w:fldCharType="end"/>
            </w:r>
          </w:hyperlink>
        </w:p>
        <w:p w:rsidR="00967C4F" w:rsidRDefault="00967C4F" w14:paraId="271BEACB" w14:textId="0C451788">
          <w:r>
            <w:rPr>
              <w:b/>
              <w:bCs/>
              <w:noProof/>
            </w:rPr>
            <w:fldChar w:fldCharType="end"/>
          </w:r>
        </w:p>
      </w:sdtContent>
    </w:sdt>
    <w:p w:rsidR="00967C4F" w:rsidRDefault="00967C4F" w14:paraId="65E9D815" w14:textId="77777777"/>
    <w:p w:rsidR="00804B94" w:rsidRDefault="00804B94" w14:paraId="52F0D83D" w14:textId="77777777"/>
    <w:p w:rsidR="00804B94" w:rsidRDefault="00804B94" w14:paraId="4DF07CEB" w14:textId="77777777"/>
    <w:p w:rsidR="00804B94" w:rsidRDefault="00804B94" w14:paraId="61CFD6DF" w14:textId="77777777"/>
    <w:p w:rsidR="00804B94" w:rsidRDefault="00804B94" w14:paraId="417D68A4" w14:textId="77777777"/>
    <w:p w:rsidR="00804B94" w:rsidRDefault="00804B94" w14:paraId="201F102A" w14:textId="77777777"/>
    <w:p w:rsidR="00804B94" w:rsidRDefault="00804B94" w14:paraId="5D0A8789" w14:textId="77777777"/>
    <w:p w:rsidR="00804B94" w:rsidRDefault="00804B94" w14:paraId="786DF943" w14:textId="77777777"/>
    <w:p w:rsidR="00804B94" w:rsidRDefault="00804B94" w14:paraId="612D2BA4" w14:textId="77777777"/>
    <w:p w:rsidR="00804B94" w:rsidRDefault="00804B94" w14:paraId="44606545" w14:textId="77777777"/>
    <w:p w:rsidR="00804B94" w:rsidRDefault="00804B94" w14:paraId="19556EF2" w14:textId="77777777"/>
    <w:p w:rsidR="00804B94" w:rsidRDefault="00804B94" w14:paraId="4CA19B6B" w14:textId="77777777"/>
    <w:p w:rsidR="00804B94" w:rsidRDefault="00804B94" w14:paraId="5C4D72C1" w14:textId="77777777"/>
    <w:p w:rsidR="00804B94" w:rsidRDefault="00804B94" w14:paraId="63FE4DFF" w14:textId="77777777"/>
    <w:p w:rsidR="00804B94" w:rsidRDefault="00804B94" w14:paraId="47780902" w14:textId="77777777"/>
    <w:p w:rsidR="00804B94" w:rsidRDefault="00804B94" w14:paraId="53DEFD74" w14:textId="77777777"/>
    <w:p w:rsidR="00804B94" w:rsidRDefault="00804B94" w14:paraId="2FF5C10C" w14:textId="77777777"/>
    <w:p w:rsidR="00804B94" w:rsidRDefault="00804B94" w14:paraId="2F856F58" w14:textId="77777777"/>
    <w:p w:rsidR="00730C3C" w:rsidP="524D1DFC" w:rsidRDefault="00730C3C" w14:paraId="66BE3F66" w14:textId="6430E68F">
      <w:pPr>
        <w:pStyle w:val="Heading1"/>
        <w:ind/>
      </w:pPr>
    </w:p>
    <w:p w:rsidRPr="00EF6341" w:rsidR="00730C3C" w:rsidP="00EF6341" w:rsidRDefault="00730C3C" w14:paraId="58452D18" w14:textId="242A34BE">
      <w:pPr>
        <w:pStyle w:val="Heading1"/>
        <w:spacing w:line="360" w:lineRule="auto"/>
        <w:ind w:left="0"/>
        <w:rPr>
          <w:rFonts w:ascii="Aptos" w:hAnsi="Aptos"/>
        </w:rPr>
      </w:pPr>
      <w:bookmarkStart w:name="_Toc213058144" w:id="2"/>
      <w:r w:rsidRPr="524D1DFC" w:rsidR="6447E850">
        <w:rPr>
          <w:rFonts w:ascii="Aptos" w:hAnsi="Aptos"/>
        </w:rPr>
        <w:t>CHAPTER 1: Introduction</w:t>
      </w:r>
      <w:bookmarkEnd w:id="2"/>
    </w:p>
    <w:p w:rsidRPr="00EF6341" w:rsidR="00EF6341" w:rsidP="00EF6341" w:rsidRDefault="00EF6341" w14:paraId="69941E5D" w14:textId="77777777">
      <w:pPr>
        <w:pStyle w:val="BodyText"/>
        <w:spacing w:line="360" w:lineRule="auto"/>
        <w:rPr>
          <w:rFonts w:ascii="Aptos" w:hAnsi="Aptos"/>
        </w:rPr>
      </w:pPr>
    </w:p>
    <w:p w:rsidR="00BD2909" w:rsidP="524D1DFC" w:rsidRDefault="00BD2909" w14:paraId="7EB24CC9" w14:textId="0CF17232">
      <w:pPr>
        <w:pStyle w:val="paragraph"/>
        <w:numPr>
          <w:ilvl w:val="1"/>
          <w:numId w:val="103"/>
        </w:numPr>
        <w:spacing w:before="0" w:beforeAutospacing="off" w:after="0" w:afterAutospacing="off" w:line="360" w:lineRule="auto"/>
        <w:textAlignment w:val="baseline"/>
        <w:rPr>
          <w:rStyle w:val="eop"/>
          <w:rFonts w:ascii="Aptos" w:hAnsi="Aptos" w:cs="Arial"/>
          <w:color w:val="0F4761"/>
        </w:rPr>
      </w:pPr>
      <w:r w:rsidRPr="524D1DFC" w:rsidR="031E6882">
        <w:rPr>
          <w:rStyle w:val="normaltextrun"/>
          <w:rFonts w:ascii="Aptos" w:hAnsi="Aptos" w:cs="Arial"/>
          <w:color w:val="0F4761"/>
        </w:rPr>
        <w:t>Introduction</w:t>
      </w:r>
      <w:r w:rsidRPr="524D1DFC" w:rsidR="031E6882">
        <w:rPr>
          <w:rStyle w:val="eop"/>
          <w:rFonts w:ascii="Aptos" w:hAnsi="Aptos" w:cs="Arial"/>
          <w:color w:val="0F4761"/>
        </w:rPr>
        <w:t> </w:t>
      </w:r>
    </w:p>
    <w:p w:rsidRPr="00BD2909" w:rsidR="00BA06D0" w:rsidP="00BA06D0" w:rsidRDefault="00BA06D0" w14:paraId="55D5F39A" w14:textId="77777777">
      <w:pPr>
        <w:pStyle w:val="paragraph"/>
        <w:spacing w:before="0" w:beforeAutospacing="0" w:after="0" w:afterAutospacing="0" w:line="360" w:lineRule="auto"/>
        <w:textAlignment w:val="baseline"/>
        <w:rPr>
          <w:rFonts w:ascii="Aptos" w:hAnsi="Aptos" w:cs="Segoe UI"/>
          <w:color w:val="0F4761"/>
          <w:sz w:val="16"/>
          <w:szCs w:val="16"/>
        </w:rPr>
      </w:pPr>
    </w:p>
    <w:p w:rsidRPr="00405711" w:rsidR="00405711" w:rsidP="524D1DFC" w:rsidRDefault="00BD2909" w14:paraId="5D248467" w14:textId="13E0F228">
      <w:pPr>
        <w:pStyle w:val="paragraph"/>
        <w:tabs>
          <w:tab w:val="clear" w:pos="720"/>
          <w:tab w:val="num" w:pos="0"/>
        </w:tabs>
        <w:spacing w:before="0" w:beforeAutospacing="off" w:after="0" w:afterAutospacing="off" w:line="360" w:lineRule="auto"/>
        <w:ind w:left="0" w:firstLine="0"/>
        <w:textAlignment w:val="baseline"/>
        <w:rPr>
          <w:rFonts w:ascii="Aptos" w:hAnsi="Aptos" w:cs="Arial"/>
          <w:sz w:val="22"/>
          <w:szCs w:val="22"/>
        </w:rPr>
      </w:pPr>
      <w:r w:rsidRPr="524D1DFC" w:rsidR="031E6882">
        <w:rPr>
          <w:rStyle w:val="normaltextrun"/>
          <w:rFonts w:ascii="Aptos" w:hAnsi="Aptos" w:cs="Arial"/>
          <w:b w:val="1"/>
          <w:bCs w:val="1"/>
          <w:sz w:val="22"/>
          <w:szCs w:val="22"/>
        </w:rPr>
        <w:t>Overview of the Topic:</w:t>
      </w:r>
      <w:r w:rsidRPr="524D1DFC" w:rsidR="031E6882">
        <w:rPr>
          <w:rStyle w:val="eop"/>
          <w:rFonts w:ascii="Aptos" w:hAnsi="Aptos" w:cs="Arial"/>
          <w:sz w:val="22"/>
          <w:szCs w:val="22"/>
        </w:rPr>
        <w:t> </w:t>
      </w:r>
    </w:p>
    <w:p w:rsidR="00405711" w:rsidP="00405711" w:rsidRDefault="00405711" w14:paraId="75E1AF7F" w14:textId="67EBE55C">
      <w:pPr>
        <w:pStyle w:val="paragraph"/>
        <w:spacing w:before="0" w:beforeAutospacing="0" w:after="0" w:afterAutospacing="0" w:line="360" w:lineRule="auto"/>
        <w:ind w:left="720"/>
        <w:textAlignment w:val="baseline"/>
        <w:rPr>
          <w:rFonts w:ascii="Aptos" w:hAnsi="Aptos" w:cs="Arial"/>
          <w:sz w:val="22"/>
          <w:szCs w:val="22"/>
        </w:rPr>
      </w:pPr>
      <w:r w:rsidRPr="00405711">
        <w:rPr>
          <w:rFonts w:ascii="Aptos" w:hAnsi="Aptos" w:cs="Arial"/>
          <w:sz w:val="22"/>
          <w:szCs w:val="22"/>
        </w:rPr>
        <w:t>In educational settings, children with chronic illnesses constitute a significant but frequently under-represented group.  Long-term medical problems that can have a substantial impact on a child's physical, emotional, and cognitive functioning include asthma, diabetes, epilepsy, PKU, and juvenile arthritis</w:t>
      </w:r>
      <w:r>
        <w:rPr>
          <w:rFonts w:ascii="Aptos" w:hAnsi="Aptos" w:cs="Arial"/>
          <w:sz w:val="22"/>
          <w:szCs w:val="22"/>
        </w:rPr>
        <w:t xml:space="preserve"> </w:t>
      </w:r>
      <w:r w:rsidRPr="00405711">
        <w:rPr>
          <w:rFonts w:ascii="Aptos" w:hAnsi="Aptos" w:cs="Arial"/>
          <w:sz w:val="22"/>
          <w:szCs w:val="22"/>
        </w:rPr>
        <w:t>(</w:t>
      </w:r>
      <w:proofErr w:type="spellStart"/>
      <w:r w:rsidRPr="00405711">
        <w:rPr>
          <w:rFonts w:ascii="Aptos" w:hAnsi="Aptos" w:cs="Arial"/>
          <w:sz w:val="22"/>
          <w:szCs w:val="22"/>
        </w:rPr>
        <w:t>Compas</w:t>
      </w:r>
      <w:proofErr w:type="spellEnd"/>
      <w:r w:rsidRPr="00405711">
        <w:rPr>
          <w:rFonts w:ascii="Aptos" w:hAnsi="Aptos" w:cs="Arial"/>
          <w:sz w:val="22"/>
          <w:szCs w:val="22"/>
        </w:rPr>
        <w:t xml:space="preserve"> et al., 2011; </w:t>
      </w:r>
      <w:proofErr w:type="spellStart"/>
      <w:r w:rsidRPr="00405711">
        <w:rPr>
          <w:rFonts w:ascii="Aptos" w:hAnsi="Aptos" w:cs="Arial"/>
          <w:sz w:val="22"/>
          <w:szCs w:val="22"/>
        </w:rPr>
        <w:t>Wijlaars</w:t>
      </w:r>
      <w:proofErr w:type="spellEnd"/>
      <w:r w:rsidRPr="00405711">
        <w:rPr>
          <w:rFonts w:ascii="Aptos" w:hAnsi="Aptos" w:cs="Arial"/>
          <w:sz w:val="22"/>
          <w:szCs w:val="22"/>
        </w:rPr>
        <w:t xml:space="preserve"> et al., 2016</w:t>
      </w:r>
      <w:r>
        <w:rPr>
          <w:rFonts w:ascii="Aptos" w:hAnsi="Aptos" w:cs="Arial"/>
          <w:sz w:val="22"/>
          <w:szCs w:val="22"/>
        </w:rPr>
        <w:t>).</w:t>
      </w:r>
      <w:r w:rsidRPr="00405711">
        <w:t xml:space="preserve"> </w:t>
      </w:r>
      <w:r w:rsidRPr="00405711">
        <w:rPr>
          <w:rFonts w:ascii="Aptos" w:hAnsi="Aptos" w:cs="Arial"/>
          <w:sz w:val="22"/>
          <w:szCs w:val="22"/>
        </w:rPr>
        <w:t>More children with chronic illnesses can now attend mainstream schools thanks to medical and healthcare advancements, but many still face obstacles to full inclusion because of frequent absences, exhaustion, and the necessity for medical interventions during school hours.</w:t>
      </w:r>
      <w:r>
        <w:rPr>
          <w:rFonts w:ascii="Aptos" w:hAnsi="Aptos" w:cs="Arial"/>
          <w:sz w:val="22"/>
          <w:szCs w:val="22"/>
        </w:rPr>
        <w:t xml:space="preserve"> </w:t>
      </w:r>
      <w:r w:rsidRPr="00405711">
        <w:rPr>
          <w:rFonts w:ascii="Aptos" w:hAnsi="Aptos" w:cs="Arial"/>
          <w:sz w:val="22"/>
          <w:szCs w:val="22"/>
        </w:rPr>
        <w:t>(Jay et al., 2024; Herlitz et al., 2025)</w:t>
      </w:r>
      <w:r>
        <w:rPr>
          <w:rFonts w:ascii="Aptos" w:hAnsi="Aptos" w:cs="Arial"/>
          <w:sz w:val="22"/>
          <w:szCs w:val="22"/>
        </w:rPr>
        <w:t>.</w:t>
      </w:r>
    </w:p>
    <w:p w:rsidR="00405711" w:rsidP="00405711" w:rsidRDefault="00405711" w14:paraId="091D3C61" w14:textId="77777777">
      <w:pPr>
        <w:pStyle w:val="paragraph"/>
        <w:spacing w:before="0" w:beforeAutospacing="0" w:after="0" w:afterAutospacing="0" w:line="360" w:lineRule="auto"/>
        <w:ind w:left="720"/>
        <w:textAlignment w:val="baseline"/>
        <w:rPr>
          <w:rFonts w:ascii="Aptos" w:hAnsi="Aptos" w:cs="Arial"/>
          <w:sz w:val="22"/>
          <w:szCs w:val="22"/>
        </w:rPr>
      </w:pPr>
    </w:p>
    <w:p w:rsidR="00405711" w:rsidP="00405711" w:rsidRDefault="00405711" w14:paraId="7F1892F4" w14:textId="47276E64">
      <w:pPr>
        <w:pStyle w:val="paragraph"/>
        <w:spacing w:before="0" w:beforeAutospacing="0" w:after="0" w:afterAutospacing="0" w:line="360" w:lineRule="auto"/>
        <w:ind w:left="720"/>
        <w:textAlignment w:val="baseline"/>
        <w:rPr>
          <w:rFonts w:ascii="Aptos" w:hAnsi="Aptos" w:cs="Arial"/>
          <w:sz w:val="22"/>
          <w:szCs w:val="22"/>
        </w:rPr>
      </w:pPr>
      <w:r w:rsidRPr="00405711">
        <w:rPr>
          <w:rFonts w:ascii="Aptos" w:hAnsi="Aptos" w:cs="Arial"/>
          <w:sz w:val="22"/>
          <w:szCs w:val="22"/>
        </w:rPr>
        <w:t>As the prevalence of chronic illnesses among school-age children continues to climb globally, this problem has become increasingly relevant in recent years.  According to recent data from England, by the time they are sixteen, one in four youngsters will have at least one chronic illness</w:t>
      </w:r>
      <w:r>
        <w:rPr>
          <w:rFonts w:ascii="Aptos" w:hAnsi="Aptos" w:cs="Arial"/>
          <w:sz w:val="22"/>
          <w:szCs w:val="22"/>
        </w:rPr>
        <w:t xml:space="preserve"> </w:t>
      </w:r>
      <w:r w:rsidRPr="00405711">
        <w:rPr>
          <w:rFonts w:ascii="Aptos" w:hAnsi="Aptos" w:cs="Arial"/>
          <w:sz w:val="22"/>
          <w:szCs w:val="22"/>
        </w:rPr>
        <w:t>(Jay et al., 2024).</w:t>
      </w:r>
      <w:r>
        <w:rPr>
          <w:rFonts w:ascii="Aptos" w:hAnsi="Aptos" w:cs="Arial"/>
          <w:sz w:val="22"/>
          <w:szCs w:val="22"/>
        </w:rPr>
        <w:t xml:space="preserve"> </w:t>
      </w:r>
      <w:r w:rsidRPr="00622F31" w:rsidR="00622F31">
        <w:rPr>
          <w:rFonts w:ascii="Aptos" w:hAnsi="Aptos" w:cs="Arial"/>
          <w:sz w:val="22"/>
          <w:szCs w:val="22"/>
        </w:rPr>
        <w:t>This pattern emphasises how urgently educational policies and procedures that strike a balance between academic demands and concessions linked to health are needed.  Although educational systems have historically been slow to adjust to the needs of students with chronic illnesses, recent advancements in inclusive education and health-education collaboration have started to put conventional methods to the test.</w:t>
      </w:r>
    </w:p>
    <w:p w:rsidRPr="00BD2909" w:rsidR="00BA06D0" w:rsidP="00405711" w:rsidRDefault="00BA06D0" w14:paraId="2BEB99C5" w14:textId="77777777">
      <w:pPr>
        <w:pStyle w:val="paragraph"/>
        <w:spacing w:before="0" w:beforeAutospacing="0" w:after="0" w:afterAutospacing="0" w:line="360" w:lineRule="auto"/>
        <w:ind w:left="720"/>
        <w:textAlignment w:val="baseline"/>
        <w:rPr>
          <w:rFonts w:ascii="Aptos" w:hAnsi="Aptos" w:cs="Arial"/>
          <w:sz w:val="22"/>
          <w:szCs w:val="22"/>
        </w:rPr>
      </w:pPr>
    </w:p>
    <w:p w:rsidRPr="00BD2909" w:rsidR="00BD2909" w:rsidP="001F3B1B" w:rsidRDefault="00BD2909" w14:paraId="25D926A3" w14:textId="77777777">
      <w:pPr>
        <w:pStyle w:val="paragraph"/>
        <w:numPr>
          <w:ilvl w:val="0"/>
          <w:numId w:val="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Aim of the Dissertation:</w:t>
      </w:r>
      <w:r w:rsidRPr="00BD2909">
        <w:rPr>
          <w:rStyle w:val="eop"/>
          <w:rFonts w:ascii="Aptos" w:hAnsi="Aptos" w:cs="Arial"/>
          <w:sz w:val="22"/>
          <w:szCs w:val="22"/>
        </w:rPr>
        <w:t> </w:t>
      </w:r>
    </w:p>
    <w:p w:rsidRPr="00BD2909" w:rsidR="00BD2909" w:rsidP="00BD2909" w:rsidRDefault="00BD2909" w14:paraId="18072CD8" w14:textId="11EB59A1">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r w:rsidRPr="00622F31" w:rsidR="00622F31">
        <w:rPr>
          <w:rStyle w:val="eop"/>
          <w:rFonts w:ascii="Aptos" w:hAnsi="Aptos" w:cs="Arial"/>
          <w:sz w:val="22"/>
          <w:szCs w:val="22"/>
        </w:rPr>
        <w:t xml:space="preserve">This dissertation's main goal is to investigate how inclusive practices, policy creation, and interprofessional cooperation might help educational environments effectively serve kids with chronic diseases.  In order to create a more egalitarian </w:t>
      </w:r>
      <w:r w:rsidRPr="00622F31" w:rsidR="00622F31">
        <w:rPr>
          <w:rStyle w:val="eop"/>
          <w:rFonts w:ascii="Aptos" w:hAnsi="Aptos" w:cs="Arial"/>
          <w:sz w:val="22"/>
          <w:szCs w:val="22"/>
        </w:rPr>
        <w:t>and health-conscious educational system, the research aims to find practical methods that improve academic engagement, emotional health, and long-term educational outcomes.</w:t>
      </w:r>
    </w:p>
    <w:p w:rsidR="00BD2909" w:rsidP="524D1DFC" w:rsidRDefault="00BD2909" w14:paraId="66501BF4" w14:textId="764697DD">
      <w:pPr>
        <w:pStyle w:val="paragraph"/>
        <w:spacing w:before="0" w:beforeAutospacing="off" w:after="0" w:afterAutospacing="off" w:line="360" w:lineRule="auto"/>
        <w:textAlignment w:val="baseline"/>
        <w:rPr>
          <w:rStyle w:val="eop"/>
          <w:rFonts w:ascii="Aptos" w:hAnsi="Aptos" w:cs="Arial"/>
          <w:color w:val="0F4761"/>
        </w:rPr>
      </w:pPr>
      <w:r w:rsidRPr="524D1DFC" w:rsidR="031E6882">
        <w:rPr>
          <w:rStyle w:val="normaltextrun"/>
          <w:rFonts w:ascii="Aptos" w:hAnsi="Aptos" w:cs="Arial"/>
          <w:color w:val="0F4761"/>
        </w:rPr>
        <w:t>1.2 Definitions and Terminology</w:t>
      </w:r>
    </w:p>
    <w:p w:rsidR="006D3F80" w:rsidP="00BD2909" w:rsidRDefault="006D3F80" w14:paraId="49EC326D" w14:textId="77777777">
      <w:pPr>
        <w:pStyle w:val="paragraph"/>
        <w:spacing w:before="0" w:beforeAutospacing="0" w:after="0" w:afterAutospacing="0" w:line="360" w:lineRule="auto"/>
        <w:textAlignment w:val="baseline"/>
        <w:rPr>
          <w:rFonts w:ascii="Aptos" w:hAnsi="Aptos" w:cs="Segoe UI"/>
        </w:rPr>
      </w:pPr>
    </w:p>
    <w:p w:rsidRPr="006D3F80" w:rsidR="006D3F80" w:rsidP="00BD2909" w:rsidRDefault="006D3F80" w14:paraId="6E1FE10B" w14:textId="6AD36903">
      <w:pPr>
        <w:pStyle w:val="paragraph"/>
        <w:spacing w:before="0" w:beforeAutospacing="0" w:after="0" w:afterAutospacing="0" w:line="360" w:lineRule="auto"/>
        <w:textAlignment w:val="baseline"/>
        <w:rPr>
          <w:rFonts w:ascii="Aptos" w:hAnsi="Aptos" w:cs="Segoe UI"/>
        </w:rPr>
      </w:pPr>
      <w:r w:rsidRPr="006D3F80">
        <w:rPr>
          <w:rFonts w:ascii="Aptos" w:hAnsi="Aptos" w:cs="Segoe UI"/>
        </w:rPr>
        <w:t>Understanding the breadth and focus of this dissertation on assisting children with chronic illnesses in educational settings requires precise definitions of important terms</w:t>
      </w:r>
      <w:r w:rsidR="00C91B3A">
        <w:rPr>
          <w:rFonts w:ascii="Aptos" w:hAnsi="Aptos" w:cs="Segoe UI"/>
        </w:rPr>
        <w:t>.</w:t>
      </w:r>
    </w:p>
    <w:p w:rsidR="00BD2909" w:rsidP="001F3B1B" w:rsidRDefault="00BD2909" w14:paraId="2A4D5667" w14:textId="77777777">
      <w:pPr>
        <w:pStyle w:val="paragraph"/>
        <w:numPr>
          <w:ilvl w:val="0"/>
          <w:numId w:val="6"/>
        </w:numPr>
        <w:tabs>
          <w:tab w:val="clear" w:pos="720"/>
          <w:tab w:val="num" w:pos="0"/>
        </w:tabs>
        <w:spacing w:before="0" w:beforeAutospacing="0" w:after="0" w:afterAutospacing="0" w:line="360" w:lineRule="auto"/>
        <w:ind w:left="0" w:firstLine="0"/>
        <w:textAlignment w:val="baseline"/>
        <w:rPr>
          <w:rStyle w:val="eop"/>
          <w:rFonts w:ascii="Aptos" w:hAnsi="Aptos" w:cs="Arial"/>
          <w:sz w:val="22"/>
          <w:szCs w:val="22"/>
        </w:rPr>
      </w:pPr>
      <w:r w:rsidRPr="00BD2909">
        <w:rPr>
          <w:rStyle w:val="normaltextrun"/>
          <w:rFonts w:ascii="Aptos" w:hAnsi="Aptos" w:cs="Arial"/>
          <w:b/>
          <w:bCs/>
          <w:sz w:val="22"/>
          <w:szCs w:val="22"/>
        </w:rPr>
        <w:t>Key Definitions:</w:t>
      </w:r>
      <w:r w:rsidRPr="00BD2909">
        <w:rPr>
          <w:rStyle w:val="eop"/>
          <w:rFonts w:ascii="Aptos" w:hAnsi="Aptos" w:cs="Arial"/>
          <w:sz w:val="22"/>
          <w:szCs w:val="22"/>
        </w:rPr>
        <w:t> </w:t>
      </w:r>
    </w:p>
    <w:p w:rsidR="00291C90" w:rsidP="00291C90" w:rsidRDefault="00761F00" w14:paraId="1515D495" w14:textId="3C3FAE08">
      <w:pPr>
        <w:pStyle w:val="paragraph"/>
        <w:spacing w:before="0" w:beforeAutospacing="0" w:after="0" w:afterAutospacing="0" w:line="360" w:lineRule="auto"/>
        <w:textAlignment w:val="baseline"/>
        <w:rPr>
          <w:rFonts w:ascii="Aptos" w:hAnsi="Aptos" w:cs="Arial"/>
          <w:sz w:val="22"/>
          <w:szCs w:val="22"/>
        </w:rPr>
      </w:pPr>
      <w:r w:rsidRPr="00761F00">
        <w:rPr>
          <w:rFonts w:ascii="Aptos" w:hAnsi="Aptos" w:cs="Arial"/>
          <w:sz w:val="22"/>
          <w:szCs w:val="22"/>
        </w:rPr>
        <w:t>A chronic illness is a long-term, persistent, frequently lifelong physical or mental health problem that usually necessitates continuous medical care</w:t>
      </w:r>
      <w:r w:rsidR="00C91B3A">
        <w:rPr>
          <w:rFonts w:ascii="Aptos" w:hAnsi="Aptos" w:cs="Arial"/>
          <w:sz w:val="22"/>
          <w:szCs w:val="22"/>
        </w:rPr>
        <w:t xml:space="preserve"> </w:t>
      </w:r>
      <w:r w:rsidRPr="00C91B3A" w:rsidR="00C91B3A">
        <w:rPr>
          <w:rFonts w:ascii="Aptos" w:hAnsi="Aptos" w:cs="Arial"/>
          <w:sz w:val="22"/>
          <w:szCs w:val="22"/>
        </w:rPr>
        <w:t>(World Health Organization [WHO], 2020).</w:t>
      </w:r>
      <w:r w:rsidR="00D57EA8">
        <w:rPr>
          <w:rFonts w:ascii="Aptos" w:hAnsi="Aptos" w:cs="Arial"/>
          <w:sz w:val="22"/>
          <w:szCs w:val="22"/>
        </w:rPr>
        <w:t xml:space="preserve"> </w:t>
      </w:r>
      <w:r w:rsidRPr="00D57EA8" w:rsidR="00D57EA8">
        <w:rPr>
          <w:rFonts w:ascii="Aptos" w:hAnsi="Aptos" w:cs="Arial"/>
          <w:sz w:val="22"/>
          <w:szCs w:val="22"/>
        </w:rPr>
        <w:t>Asthma, diabetes, epilepsy, PKU, and juvenile arthritis are examples of chronic disorders in children that can vary in severity and affect day-to-day functioning</w:t>
      </w:r>
      <w:r w:rsidR="00F46BDA">
        <w:rPr>
          <w:rFonts w:ascii="Aptos" w:hAnsi="Aptos" w:cs="Arial"/>
          <w:sz w:val="22"/>
          <w:szCs w:val="22"/>
        </w:rPr>
        <w:t xml:space="preserve"> </w:t>
      </w:r>
      <w:r w:rsidRPr="00F46BDA" w:rsidR="00F46BDA">
        <w:rPr>
          <w:rFonts w:ascii="Aptos" w:hAnsi="Aptos" w:cs="Arial"/>
          <w:sz w:val="22"/>
          <w:szCs w:val="22"/>
        </w:rPr>
        <w:t>(</w:t>
      </w:r>
      <w:proofErr w:type="spellStart"/>
      <w:r w:rsidRPr="00F46BDA" w:rsidR="00F46BDA">
        <w:rPr>
          <w:rFonts w:ascii="Aptos" w:hAnsi="Aptos" w:cs="Arial"/>
          <w:sz w:val="22"/>
          <w:szCs w:val="22"/>
        </w:rPr>
        <w:t>Compas</w:t>
      </w:r>
      <w:proofErr w:type="spellEnd"/>
      <w:r w:rsidRPr="00F46BDA" w:rsidR="00F46BDA">
        <w:rPr>
          <w:rFonts w:ascii="Aptos" w:hAnsi="Aptos" w:cs="Arial"/>
          <w:sz w:val="22"/>
          <w:szCs w:val="22"/>
        </w:rPr>
        <w:t xml:space="preserve"> et al., 2011)</w:t>
      </w:r>
      <w:r w:rsidR="00F46BDA">
        <w:rPr>
          <w:rFonts w:ascii="Aptos" w:hAnsi="Aptos" w:cs="Arial"/>
          <w:sz w:val="22"/>
          <w:szCs w:val="22"/>
        </w:rPr>
        <w:t>.</w:t>
      </w:r>
      <w:r w:rsidR="00280BF4">
        <w:rPr>
          <w:rFonts w:ascii="Aptos" w:hAnsi="Aptos" w:cs="Arial"/>
          <w:sz w:val="22"/>
          <w:szCs w:val="22"/>
        </w:rPr>
        <w:t xml:space="preserve"> </w:t>
      </w:r>
      <w:r w:rsidRPr="00280BF4" w:rsidR="00280BF4">
        <w:rPr>
          <w:rFonts w:ascii="Aptos" w:hAnsi="Aptos" w:cs="Arial"/>
          <w:sz w:val="22"/>
          <w:szCs w:val="22"/>
        </w:rPr>
        <w:t>The investigation of how schools might adjust to accommodate kids whose health requirements are ongoing rather than transient is based on this definition, which is crucial to the study.</w:t>
      </w:r>
    </w:p>
    <w:p w:rsidR="00750A75" w:rsidP="00291C90" w:rsidRDefault="00750A75" w14:paraId="4C8D1065" w14:textId="77777777">
      <w:pPr>
        <w:pStyle w:val="paragraph"/>
        <w:spacing w:before="0" w:beforeAutospacing="0" w:after="0" w:afterAutospacing="0" w:line="360" w:lineRule="auto"/>
        <w:textAlignment w:val="baseline"/>
        <w:rPr>
          <w:rFonts w:ascii="Aptos" w:hAnsi="Aptos" w:cs="Arial"/>
          <w:sz w:val="22"/>
          <w:szCs w:val="22"/>
        </w:rPr>
      </w:pPr>
    </w:p>
    <w:p w:rsidR="00EF3695" w:rsidP="00291C90" w:rsidRDefault="00EF3695" w14:paraId="6A5F008D" w14:textId="087BFEA4">
      <w:pPr>
        <w:pStyle w:val="paragraph"/>
        <w:spacing w:before="0" w:beforeAutospacing="0" w:after="0" w:afterAutospacing="0" w:line="360" w:lineRule="auto"/>
        <w:textAlignment w:val="baseline"/>
        <w:rPr>
          <w:rFonts w:ascii="Aptos" w:hAnsi="Aptos" w:cs="Arial"/>
          <w:sz w:val="22"/>
          <w:szCs w:val="22"/>
        </w:rPr>
      </w:pPr>
      <w:r w:rsidRPr="00EF3695">
        <w:rPr>
          <w:rFonts w:ascii="Aptos" w:hAnsi="Aptos" w:cs="Arial"/>
          <w:sz w:val="22"/>
          <w:szCs w:val="22"/>
        </w:rPr>
        <w:t>The process of ensuring that all students, regardless of ability, health, or background, may fully engage in learning environments that cater to their specific needs is known as inclusive education</w:t>
      </w:r>
      <w:r>
        <w:rPr>
          <w:rFonts w:ascii="Aptos" w:hAnsi="Aptos" w:cs="Arial"/>
          <w:sz w:val="22"/>
          <w:szCs w:val="22"/>
        </w:rPr>
        <w:t xml:space="preserve"> </w:t>
      </w:r>
      <w:r w:rsidRPr="00E65019" w:rsidR="00E65019">
        <w:rPr>
          <w:rFonts w:ascii="Aptos" w:hAnsi="Aptos" w:cs="Arial"/>
          <w:sz w:val="22"/>
          <w:szCs w:val="22"/>
        </w:rPr>
        <w:t>(UNESCO, 2017).</w:t>
      </w:r>
      <w:r w:rsidR="00E65019">
        <w:rPr>
          <w:rFonts w:ascii="Aptos" w:hAnsi="Aptos" w:cs="Arial"/>
          <w:sz w:val="22"/>
          <w:szCs w:val="22"/>
        </w:rPr>
        <w:t xml:space="preserve"> </w:t>
      </w:r>
      <w:r w:rsidRPr="00C01245" w:rsidR="00C01245">
        <w:rPr>
          <w:rFonts w:ascii="Aptos" w:hAnsi="Aptos" w:cs="Arial"/>
          <w:sz w:val="22"/>
          <w:szCs w:val="22"/>
        </w:rPr>
        <w:t>In this context, inclusion entails removing obstacles that impede children with chronic illnesses from having equal access to education.</w:t>
      </w:r>
    </w:p>
    <w:p w:rsidR="00533244" w:rsidP="00291C90" w:rsidRDefault="00533244" w14:paraId="0B94F504" w14:textId="77777777">
      <w:pPr>
        <w:pStyle w:val="paragraph"/>
        <w:spacing w:before="0" w:beforeAutospacing="0" w:after="0" w:afterAutospacing="0" w:line="360" w:lineRule="auto"/>
        <w:textAlignment w:val="baseline"/>
        <w:rPr>
          <w:rFonts w:ascii="Aptos" w:hAnsi="Aptos" w:cs="Arial"/>
          <w:sz w:val="22"/>
          <w:szCs w:val="22"/>
        </w:rPr>
      </w:pPr>
    </w:p>
    <w:p w:rsidR="00533244" w:rsidP="00291C90" w:rsidRDefault="00E244D7" w14:paraId="4710B361" w14:textId="03E0AD41">
      <w:pPr>
        <w:pStyle w:val="paragraph"/>
        <w:spacing w:before="0" w:beforeAutospacing="0" w:after="0" w:afterAutospacing="0" w:line="360" w:lineRule="auto"/>
        <w:textAlignment w:val="baseline"/>
        <w:rPr>
          <w:rFonts w:ascii="Aptos" w:hAnsi="Aptos" w:cs="Arial"/>
          <w:sz w:val="22"/>
          <w:szCs w:val="22"/>
        </w:rPr>
      </w:pPr>
      <w:r w:rsidRPr="00E244D7">
        <w:rPr>
          <w:rFonts w:ascii="Aptos" w:hAnsi="Aptos" w:cs="Arial"/>
          <w:sz w:val="22"/>
          <w:szCs w:val="22"/>
        </w:rPr>
        <w:t>This phrase refers to the social, emotional, and intellectual tactics used by schools to support children with chronic illnesses' learning and well-being</w:t>
      </w:r>
      <w:r w:rsidR="00051148">
        <w:rPr>
          <w:rFonts w:ascii="Aptos" w:hAnsi="Aptos" w:cs="Arial"/>
          <w:sz w:val="22"/>
          <w:szCs w:val="22"/>
        </w:rPr>
        <w:t xml:space="preserve"> </w:t>
      </w:r>
      <w:r w:rsidRPr="00051148" w:rsidR="00051148">
        <w:rPr>
          <w:rFonts w:ascii="Aptos" w:hAnsi="Aptos" w:cs="Arial"/>
          <w:sz w:val="22"/>
          <w:szCs w:val="22"/>
        </w:rPr>
        <w:t>(Herlitz et al., 2025).</w:t>
      </w:r>
    </w:p>
    <w:p w:rsidRPr="00BD2909" w:rsidR="00E244D7" w:rsidP="00291C90" w:rsidRDefault="00E244D7" w14:paraId="55E045B0" w14:textId="77777777">
      <w:pPr>
        <w:pStyle w:val="paragraph"/>
        <w:spacing w:before="0" w:beforeAutospacing="0" w:after="0" w:afterAutospacing="0" w:line="360" w:lineRule="auto"/>
        <w:textAlignment w:val="baseline"/>
        <w:rPr>
          <w:rFonts w:ascii="Aptos" w:hAnsi="Aptos" w:cs="Arial"/>
          <w:sz w:val="22"/>
          <w:szCs w:val="22"/>
        </w:rPr>
      </w:pPr>
    </w:p>
    <w:p w:rsidRPr="00BD2909" w:rsidR="00BD2909" w:rsidP="001F3B1B" w:rsidRDefault="00BD2909" w14:paraId="1C096159" w14:textId="77777777">
      <w:pPr>
        <w:pStyle w:val="paragraph"/>
        <w:numPr>
          <w:ilvl w:val="0"/>
          <w:numId w:val="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Acronyms and Abbreviations:</w:t>
      </w:r>
      <w:r w:rsidRPr="00BD2909">
        <w:rPr>
          <w:rStyle w:val="eop"/>
          <w:rFonts w:ascii="Aptos" w:hAnsi="Aptos" w:cs="Arial"/>
          <w:sz w:val="22"/>
          <w:szCs w:val="22"/>
        </w:rPr>
        <w:t> </w:t>
      </w:r>
    </w:p>
    <w:p w:rsidRPr="00070782" w:rsidR="00070782" w:rsidP="00070782" w:rsidRDefault="00070782" w14:paraId="35899DB5" w14:textId="77777777">
      <w:pPr>
        <w:pStyle w:val="paragraph"/>
        <w:numPr>
          <w:ilvl w:val="1"/>
          <w:numId w:val="9"/>
        </w:numPr>
        <w:spacing w:after="0"/>
        <w:textAlignment w:val="baseline"/>
        <w:rPr>
          <w:rStyle w:val="eop"/>
          <w:rFonts w:ascii="Aptos" w:hAnsi="Aptos" w:cs="Arial"/>
          <w:sz w:val="22"/>
          <w:szCs w:val="22"/>
        </w:rPr>
      </w:pPr>
      <w:r w:rsidRPr="00070782">
        <w:rPr>
          <w:rStyle w:val="eop"/>
          <w:rFonts w:ascii="Aptos" w:hAnsi="Aptos" w:cs="Arial"/>
          <w:sz w:val="22"/>
          <w:szCs w:val="22"/>
        </w:rPr>
        <w:t>WHO – World Health Organization</w:t>
      </w:r>
    </w:p>
    <w:p w:rsidR="00070782" w:rsidP="00070782" w:rsidRDefault="00070782" w14:paraId="4B2B8C09" w14:textId="77777777">
      <w:pPr>
        <w:pStyle w:val="paragraph"/>
        <w:spacing w:after="0"/>
        <w:ind w:left="720"/>
        <w:textAlignment w:val="baseline"/>
        <w:rPr>
          <w:rStyle w:val="eop"/>
          <w:rFonts w:ascii="Aptos" w:hAnsi="Aptos" w:cs="Arial"/>
          <w:sz w:val="22"/>
          <w:szCs w:val="22"/>
        </w:rPr>
      </w:pPr>
    </w:p>
    <w:p w:rsidRPr="00070782" w:rsidR="00070782" w:rsidP="002279D1" w:rsidRDefault="00070782" w14:paraId="2BCB1BF2" w14:textId="0126DE51">
      <w:pPr>
        <w:pStyle w:val="paragraph"/>
        <w:numPr>
          <w:ilvl w:val="1"/>
          <w:numId w:val="9"/>
        </w:numPr>
        <w:spacing w:after="0"/>
        <w:textAlignment w:val="baseline"/>
        <w:rPr>
          <w:rStyle w:val="eop"/>
          <w:rFonts w:ascii="Aptos" w:hAnsi="Aptos" w:cs="Arial"/>
          <w:sz w:val="22"/>
          <w:szCs w:val="22"/>
        </w:rPr>
      </w:pPr>
      <w:r w:rsidRPr="00070782">
        <w:rPr>
          <w:rStyle w:val="eop"/>
          <w:rFonts w:ascii="Aptos" w:hAnsi="Aptos" w:cs="Arial"/>
          <w:sz w:val="22"/>
          <w:szCs w:val="22"/>
        </w:rPr>
        <w:t>IEP – Individualized Education Plan: a document outlining tailored educational goals and support for students with special or health-related needs.</w:t>
      </w:r>
    </w:p>
    <w:p w:rsidRPr="00070782" w:rsidR="00070782" w:rsidP="00070782" w:rsidRDefault="00070782" w14:paraId="29FBD9DF" w14:textId="77777777">
      <w:pPr>
        <w:pStyle w:val="paragraph"/>
        <w:spacing w:after="0"/>
        <w:ind w:left="1080"/>
        <w:textAlignment w:val="baseline"/>
        <w:rPr>
          <w:rStyle w:val="eop"/>
          <w:rFonts w:ascii="Aptos" w:hAnsi="Aptos" w:cs="Arial"/>
          <w:sz w:val="22"/>
          <w:szCs w:val="22"/>
        </w:rPr>
      </w:pPr>
    </w:p>
    <w:p w:rsidRPr="002279D1" w:rsidR="00BD2909" w:rsidP="002279D1" w:rsidRDefault="00070782" w14:paraId="4BC66D2F" w14:textId="7C5E7E2F">
      <w:pPr>
        <w:pStyle w:val="paragraph"/>
        <w:numPr>
          <w:ilvl w:val="1"/>
          <w:numId w:val="9"/>
        </w:numPr>
        <w:spacing w:before="0" w:beforeAutospacing="0" w:after="0" w:afterAutospacing="0" w:line="360" w:lineRule="auto"/>
        <w:textAlignment w:val="baseline"/>
        <w:rPr>
          <w:rStyle w:val="eop"/>
          <w:rFonts w:ascii="Aptos" w:hAnsi="Aptos" w:cs="Segoe UI"/>
          <w:sz w:val="16"/>
          <w:szCs w:val="16"/>
        </w:rPr>
      </w:pPr>
      <w:r w:rsidRPr="00070782">
        <w:rPr>
          <w:rStyle w:val="eop"/>
          <w:rFonts w:ascii="Aptos" w:hAnsi="Aptos" w:cs="Arial"/>
          <w:sz w:val="22"/>
          <w:szCs w:val="22"/>
        </w:rPr>
        <w:t>SEND – Special Educational Needs and Disabilities, a UK term encompassing a range of additional learning or health needs.</w:t>
      </w:r>
      <w:r w:rsidRPr="00BD2909" w:rsidR="00BD2909">
        <w:rPr>
          <w:rStyle w:val="eop"/>
          <w:rFonts w:ascii="Aptos" w:hAnsi="Aptos" w:cs="Arial"/>
          <w:sz w:val="22"/>
          <w:szCs w:val="22"/>
        </w:rPr>
        <w:t> </w:t>
      </w:r>
    </w:p>
    <w:p w:rsidR="002279D1" w:rsidP="002279D1" w:rsidRDefault="002279D1" w14:paraId="0B73F0AD" w14:textId="77777777">
      <w:pPr>
        <w:pStyle w:val="ListParagraph"/>
        <w:rPr>
          <w:rFonts w:ascii="Aptos" w:hAnsi="Aptos" w:cs="Segoe UI"/>
          <w:sz w:val="16"/>
          <w:szCs w:val="16"/>
        </w:rPr>
      </w:pPr>
    </w:p>
    <w:p w:rsidRPr="00BD2909" w:rsidR="002279D1" w:rsidP="005A3ABC" w:rsidRDefault="002279D1" w14:paraId="548EF5AE" w14:textId="77777777">
      <w:pPr>
        <w:pStyle w:val="paragraph"/>
        <w:spacing w:before="0" w:beforeAutospacing="0" w:after="0" w:afterAutospacing="0" w:line="360" w:lineRule="auto"/>
        <w:textAlignment w:val="baseline"/>
        <w:rPr>
          <w:rFonts w:ascii="Aptos" w:hAnsi="Aptos" w:cs="Segoe UI"/>
          <w:sz w:val="16"/>
          <w:szCs w:val="16"/>
        </w:rPr>
      </w:pPr>
    </w:p>
    <w:p w:rsidRPr="00BD2909" w:rsidR="00BD2909" w:rsidP="524D1DFC" w:rsidRDefault="00BD2909" w14:paraId="165773A7" w14:textId="106C55FA">
      <w:pPr>
        <w:pStyle w:val="paragraph"/>
        <w:spacing w:before="0" w:beforeAutospacing="off" w:after="0" w:afterAutospacing="off" w:line="360" w:lineRule="auto"/>
        <w:textAlignment w:val="baseline"/>
        <w:rPr>
          <w:rFonts w:ascii="Aptos" w:hAnsi="Aptos" w:cs="Segoe UI"/>
          <w:color w:val="0F4761"/>
          <w:sz w:val="16"/>
          <w:szCs w:val="16"/>
        </w:rPr>
      </w:pPr>
      <w:r w:rsidRPr="524D1DFC" w:rsidR="031E6882">
        <w:rPr>
          <w:rStyle w:val="normaltextrun"/>
          <w:rFonts w:ascii="Aptos" w:hAnsi="Aptos" w:cs="Arial"/>
          <w:color w:val="0F4761"/>
        </w:rPr>
        <w:t>1.3 Rationale for Research</w:t>
      </w:r>
      <w:r w:rsidRPr="524D1DFC" w:rsidR="031E6882">
        <w:rPr>
          <w:rStyle w:val="eop"/>
          <w:rFonts w:ascii="Aptos" w:hAnsi="Aptos" w:cs="Arial"/>
          <w:color w:val="0F4761"/>
        </w:rPr>
        <w:t> </w:t>
      </w:r>
    </w:p>
    <w:p w:rsidR="00BD2909" w:rsidP="00F02373" w:rsidRDefault="00F02373" w14:paraId="33FC7D66" w14:textId="68A3072B">
      <w:pPr>
        <w:pStyle w:val="paragraph"/>
        <w:spacing w:before="0" w:beforeAutospacing="0" w:after="0" w:afterAutospacing="0" w:line="360" w:lineRule="auto"/>
        <w:textAlignment w:val="baseline"/>
        <w:rPr>
          <w:rFonts w:ascii="Aptos" w:hAnsi="Aptos" w:cs="Arial"/>
          <w:sz w:val="22"/>
          <w:szCs w:val="22"/>
        </w:rPr>
      </w:pPr>
      <w:r w:rsidRPr="00F02373">
        <w:rPr>
          <w:rFonts w:ascii="Aptos" w:hAnsi="Aptos" w:cs="Arial"/>
          <w:sz w:val="22"/>
          <w:szCs w:val="22"/>
        </w:rPr>
        <w:t>The goal of this study is to investigate how inclusive practices, customised treatments, and improved cooperation between schools, families, and healthcare professionals might help educational systems better support children with chronic health conditions.  Childhood chronic illnesses are becoming more common, placing difficult emotional, social, and educational demands on kids and institutions</w:t>
      </w:r>
      <w:r w:rsidR="00DA5B44">
        <w:rPr>
          <w:rFonts w:ascii="Aptos" w:hAnsi="Aptos" w:cs="Arial"/>
          <w:sz w:val="22"/>
          <w:szCs w:val="22"/>
        </w:rPr>
        <w:t xml:space="preserve"> (</w:t>
      </w:r>
      <w:r w:rsidRPr="00DA5B44" w:rsidR="00DA5B44">
        <w:rPr>
          <w:rFonts w:ascii="Aptos" w:hAnsi="Aptos" w:cs="Arial"/>
          <w:sz w:val="22"/>
          <w:szCs w:val="22"/>
        </w:rPr>
        <w:t>Van der Lee et al., 2017).</w:t>
      </w:r>
      <w:r w:rsidR="00DA5B44">
        <w:rPr>
          <w:rFonts w:ascii="Aptos" w:hAnsi="Aptos" w:cs="Arial"/>
          <w:sz w:val="22"/>
          <w:szCs w:val="22"/>
        </w:rPr>
        <w:t xml:space="preserve"> </w:t>
      </w:r>
      <w:r w:rsidRPr="009F13CC" w:rsidR="009F13CC">
        <w:rPr>
          <w:rFonts w:ascii="Aptos" w:hAnsi="Aptos" w:cs="Arial"/>
          <w:sz w:val="22"/>
          <w:szCs w:val="22"/>
        </w:rPr>
        <w:t>This topic is of great modern significance since children with chronic diseases frequently have greater rates of absence, anxiety, exhaustion, and loss of educational continuity</w:t>
      </w:r>
      <w:r w:rsidR="009F13CC">
        <w:rPr>
          <w:rFonts w:ascii="Aptos" w:hAnsi="Aptos" w:cs="Arial"/>
          <w:sz w:val="22"/>
          <w:szCs w:val="22"/>
        </w:rPr>
        <w:t xml:space="preserve"> </w:t>
      </w:r>
      <w:r w:rsidRPr="00645B07" w:rsidR="00645B07">
        <w:rPr>
          <w:rFonts w:ascii="Aptos" w:hAnsi="Aptos" w:cs="Arial"/>
          <w:sz w:val="22"/>
          <w:szCs w:val="22"/>
        </w:rPr>
        <w:t>(Coyne et al., 2022).</w:t>
      </w:r>
    </w:p>
    <w:p w:rsidR="007866AA" w:rsidP="00F02373" w:rsidRDefault="007866AA" w14:paraId="04B6A032" w14:textId="1BE321C8">
      <w:pPr>
        <w:pStyle w:val="paragraph"/>
        <w:spacing w:before="0" w:beforeAutospacing="0" w:after="0" w:afterAutospacing="0" w:line="360" w:lineRule="auto"/>
        <w:textAlignment w:val="baseline"/>
        <w:rPr>
          <w:rFonts w:ascii="Aptos" w:hAnsi="Aptos" w:cs="Arial"/>
          <w:sz w:val="22"/>
          <w:szCs w:val="22"/>
        </w:rPr>
      </w:pPr>
      <w:r w:rsidRPr="007866AA">
        <w:rPr>
          <w:rFonts w:ascii="Aptos" w:hAnsi="Aptos" w:cs="Arial"/>
          <w:sz w:val="22"/>
          <w:szCs w:val="22"/>
        </w:rPr>
        <w:t>There are still large gaps in the literature about how schools can methodically plan for, implement, and assess inclusive support strategies for this group, despite increased awareness.  For instance, reviews show that although children with chronic diseases have lower levels of engagement and academic performance, there is no empirical data regarding successful school-based interventions and how these relate to health-education partnership</w:t>
      </w:r>
      <w:r w:rsidRPr="008D67B7" w:rsidR="008D67B7">
        <w:t xml:space="preserve"> </w:t>
      </w:r>
      <w:r w:rsidR="008D67B7">
        <w:t>(</w:t>
      </w:r>
      <w:r w:rsidRPr="008D67B7" w:rsidR="008D67B7">
        <w:rPr>
          <w:rFonts w:ascii="Aptos" w:hAnsi="Aptos" w:cs="Arial"/>
          <w:sz w:val="22"/>
          <w:szCs w:val="22"/>
        </w:rPr>
        <w:t>Nichols et al., 2023)</w:t>
      </w:r>
      <w:r w:rsidR="008D67B7">
        <w:rPr>
          <w:rFonts w:ascii="Aptos" w:hAnsi="Aptos" w:cs="Arial"/>
          <w:sz w:val="22"/>
          <w:szCs w:val="22"/>
        </w:rPr>
        <w:t xml:space="preserve">. </w:t>
      </w:r>
      <w:r w:rsidR="00BF155C">
        <w:rPr>
          <w:rFonts w:ascii="Aptos" w:hAnsi="Aptos" w:cs="Arial"/>
          <w:sz w:val="22"/>
          <w:szCs w:val="22"/>
        </w:rPr>
        <w:t xml:space="preserve"> </w:t>
      </w:r>
      <w:r w:rsidRPr="004F672A" w:rsidR="004F672A">
        <w:rPr>
          <w:rFonts w:ascii="Aptos" w:hAnsi="Aptos" w:cs="Arial"/>
          <w:sz w:val="22"/>
          <w:szCs w:val="22"/>
        </w:rPr>
        <w:t>Furthermore, rather than the comprehensive educational experience or long-term achievement in mainstream education, many studies concentrate on health or medical results</w:t>
      </w:r>
      <w:r w:rsidR="004F672A">
        <w:rPr>
          <w:rFonts w:ascii="Aptos" w:hAnsi="Aptos" w:cs="Arial"/>
          <w:sz w:val="22"/>
          <w:szCs w:val="22"/>
        </w:rPr>
        <w:t xml:space="preserve"> </w:t>
      </w:r>
      <w:r w:rsidRPr="002B48CD" w:rsidR="002B48CD">
        <w:rPr>
          <w:rFonts w:ascii="Aptos" w:hAnsi="Aptos" w:cs="Arial"/>
          <w:sz w:val="22"/>
          <w:szCs w:val="22"/>
        </w:rPr>
        <w:t>(Smith &amp; Jones, 2021).</w:t>
      </w:r>
    </w:p>
    <w:p w:rsidR="00B804EE" w:rsidP="00F02373" w:rsidRDefault="00B804EE" w14:paraId="439E1394" w14:textId="77777777">
      <w:pPr>
        <w:pStyle w:val="paragraph"/>
        <w:spacing w:before="0" w:beforeAutospacing="0" w:after="0" w:afterAutospacing="0" w:line="360" w:lineRule="auto"/>
        <w:textAlignment w:val="baseline"/>
        <w:rPr>
          <w:rFonts w:ascii="Aptos" w:hAnsi="Aptos" w:cs="Arial"/>
          <w:sz w:val="22"/>
          <w:szCs w:val="22"/>
        </w:rPr>
      </w:pPr>
    </w:p>
    <w:p w:rsidRPr="00BD2909" w:rsidR="00B804EE" w:rsidP="00F02373" w:rsidRDefault="00447699" w14:paraId="2219E156" w14:textId="36F8851D">
      <w:pPr>
        <w:pStyle w:val="paragraph"/>
        <w:spacing w:before="0" w:beforeAutospacing="0" w:after="0" w:afterAutospacing="0" w:line="360" w:lineRule="auto"/>
        <w:textAlignment w:val="baseline"/>
        <w:rPr>
          <w:rFonts w:ascii="Aptos" w:hAnsi="Aptos" w:cs="Arial"/>
          <w:sz w:val="22"/>
          <w:szCs w:val="22"/>
        </w:rPr>
      </w:pPr>
      <w:r w:rsidRPr="00447699">
        <w:rPr>
          <w:rFonts w:ascii="Aptos" w:hAnsi="Aptos" w:cs="Arial"/>
          <w:sz w:val="22"/>
          <w:szCs w:val="22"/>
        </w:rPr>
        <w:t>By examining how health-education integration can inform educational practices and policies and by identifying potential interventions that improve academic involvement and well-being for children with chronic diseases, this dissertation seeks to close these gaps.  By ensuring that children whose health state poses persistent obstacles are not disadvantaged, our research seeks to contribute to the larger conversation on equity in education.</w:t>
      </w:r>
    </w:p>
    <w:p w:rsidRPr="00BD2909" w:rsidR="00BD2909" w:rsidP="00BD2909" w:rsidRDefault="00BD2909" w14:paraId="75E17D56" w14:textId="77777777">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rsidR="00BD2909" w:rsidP="524D1DFC" w:rsidRDefault="00BD2909" w14:paraId="669241A7" w14:textId="41954A1E">
      <w:pPr>
        <w:pStyle w:val="paragraph"/>
        <w:spacing w:before="0" w:beforeAutospacing="off" w:after="0" w:afterAutospacing="off" w:line="360" w:lineRule="auto"/>
        <w:textAlignment w:val="baseline"/>
        <w:rPr>
          <w:rStyle w:val="eop"/>
          <w:rFonts w:ascii="Aptos" w:hAnsi="Aptos" w:cs="Arial"/>
          <w:color w:val="0F4761"/>
        </w:rPr>
      </w:pPr>
      <w:r w:rsidRPr="524D1DFC" w:rsidR="031E6882">
        <w:rPr>
          <w:rStyle w:val="normaltextrun"/>
          <w:rFonts w:ascii="Aptos" w:hAnsi="Aptos" w:cs="Arial"/>
          <w:color w:val="0F4761"/>
        </w:rPr>
        <w:t>1.4 Aim and Objectives</w:t>
      </w:r>
      <w:r w:rsidRPr="524D1DFC" w:rsidR="031E6882">
        <w:rPr>
          <w:rStyle w:val="eop"/>
          <w:rFonts w:ascii="Aptos" w:hAnsi="Aptos" w:cs="Arial"/>
          <w:color w:val="0F4761"/>
        </w:rPr>
        <w:t> </w:t>
      </w:r>
    </w:p>
    <w:p w:rsidRPr="00BD2909" w:rsidR="0000591D" w:rsidP="00BD2909" w:rsidRDefault="0000591D" w14:paraId="41B88E09" w14:textId="77777777">
      <w:pPr>
        <w:pStyle w:val="paragraph"/>
        <w:spacing w:before="0" w:beforeAutospacing="0" w:after="0" w:afterAutospacing="0" w:line="360" w:lineRule="auto"/>
        <w:textAlignment w:val="baseline"/>
        <w:rPr>
          <w:rFonts w:ascii="Aptos" w:hAnsi="Aptos" w:cs="Segoe UI"/>
          <w:color w:val="0F4761"/>
          <w:sz w:val="16"/>
          <w:szCs w:val="16"/>
        </w:rPr>
      </w:pPr>
    </w:p>
    <w:p w:rsidR="0045571A" w:rsidP="00BD2909" w:rsidRDefault="00B97445" w14:paraId="4218D9DC" w14:textId="470DF0D5">
      <w:pPr>
        <w:pStyle w:val="paragraph"/>
        <w:spacing w:before="0" w:beforeAutospacing="0" w:after="0" w:afterAutospacing="0" w:line="360" w:lineRule="auto"/>
        <w:textAlignment w:val="baseline"/>
        <w:rPr>
          <w:rStyle w:val="eop"/>
          <w:rFonts w:ascii="Aptos" w:hAnsi="Aptos" w:cs="Arial"/>
          <w:sz w:val="22"/>
          <w:szCs w:val="22"/>
        </w:rPr>
      </w:pPr>
      <w:r w:rsidRPr="00B97445">
        <w:rPr>
          <w:rStyle w:val="eop"/>
          <w:rFonts w:ascii="Aptos" w:hAnsi="Aptos" w:cs="Arial"/>
          <w:sz w:val="22"/>
          <w:szCs w:val="22"/>
        </w:rPr>
        <w:t>This dissertation's main goal is to look at how inclusive teaching methods, health-education partnerships, and focused policy implementation might help educational environments support kids with long-term conditions.  According to research, kids with long-term medical illnesses frequently have interrupted schooling, lower academic engagement, and more social isolation</w:t>
      </w:r>
      <w:r w:rsidRPr="00AA5321" w:rsidR="00AA5321">
        <w:t xml:space="preserve"> </w:t>
      </w:r>
      <w:r w:rsidRPr="00AA5321" w:rsidR="00AA5321">
        <w:rPr>
          <w:rStyle w:val="eop"/>
          <w:rFonts w:ascii="Aptos" w:hAnsi="Aptos" w:cs="Arial"/>
          <w:sz w:val="22"/>
          <w:szCs w:val="22"/>
        </w:rPr>
        <w:t>(Lum et al., 2021; Kaffenberger, 2019).</w:t>
      </w:r>
      <w:r w:rsidR="00AA5321">
        <w:rPr>
          <w:rStyle w:val="eop"/>
          <w:rFonts w:ascii="Aptos" w:hAnsi="Aptos" w:cs="Arial"/>
          <w:sz w:val="22"/>
          <w:szCs w:val="22"/>
        </w:rPr>
        <w:t xml:space="preserve">  </w:t>
      </w:r>
      <w:r w:rsidRPr="00211D17" w:rsidR="00211D17">
        <w:rPr>
          <w:rStyle w:val="eop"/>
          <w:rFonts w:ascii="Aptos" w:hAnsi="Aptos" w:cs="Arial"/>
          <w:sz w:val="22"/>
          <w:szCs w:val="22"/>
        </w:rPr>
        <w:t>By identifying evidence-based tactics that support both educational access and emotional well-being, this study aims to solve these issues.  By doing this, the study advances the global push for fair learning opportunities for all children and the larger conversation on inclusive education</w:t>
      </w:r>
      <w:r w:rsidR="0045571A">
        <w:rPr>
          <w:rStyle w:val="eop"/>
          <w:rFonts w:ascii="Aptos" w:hAnsi="Aptos" w:cs="Arial"/>
          <w:sz w:val="22"/>
          <w:szCs w:val="22"/>
        </w:rPr>
        <w:t xml:space="preserve"> </w:t>
      </w:r>
      <w:r w:rsidRPr="0045571A" w:rsidR="0045571A">
        <w:rPr>
          <w:rStyle w:val="eop"/>
          <w:rFonts w:ascii="Aptos" w:hAnsi="Aptos" w:cs="Arial"/>
          <w:sz w:val="22"/>
          <w:szCs w:val="22"/>
        </w:rPr>
        <w:t>(Florian, 2015).</w:t>
      </w:r>
    </w:p>
    <w:p w:rsidRPr="003A5277" w:rsidR="003A5277" w:rsidP="003A5277" w:rsidRDefault="003A5277" w14:paraId="2C07378E" w14:textId="140C7435">
      <w:pPr>
        <w:pStyle w:val="paragraph"/>
        <w:spacing w:after="0"/>
        <w:textAlignment w:val="baseline"/>
        <w:rPr>
          <w:rStyle w:val="eop"/>
          <w:rFonts w:ascii="Aptos" w:hAnsi="Aptos" w:cs="Arial"/>
          <w:sz w:val="22"/>
          <w:szCs w:val="22"/>
        </w:rPr>
      </w:pPr>
      <w:r w:rsidRPr="0000591D">
        <w:rPr>
          <w:rStyle w:val="eop"/>
          <w:rFonts w:ascii="Aptos" w:hAnsi="Aptos" w:cs="Arial"/>
          <w:b/>
          <w:bCs/>
          <w:sz w:val="22"/>
          <w:szCs w:val="22"/>
        </w:rPr>
        <w:t>Research Goals:</w:t>
      </w:r>
      <w:r w:rsidRPr="003A5277">
        <w:rPr>
          <w:rStyle w:val="eop"/>
          <w:rFonts w:ascii="Aptos" w:hAnsi="Aptos" w:cs="Arial"/>
          <w:sz w:val="22"/>
          <w:szCs w:val="22"/>
        </w:rPr>
        <w:t xml:space="preserve"> The following goals have been established in order to fulfil the stated purpose:</w:t>
      </w:r>
    </w:p>
    <w:p w:rsidRPr="003A5277" w:rsidR="003A5277" w:rsidP="003A5277" w:rsidRDefault="003A5277" w14:paraId="719DC215" w14:textId="0B3DD0B1">
      <w:pPr>
        <w:pStyle w:val="paragraph"/>
        <w:spacing w:after="0"/>
        <w:textAlignment w:val="baseline"/>
        <w:rPr>
          <w:rStyle w:val="eop"/>
          <w:rFonts w:ascii="Aptos" w:hAnsi="Aptos" w:cs="Arial"/>
          <w:sz w:val="22"/>
          <w:szCs w:val="22"/>
        </w:rPr>
      </w:pPr>
      <w:r w:rsidRPr="003A5277">
        <w:rPr>
          <w:rStyle w:val="eop"/>
          <w:rFonts w:ascii="Aptos" w:hAnsi="Aptos" w:cs="Arial"/>
          <w:sz w:val="22"/>
          <w:szCs w:val="22"/>
        </w:rPr>
        <w:t xml:space="preserve"> </w:t>
      </w:r>
      <w:r w:rsidRPr="0000591D">
        <w:rPr>
          <w:rStyle w:val="eop"/>
          <w:rFonts w:ascii="Aptos" w:hAnsi="Aptos" w:cs="Arial"/>
          <w:b/>
          <w:bCs/>
          <w:sz w:val="22"/>
          <w:szCs w:val="22"/>
        </w:rPr>
        <w:t>Goal 1:</w:t>
      </w:r>
      <w:r w:rsidRPr="003A5277">
        <w:rPr>
          <w:rStyle w:val="eop"/>
          <w:rFonts w:ascii="Aptos" w:hAnsi="Aptos" w:cs="Arial"/>
          <w:sz w:val="22"/>
          <w:szCs w:val="22"/>
        </w:rPr>
        <w:t xml:space="preserve"> To critically assess the current frameworks for inclusion, educational policies, and support networks for kids with long-term diseases.</w:t>
      </w:r>
    </w:p>
    <w:p w:rsidRPr="003A5277" w:rsidR="003A5277" w:rsidP="003A5277" w:rsidRDefault="003A5277" w14:paraId="3FE78867" w14:textId="07CE99E1">
      <w:pPr>
        <w:pStyle w:val="paragraph"/>
        <w:spacing w:after="0"/>
        <w:textAlignment w:val="baseline"/>
        <w:rPr>
          <w:rStyle w:val="eop"/>
          <w:rFonts w:ascii="Aptos" w:hAnsi="Aptos" w:cs="Arial"/>
          <w:sz w:val="22"/>
          <w:szCs w:val="22"/>
        </w:rPr>
      </w:pPr>
      <w:r w:rsidRPr="003A5277">
        <w:rPr>
          <w:rStyle w:val="eop"/>
          <w:rFonts w:ascii="Aptos" w:hAnsi="Aptos" w:cs="Arial"/>
          <w:sz w:val="22"/>
          <w:szCs w:val="22"/>
        </w:rPr>
        <w:t xml:space="preserve"> </w:t>
      </w:r>
      <w:r w:rsidRPr="0000591D">
        <w:rPr>
          <w:rStyle w:val="eop"/>
          <w:rFonts w:ascii="Aptos" w:hAnsi="Aptos" w:cs="Arial"/>
          <w:b/>
          <w:bCs/>
          <w:sz w:val="22"/>
          <w:szCs w:val="22"/>
        </w:rPr>
        <w:t>Goal 2</w:t>
      </w:r>
      <w:r w:rsidRPr="003A5277">
        <w:rPr>
          <w:rStyle w:val="eop"/>
          <w:rFonts w:ascii="Aptos" w:hAnsi="Aptos" w:cs="Arial"/>
          <w:sz w:val="22"/>
          <w:szCs w:val="22"/>
        </w:rPr>
        <w:t>: To investigate the experiences and viewpoints of educators, parents, and students about the obstacles and enablers to children with chronic conditions attending school.</w:t>
      </w:r>
    </w:p>
    <w:p w:rsidRPr="003A5277" w:rsidR="003A5277" w:rsidP="003A5277" w:rsidRDefault="003A5277" w14:paraId="3BA71FAD" w14:textId="0363B003">
      <w:pPr>
        <w:pStyle w:val="paragraph"/>
        <w:spacing w:after="0"/>
        <w:textAlignment w:val="baseline"/>
        <w:rPr>
          <w:rStyle w:val="eop"/>
          <w:rFonts w:ascii="Aptos" w:hAnsi="Aptos" w:cs="Arial"/>
          <w:sz w:val="22"/>
          <w:szCs w:val="22"/>
        </w:rPr>
      </w:pPr>
      <w:r w:rsidRPr="0000591D">
        <w:rPr>
          <w:rStyle w:val="eop"/>
          <w:rFonts w:ascii="Aptos" w:hAnsi="Aptos" w:cs="Arial"/>
          <w:b/>
          <w:bCs/>
          <w:sz w:val="22"/>
          <w:szCs w:val="22"/>
        </w:rPr>
        <w:t xml:space="preserve"> Goal 3</w:t>
      </w:r>
      <w:r w:rsidRPr="003A5277">
        <w:rPr>
          <w:rStyle w:val="eop"/>
          <w:rFonts w:ascii="Aptos" w:hAnsi="Aptos" w:cs="Arial"/>
          <w:sz w:val="22"/>
          <w:szCs w:val="22"/>
        </w:rPr>
        <w:t>: Evaluate the success of existing school-based interventions and cross-sector collaborations between educators and health care providers.</w:t>
      </w:r>
    </w:p>
    <w:p w:rsidRPr="003A5277" w:rsidR="003A5277" w:rsidP="003A5277" w:rsidRDefault="003A5277" w14:paraId="0FF5768E" w14:textId="1DAA1BF0">
      <w:pPr>
        <w:pStyle w:val="paragraph"/>
        <w:spacing w:after="0"/>
        <w:textAlignment w:val="baseline"/>
        <w:rPr>
          <w:rStyle w:val="eop"/>
          <w:rFonts w:ascii="Aptos" w:hAnsi="Aptos" w:cs="Arial"/>
          <w:sz w:val="22"/>
          <w:szCs w:val="22"/>
        </w:rPr>
      </w:pPr>
      <w:r w:rsidRPr="003A5277">
        <w:rPr>
          <w:rStyle w:val="eop"/>
          <w:rFonts w:ascii="Aptos" w:hAnsi="Aptos" w:cs="Arial"/>
          <w:sz w:val="22"/>
          <w:szCs w:val="22"/>
        </w:rPr>
        <w:t xml:space="preserve"> </w:t>
      </w:r>
      <w:r w:rsidRPr="0000591D">
        <w:rPr>
          <w:rStyle w:val="eop"/>
          <w:rFonts w:ascii="Aptos" w:hAnsi="Aptos" w:cs="Arial"/>
          <w:b/>
          <w:bCs/>
          <w:sz w:val="22"/>
          <w:szCs w:val="22"/>
        </w:rPr>
        <w:t>Goal 4:</w:t>
      </w:r>
      <w:r w:rsidRPr="003A5277">
        <w:rPr>
          <w:rStyle w:val="eop"/>
          <w:rFonts w:ascii="Aptos" w:hAnsi="Aptos" w:cs="Arial"/>
          <w:sz w:val="22"/>
          <w:szCs w:val="22"/>
        </w:rPr>
        <w:t xml:space="preserve"> To provide doable suggestions for improving inclusive practices and policy coordination in order to improve the health and educational results for kids with long-term conditions.</w:t>
      </w:r>
    </w:p>
    <w:p w:rsidR="00BD2909" w:rsidP="003A5277" w:rsidRDefault="003A5277" w14:paraId="7FA3F3C5" w14:textId="56D1ED11">
      <w:pPr>
        <w:pStyle w:val="paragraph"/>
        <w:spacing w:before="0" w:beforeAutospacing="0" w:after="0" w:afterAutospacing="0" w:line="360" w:lineRule="auto"/>
        <w:textAlignment w:val="baseline"/>
        <w:rPr>
          <w:rStyle w:val="eop"/>
          <w:rFonts w:ascii="Aptos" w:hAnsi="Aptos" w:cs="Arial"/>
          <w:sz w:val="22"/>
          <w:szCs w:val="22"/>
        </w:rPr>
      </w:pPr>
      <w:r w:rsidRPr="003A5277">
        <w:rPr>
          <w:rStyle w:val="eop"/>
          <w:rFonts w:ascii="Aptos" w:hAnsi="Aptos" w:cs="Arial"/>
          <w:sz w:val="22"/>
          <w:szCs w:val="22"/>
        </w:rPr>
        <w:t xml:space="preserve"> By achieving these goals, the dissertation hopes to offer fresh perspectives on the developing fields of inclusive education and child health assistance.</w:t>
      </w:r>
      <w:r w:rsidRPr="00BD2909" w:rsidR="00BD2909">
        <w:rPr>
          <w:rStyle w:val="eop"/>
          <w:rFonts w:ascii="Aptos" w:hAnsi="Aptos" w:cs="Arial"/>
          <w:sz w:val="22"/>
          <w:szCs w:val="22"/>
        </w:rPr>
        <w:t> </w:t>
      </w:r>
    </w:p>
    <w:p w:rsidRPr="00BD2909" w:rsidR="0000591D" w:rsidP="003A5277" w:rsidRDefault="0000591D" w14:paraId="56FB7D43" w14:textId="77777777">
      <w:pPr>
        <w:pStyle w:val="paragraph"/>
        <w:spacing w:before="0" w:beforeAutospacing="0" w:after="0" w:afterAutospacing="0" w:line="360" w:lineRule="auto"/>
        <w:textAlignment w:val="baseline"/>
        <w:rPr>
          <w:rFonts w:ascii="Aptos" w:hAnsi="Aptos" w:cs="Segoe UI"/>
          <w:sz w:val="16"/>
          <w:szCs w:val="16"/>
        </w:rPr>
      </w:pPr>
    </w:p>
    <w:p w:rsidRPr="00BD2909" w:rsidR="00BD2909" w:rsidP="524D1DFC" w:rsidRDefault="00BD2909" w14:paraId="4FCBBEC2" w14:textId="6CC6E166">
      <w:pPr>
        <w:pStyle w:val="paragraph"/>
        <w:spacing w:before="0" w:beforeAutospacing="off" w:after="0" w:afterAutospacing="off" w:line="360" w:lineRule="auto"/>
        <w:textAlignment w:val="baseline"/>
        <w:rPr>
          <w:rFonts w:ascii="Aptos" w:hAnsi="Aptos" w:cs="Segoe UI"/>
          <w:color w:val="0F4761"/>
          <w:sz w:val="16"/>
          <w:szCs w:val="16"/>
        </w:rPr>
      </w:pPr>
      <w:r w:rsidRPr="524D1DFC" w:rsidR="031E6882">
        <w:rPr>
          <w:rStyle w:val="normaltextrun"/>
          <w:rFonts w:ascii="Aptos" w:hAnsi="Aptos" w:cs="Arial"/>
          <w:color w:val="0F4761"/>
        </w:rPr>
        <w:t>1.5 Conclusion</w:t>
      </w:r>
      <w:r w:rsidRPr="524D1DFC" w:rsidR="031E6882">
        <w:rPr>
          <w:rStyle w:val="eop"/>
          <w:rFonts w:ascii="Aptos" w:hAnsi="Aptos" w:cs="Arial"/>
          <w:color w:val="0F4761"/>
        </w:rPr>
        <w:t> </w:t>
      </w:r>
    </w:p>
    <w:p w:rsidR="00BD2909" w:rsidP="001F3B1B" w:rsidRDefault="00BD2909" w14:paraId="5661EB6C" w14:textId="77777777">
      <w:pPr>
        <w:pStyle w:val="paragraph"/>
        <w:numPr>
          <w:ilvl w:val="0"/>
          <w:numId w:val="22"/>
        </w:numPr>
        <w:tabs>
          <w:tab w:val="clear" w:pos="720"/>
          <w:tab w:val="num" w:pos="0"/>
        </w:tabs>
        <w:spacing w:before="0" w:beforeAutospacing="0" w:after="0" w:afterAutospacing="0" w:line="360" w:lineRule="auto"/>
        <w:ind w:left="0" w:firstLine="0"/>
        <w:textAlignment w:val="baseline"/>
        <w:rPr>
          <w:rStyle w:val="eop"/>
          <w:rFonts w:ascii="Aptos" w:hAnsi="Aptos" w:cs="Arial"/>
          <w:sz w:val="22"/>
          <w:szCs w:val="22"/>
        </w:rPr>
      </w:pPr>
      <w:r w:rsidRPr="00BD2909">
        <w:rPr>
          <w:rStyle w:val="normaltextrun"/>
          <w:rFonts w:ascii="Aptos" w:hAnsi="Aptos" w:cs="Arial"/>
          <w:b/>
          <w:bCs/>
          <w:sz w:val="22"/>
          <w:szCs w:val="22"/>
        </w:rPr>
        <w:t>Summary of Chapter 1:</w:t>
      </w:r>
      <w:r w:rsidRPr="00BD2909">
        <w:rPr>
          <w:rStyle w:val="eop"/>
          <w:rFonts w:ascii="Aptos" w:hAnsi="Aptos" w:cs="Arial"/>
          <w:sz w:val="22"/>
          <w:szCs w:val="22"/>
        </w:rPr>
        <w:t> </w:t>
      </w:r>
    </w:p>
    <w:p w:rsidR="008E2B12" w:rsidP="006673D3" w:rsidRDefault="006673D3" w14:paraId="2D94ECFC" w14:textId="77777777">
      <w:pPr>
        <w:pStyle w:val="paragraph"/>
        <w:spacing w:before="0" w:beforeAutospacing="0" w:after="0" w:afterAutospacing="0" w:line="360" w:lineRule="auto"/>
        <w:textAlignment w:val="baseline"/>
        <w:rPr>
          <w:rFonts w:ascii="Aptos" w:hAnsi="Aptos" w:cs="Arial"/>
          <w:sz w:val="22"/>
          <w:szCs w:val="22"/>
        </w:rPr>
      </w:pPr>
      <w:r w:rsidRPr="006673D3">
        <w:rPr>
          <w:rFonts w:ascii="Aptos" w:hAnsi="Aptos" w:cs="Arial"/>
          <w:sz w:val="22"/>
          <w:szCs w:val="22"/>
        </w:rPr>
        <w:t>The topic of this dissertation, which is to support children with chronic illnesses in educational settings, was introduced in Chapter 1.  It included a summary of the subject, emphasising the rising incidence of chronic illnesses in school-age children and the related emotional, social, and academic difficulties</w:t>
      </w:r>
      <w:r w:rsidR="00D015B2">
        <w:rPr>
          <w:rFonts w:ascii="Aptos" w:hAnsi="Aptos" w:cs="Arial"/>
          <w:sz w:val="22"/>
          <w:szCs w:val="22"/>
        </w:rPr>
        <w:t xml:space="preserve"> </w:t>
      </w:r>
      <w:r w:rsidRPr="00D015B2" w:rsidR="00D015B2">
        <w:rPr>
          <w:rFonts w:ascii="Aptos" w:hAnsi="Aptos" w:cs="Arial"/>
          <w:sz w:val="22"/>
          <w:szCs w:val="22"/>
        </w:rPr>
        <w:t>(Michaud et al., 2018).</w:t>
      </w:r>
      <w:r w:rsidR="00D015B2">
        <w:rPr>
          <w:rFonts w:ascii="Aptos" w:hAnsi="Aptos" w:cs="Arial"/>
          <w:sz w:val="22"/>
          <w:szCs w:val="22"/>
        </w:rPr>
        <w:t xml:space="preserve"> </w:t>
      </w:r>
      <w:r w:rsidRPr="00CF438D" w:rsidR="00CF438D">
        <w:rPr>
          <w:rFonts w:ascii="Aptos" w:hAnsi="Aptos" w:cs="Arial"/>
          <w:sz w:val="22"/>
          <w:szCs w:val="22"/>
        </w:rPr>
        <w:t>To guarantee conceptual coherence, important terms like chronic illness, inclusiveness, and educational support were made clearer.  The study's justification highlighted the necessity of filling in the gaps in cross-sector cooperation, school-based interventions, and policy implementation</w:t>
      </w:r>
      <w:r w:rsidR="00CF438D">
        <w:rPr>
          <w:rFonts w:ascii="Aptos" w:hAnsi="Aptos" w:cs="Arial"/>
          <w:sz w:val="22"/>
          <w:szCs w:val="22"/>
        </w:rPr>
        <w:t xml:space="preserve"> </w:t>
      </w:r>
      <w:r w:rsidRPr="0078716F" w:rsidR="0078716F">
        <w:rPr>
          <w:rFonts w:ascii="Aptos" w:hAnsi="Aptos" w:cs="Arial"/>
          <w:sz w:val="22"/>
          <w:szCs w:val="22"/>
        </w:rPr>
        <w:t>(Borgi et al., 2020).</w:t>
      </w:r>
      <w:r w:rsidRPr="008E2B12" w:rsidR="008E2B12">
        <w:t xml:space="preserve"> </w:t>
      </w:r>
      <w:r w:rsidRPr="008E2B12" w:rsidR="008E2B12">
        <w:rPr>
          <w:rFonts w:ascii="Aptos" w:hAnsi="Aptos" w:cs="Arial"/>
          <w:sz w:val="22"/>
          <w:szCs w:val="22"/>
        </w:rPr>
        <w:t>The chapter ended with a summary of the four particular goals that will direct the study as well as the overall research goal, which is to look into practical ways to assist these kids.</w:t>
      </w:r>
      <w:r w:rsidR="008E2B12">
        <w:rPr>
          <w:rFonts w:ascii="Aptos" w:hAnsi="Aptos" w:cs="Arial"/>
          <w:sz w:val="22"/>
          <w:szCs w:val="22"/>
        </w:rPr>
        <w:t xml:space="preserve"> </w:t>
      </w:r>
    </w:p>
    <w:p w:rsidRPr="00BD2909" w:rsidR="006673D3" w:rsidP="006673D3" w:rsidRDefault="006673D3" w14:paraId="02E8EE44" w14:textId="78D941B6">
      <w:pPr>
        <w:pStyle w:val="paragraph"/>
        <w:spacing w:before="0" w:beforeAutospacing="0" w:after="0" w:afterAutospacing="0" w:line="360" w:lineRule="auto"/>
        <w:textAlignment w:val="baseline"/>
        <w:rPr>
          <w:rFonts w:ascii="Aptos" w:hAnsi="Aptos" w:cs="Arial"/>
          <w:sz w:val="22"/>
          <w:szCs w:val="22"/>
        </w:rPr>
      </w:pPr>
    </w:p>
    <w:p w:rsidRPr="00BD2909" w:rsidR="00BD2909" w:rsidP="001F3B1B" w:rsidRDefault="00BD2909" w14:paraId="60BC6C87" w14:textId="77777777">
      <w:pPr>
        <w:pStyle w:val="paragraph"/>
        <w:numPr>
          <w:ilvl w:val="0"/>
          <w:numId w:val="2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Signposting to Chapter 2:</w:t>
      </w:r>
      <w:r w:rsidRPr="00BD2909">
        <w:rPr>
          <w:rStyle w:val="eop"/>
          <w:rFonts w:ascii="Aptos" w:hAnsi="Aptos" w:cs="Arial"/>
          <w:sz w:val="22"/>
          <w:szCs w:val="22"/>
        </w:rPr>
        <w:t> </w:t>
      </w:r>
    </w:p>
    <w:p w:rsidR="00730C3C" w:rsidRDefault="006629D9" w14:paraId="4A886E55" w14:textId="3B086C71">
      <w:r w:rsidRPr="006629D9">
        <w:t>By examining the body of research on chronic illness in educational settings, Chapter 2 will expand on this basis.  In order to discover best practices and point out areas that need more research, it will critically examine theoretical frameworks, policy recommendations, and empirical studies. This will set the stage for the research process.</w:t>
      </w:r>
    </w:p>
    <w:p w:rsidR="00730C3C" w:rsidRDefault="00730C3C" w14:paraId="115C9163" w14:textId="77777777"/>
    <w:p w:rsidR="00730C3C" w:rsidRDefault="00730C3C" w14:paraId="47D34B52" w14:textId="77777777"/>
    <w:p w:rsidR="00730C3C" w:rsidRDefault="00730C3C" w14:paraId="093E8F53" w14:textId="77777777"/>
    <w:p w:rsidR="003135AD" w:rsidRDefault="003135AD" w14:paraId="0DBC5AAB" w14:textId="77777777"/>
    <w:p w:rsidR="006A4515" w:rsidRDefault="006A4515" w14:paraId="69C79371" w14:textId="77777777"/>
    <w:p w:rsidR="00804B94" w:rsidRDefault="00804B94" w14:paraId="1E1A58B1" w14:textId="77777777"/>
    <w:p w:rsidR="003F7B00" w:rsidP="000D0641" w:rsidRDefault="003F7B00" w14:paraId="23DC6043" w14:textId="77777777">
      <w:pPr>
        <w:pStyle w:val="Heading1"/>
        <w:ind w:left="0"/>
        <w:rPr>
          <w:rFonts w:ascii="Aptos" w:hAnsi="Aptos"/>
        </w:rPr>
      </w:pPr>
    </w:p>
    <w:p w:rsidRPr="000D0641" w:rsidR="000D0641" w:rsidP="000D0641" w:rsidRDefault="000D0641" w14:paraId="33D4B98F" w14:textId="2D0FC2E7">
      <w:pPr>
        <w:pStyle w:val="Heading1"/>
        <w:ind w:left="0"/>
        <w:rPr>
          <w:rFonts w:ascii="Aptos" w:hAnsi="Aptos"/>
        </w:rPr>
      </w:pPr>
      <w:bookmarkStart w:name="_Toc213058145" w:id="3"/>
      <w:r w:rsidRPr="000D0641">
        <w:rPr>
          <w:rFonts w:ascii="Aptos" w:hAnsi="Aptos"/>
        </w:rPr>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bookmarkEnd w:id="3"/>
      <w:r w:rsidRPr="000D0641">
        <w:rPr>
          <w:rFonts w:ascii="Aptos" w:hAnsi="Aptos"/>
        </w:rPr>
        <w:t xml:space="preserve"> </w:t>
      </w:r>
    </w:p>
    <w:p w:rsidR="00BD2909" w:rsidP="00BD2909" w:rsidRDefault="00BD2909" w14:paraId="6BA7DF87" w14:textId="77777777">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rsidRPr="00F44833" w:rsidR="00BD2909" w:rsidP="524D1DFC" w:rsidRDefault="00BD2909" w14:paraId="223734F5" w14:textId="20584EB2">
      <w:pPr>
        <w:pStyle w:val="paragraph"/>
        <w:spacing w:before="0" w:beforeAutospacing="off" w:after="0" w:afterAutospacing="off" w:line="360" w:lineRule="auto"/>
        <w:textAlignment w:val="baseline"/>
        <w:rPr>
          <w:rStyle w:val="eop"/>
          <w:rFonts w:ascii="Aptos" w:hAnsi="Aptos" w:eastAsia="Calibri Light" w:cs="Arial"/>
          <w:color w:val="0F4761"/>
        </w:rPr>
      </w:pPr>
      <w:r w:rsidRPr="524D1DFC" w:rsidR="031E6882">
        <w:rPr>
          <w:rStyle w:val="normaltextrun"/>
          <w:rFonts w:ascii="Aptos" w:hAnsi="Aptos" w:cs="Arial"/>
          <w:color w:val="0F4761"/>
        </w:rPr>
        <w:t>2.1 Introduction</w:t>
      </w:r>
    </w:p>
    <w:p w:rsidR="001C7C1F" w:rsidP="00DD2F55" w:rsidRDefault="00BD2909" w14:paraId="3C5ADB6A" w14:textId="77777777">
      <w:pPr>
        <w:pStyle w:val="paragraph"/>
        <w:spacing w:before="0" w:beforeAutospacing="0" w:after="0" w:afterAutospacing="0" w:line="360" w:lineRule="auto"/>
        <w:textAlignment w:val="baseline"/>
        <w:rPr>
          <w:rStyle w:val="eop"/>
          <w:rFonts w:ascii="Aptos" w:hAnsi="Aptos" w:eastAsia="Calibri Light" w:cs="Arial"/>
          <w:sz w:val="22"/>
          <w:szCs w:val="22"/>
        </w:rPr>
      </w:pPr>
      <w:r w:rsidRPr="00F44833">
        <w:rPr>
          <w:rStyle w:val="eop"/>
          <w:rFonts w:ascii="Aptos" w:hAnsi="Aptos" w:eastAsia="Calibri Light" w:cs="Arial"/>
          <w:sz w:val="22"/>
          <w:szCs w:val="22"/>
        </w:rPr>
        <w:t> </w:t>
      </w:r>
      <w:r w:rsidRPr="00DA7C4B" w:rsidR="00DA7C4B">
        <w:rPr>
          <w:rStyle w:val="eop"/>
          <w:rFonts w:ascii="Aptos" w:hAnsi="Aptos" w:eastAsia="Calibri Light" w:cs="Arial"/>
          <w:sz w:val="22"/>
          <w:szCs w:val="22"/>
        </w:rPr>
        <w:t>This chapter's goal is to give a thorough history and contextual study of children with chronic illnesses' educational experiences.  By examining historical advancements, theoretical frameworks, and current educational practices that affect the inclusion and assistance of students with long-term health concerns, this chapter seeks to lay the groundwork for the dissertation.  To place the research within larger educational, societal, and health-related contexts, it is crucial to comprehend these components</w:t>
      </w:r>
      <w:r w:rsidR="00DA7C4B">
        <w:rPr>
          <w:rStyle w:val="eop"/>
          <w:rFonts w:ascii="Aptos" w:hAnsi="Aptos" w:eastAsia="Calibri Light" w:cs="Arial"/>
          <w:sz w:val="22"/>
          <w:szCs w:val="22"/>
        </w:rPr>
        <w:t xml:space="preserve"> </w:t>
      </w:r>
      <w:r w:rsidRPr="00215228" w:rsidR="00215228">
        <w:rPr>
          <w:rStyle w:val="eop"/>
          <w:rFonts w:ascii="Aptos" w:hAnsi="Aptos" w:eastAsia="Calibri Light" w:cs="Arial"/>
          <w:sz w:val="22"/>
          <w:szCs w:val="22"/>
        </w:rPr>
        <w:t>(</w:t>
      </w:r>
      <w:proofErr w:type="spellStart"/>
      <w:r w:rsidRPr="00215228" w:rsidR="00215228">
        <w:rPr>
          <w:rStyle w:val="eop"/>
          <w:rFonts w:ascii="Aptos" w:hAnsi="Aptos" w:eastAsia="Calibri Light" w:cs="Arial"/>
          <w:sz w:val="22"/>
          <w:szCs w:val="22"/>
        </w:rPr>
        <w:t>Pfefferbaum</w:t>
      </w:r>
      <w:proofErr w:type="spellEnd"/>
      <w:r w:rsidRPr="00215228" w:rsidR="00215228">
        <w:rPr>
          <w:rStyle w:val="eop"/>
          <w:rFonts w:ascii="Aptos" w:hAnsi="Aptos" w:eastAsia="Calibri Light" w:cs="Arial"/>
          <w:sz w:val="22"/>
          <w:szCs w:val="22"/>
        </w:rPr>
        <w:t xml:space="preserve"> et al., 2019).</w:t>
      </w:r>
    </w:p>
    <w:p w:rsidR="00312E58" w:rsidP="00DD2F55" w:rsidRDefault="00312E58" w14:paraId="67C0D842" w14:textId="77777777">
      <w:pPr>
        <w:pStyle w:val="paragraph"/>
        <w:spacing w:before="0" w:beforeAutospacing="0" w:after="0" w:afterAutospacing="0" w:line="360" w:lineRule="auto"/>
        <w:textAlignment w:val="baseline"/>
        <w:rPr>
          <w:rStyle w:val="eop"/>
          <w:rFonts w:ascii="Aptos" w:hAnsi="Aptos" w:eastAsia="Calibri Light" w:cs="Arial"/>
          <w:sz w:val="22"/>
          <w:szCs w:val="22"/>
        </w:rPr>
      </w:pPr>
    </w:p>
    <w:p w:rsidR="00BD2909" w:rsidP="00DD2F55" w:rsidRDefault="00BD2909" w14:paraId="1ADF7C27" w14:textId="598651F2">
      <w:pPr>
        <w:pStyle w:val="paragraph"/>
        <w:spacing w:before="0" w:beforeAutospacing="0" w:after="0" w:afterAutospacing="0" w:line="360" w:lineRule="auto"/>
        <w:textAlignment w:val="baseline"/>
        <w:rPr>
          <w:rStyle w:val="eop"/>
          <w:rFonts w:ascii="Aptos" w:hAnsi="Aptos" w:eastAsia="Calibri Light" w:cs="Arial"/>
          <w:sz w:val="22"/>
          <w:szCs w:val="22"/>
        </w:rPr>
      </w:pPr>
      <w:r w:rsidRPr="00F44833">
        <w:rPr>
          <w:rStyle w:val="eop"/>
          <w:rFonts w:ascii="Aptos" w:hAnsi="Aptos" w:eastAsia="Calibri Light" w:cs="Arial"/>
          <w:sz w:val="22"/>
          <w:szCs w:val="22"/>
        </w:rPr>
        <w:t> </w:t>
      </w:r>
      <w:r w:rsidRPr="00312E58" w:rsidR="00312E58">
        <w:rPr>
          <w:rStyle w:val="eop"/>
          <w:rFonts w:ascii="Aptos" w:hAnsi="Aptos" w:eastAsia="Calibri Light" w:cs="Arial"/>
          <w:sz w:val="22"/>
          <w:szCs w:val="22"/>
        </w:rPr>
        <w:t>This chapter will look at how schools have traditionally dealt with students who have chronic diseases, from segregated healthcare-focused education to the present focus on inclusive education</w:t>
      </w:r>
      <w:r w:rsidRPr="00AE4C61" w:rsidR="00AE4C61">
        <w:t xml:space="preserve"> </w:t>
      </w:r>
      <w:r w:rsidRPr="00AE4C61" w:rsidR="00AE4C61">
        <w:rPr>
          <w:rStyle w:val="eop"/>
          <w:rFonts w:ascii="Aptos" w:hAnsi="Aptos" w:eastAsia="Calibri Light" w:cs="Arial"/>
          <w:sz w:val="22"/>
          <w:szCs w:val="22"/>
        </w:rPr>
        <w:t>(Lomax et al., 2020).</w:t>
      </w:r>
      <w:r w:rsidR="000F71D2">
        <w:rPr>
          <w:rStyle w:val="eop"/>
          <w:rFonts w:ascii="Aptos" w:hAnsi="Aptos" w:eastAsia="Calibri Light" w:cs="Arial"/>
          <w:sz w:val="22"/>
          <w:szCs w:val="22"/>
        </w:rPr>
        <w:t xml:space="preserve"> </w:t>
      </w:r>
      <w:r w:rsidRPr="000F71D2" w:rsidR="000F71D2">
        <w:rPr>
          <w:rStyle w:val="eop"/>
          <w:rFonts w:ascii="Aptos" w:hAnsi="Aptos" w:eastAsia="Calibri Light" w:cs="Arial"/>
          <w:sz w:val="22"/>
          <w:szCs w:val="22"/>
        </w:rPr>
        <w:t>It will also examine pertinent theories of school involvement, child development, and inclusion, offering a conceptual foundation for this research.  This chapter establishes the foundation for the next critical analysis of the literature in connection to the study aim and objectives by examining historical, policy, and theoretical viewpoints.</w:t>
      </w:r>
      <w:r w:rsidR="00312E58">
        <w:rPr>
          <w:rStyle w:val="eop"/>
          <w:rFonts w:ascii="Aptos" w:hAnsi="Aptos" w:eastAsia="Calibri Light" w:cs="Arial"/>
          <w:sz w:val="22"/>
          <w:szCs w:val="22"/>
        </w:rPr>
        <w:t xml:space="preserve"> </w:t>
      </w:r>
    </w:p>
    <w:p w:rsidRPr="00F44833" w:rsidR="00CB7F87" w:rsidP="00DD2F55" w:rsidRDefault="00CB7F87" w14:paraId="3B386211" w14:textId="77777777">
      <w:pPr>
        <w:pStyle w:val="paragraph"/>
        <w:spacing w:before="0" w:beforeAutospacing="0" w:after="0" w:afterAutospacing="0" w:line="360" w:lineRule="auto"/>
        <w:textAlignment w:val="baseline"/>
        <w:rPr>
          <w:rFonts w:ascii="Aptos" w:hAnsi="Aptos" w:cs="Segoe UI"/>
          <w:sz w:val="16"/>
          <w:szCs w:val="16"/>
        </w:rPr>
      </w:pPr>
    </w:p>
    <w:p w:rsidRPr="00F44833" w:rsidR="00BD2909" w:rsidP="524D1DFC" w:rsidRDefault="00BD2909" w14:paraId="0AAAB744" w14:textId="4CCF5086">
      <w:pPr>
        <w:pStyle w:val="paragraph"/>
        <w:spacing w:before="0" w:beforeAutospacing="off" w:after="0" w:afterAutospacing="off" w:line="360" w:lineRule="auto"/>
        <w:textAlignment w:val="baseline"/>
        <w:rPr>
          <w:rStyle w:val="eop"/>
          <w:rFonts w:ascii="Aptos" w:hAnsi="Aptos" w:eastAsia="Calibri Light" w:cs="Arial"/>
          <w:color w:val="0F4761"/>
        </w:rPr>
      </w:pPr>
      <w:r w:rsidRPr="524D1DFC" w:rsidR="031E6882">
        <w:rPr>
          <w:rStyle w:val="normaltextrun"/>
          <w:rFonts w:ascii="Aptos" w:hAnsi="Aptos" w:cs="Arial"/>
          <w:color w:val="0F4761"/>
        </w:rPr>
        <w:t>2.2 Historical Background</w:t>
      </w:r>
    </w:p>
    <w:p w:rsidR="00226F18" w:rsidP="00226F18" w:rsidRDefault="00226F18" w14:paraId="636DB2EA" w14:textId="77777777">
      <w:pPr>
        <w:pStyle w:val="paragraph"/>
        <w:spacing w:before="0" w:beforeAutospacing="0" w:after="0" w:afterAutospacing="0" w:line="360" w:lineRule="auto"/>
        <w:textAlignment w:val="baseline"/>
        <w:rPr>
          <w:rStyle w:val="normaltextrun"/>
          <w:rFonts w:ascii="Aptos" w:hAnsi="Aptos" w:cs="Arial"/>
          <w:b/>
          <w:bCs/>
          <w:sz w:val="22"/>
          <w:szCs w:val="22"/>
        </w:rPr>
      </w:pPr>
    </w:p>
    <w:p w:rsidR="00D559DE" w:rsidP="00226F18" w:rsidRDefault="005A7903" w14:paraId="62DC20C3" w14:textId="77777777">
      <w:pPr>
        <w:pStyle w:val="paragraph"/>
        <w:spacing w:before="0" w:beforeAutospacing="0" w:after="0" w:afterAutospacing="0" w:line="360" w:lineRule="auto"/>
        <w:textAlignment w:val="baseline"/>
        <w:rPr>
          <w:rStyle w:val="normaltextrun"/>
          <w:rFonts w:ascii="Aptos" w:hAnsi="Aptos" w:cs="Arial"/>
          <w:sz w:val="22"/>
          <w:szCs w:val="22"/>
        </w:rPr>
      </w:pPr>
      <w:r w:rsidRPr="002C6ECF">
        <w:rPr>
          <w:rStyle w:val="normaltextrun"/>
          <w:rFonts w:ascii="Aptos" w:hAnsi="Aptos" w:cs="Arial"/>
          <w:sz w:val="22"/>
          <w:szCs w:val="22"/>
        </w:rPr>
        <w:t>Over the past century, there has been a significant evolution in the participation of children with chronic illnesses in education.  At first, children with chronic illnesses were frequently taught in segregated environments, either in special schools or at home through hospital tutoring programs, where their medical demands took precedence over their educational experiences</w:t>
      </w:r>
      <w:r w:rsidR="002C6ECF">
        <w:rPr>
          <w:rStyle w:val="normaltextrun"/>
          <w:rFonts w:ascii="Aptos" w:hAnsi="Aptos" w:cs="Arial"/>
          <w:sz w:val="22"/>
          <w:szCs w:val="22"/>
        </w:rPr>
        <w:t xml:space="preserve"> </w:t>
      </w:r>
      <w:r w:rsidRPr="002C6ECF" w:rsidR="002C6ECF">
        <w:rPr>
          <w:rStyle w:val="normaltextrun"/>
          <w:rFonts w:ascii="Aptos" w:hAnsi="Aptos" w:cs="Arial"/>
          <w:sz w:val="22"/>
          <w:szCs w:val="22"/>
        </w:rPr>
        <w:t>(Closs,</w:t>
      </w:r>
      <w:r w:rsidRPr="002C6ECF" w:rsidR="002C6ECF">
        <w:rPr>
          <w:rStyle w:val="normaltextrun"/>
          <w:rFonts w:ascii="Arial" w:hAnsi="Arial" w:cs="Arial"/>
          <w:sz w:val="22"/>
          <w:szCs w:val="22"/>
        </w:rPr>
        <w:t> </w:t>
      </w:r>
      <w:r w:rsidRPr="002C6ECF" w:rsidR="002C6ECF">
        <w:rPr>
          <w:rStyle w:val="normaltextrun"/>
          <w:rFonts w:ascii="Aptos" w:hAnsi="Aptos" w:cs="Arial"/>
          <w:sz w:val="22"/>
          <w:szCs w:val="22"/>
        </w:rPr>
        <w:t>2000).</w:t>
      </w:r>
      <w:r w:rsidR="002D64FB">
        <w:rPr>
          <w:rStyle w:val="normaltextrun"/>
          <w:rFonts w:ascii="Aptos" w:hAnsi="Aptos" w:cs="Arial"/>
          <w:sz w:val="22"/>
          <w:szCs w:val="22"/>
        </w:rPr>
        <w:t xml:space="preserve"> </w:t>
      </w:r>
      <w:r w:rsidRPr="002D64FB" w:rsidR="002D64FB">
        <w:rPr>
          <w:rStyle w:val="normaltextrun"/>
          <w:rFonts w:ascii="Aptos" w:hAnsi="Aptos" w:cs="Arial"/>
          <w:sz w:val="22"/>
          <w:szCs w:val="22"/>
        </w:rPr>
        <w:t>With time, the trend towards inclusive education started to acknowledge kids with long-term medical difficulties as learners rather than just patients.  Notably, by the late 20th century, the idea of mainstreaming or inclusion for students with disabilities cleared the path for children with chronic illnesses to be recognised more widely by opposing separate education and demanding access to general education settings</w:t>
      </w:r>
      <w:r w:rsidR="00D559DE">
        <w:rPr>
          <w:rStyle w:val="normaltextrun"/>
          <w:rFonts w:ascii="Aptos" w:hAnsi="Aptos" w:cs="Arial"/>
          <w:sz w:val="22"/>
          <w:szCs w:val="22"/>
        </w:rPr>
        <w:t xml:space="preserve"> </w:t>
      </w:r>
      <w:r w:rsidRPr="00D559DE" w:rsidR="00D559DE">
        <w:rPr>
          <w:rStyle w:val="normaltextrun"/>
          <w:rFonts w:ascii="Aptos" w:hAnsi="Aptos" w:cs="Arial"/>
          <w:sz w:val="22"/>
          <w:szCs w:val="22"/>
        </w:rPr>
        <w:t>(Inclusive Voices,</w:t>
      </w:r>
      <w:r w:rsidRPr="00D559DE" w:rsidR="00D559DE">
        <w:rPr>
          <w:rStyle w:val="normaltextrun"/>
          <w:rFonts w:ascii="Arial" w:hAnsi="Arial" w:cs="Arial"/>
          <w:sz w:val="22"/>
          <w:szCs w:val="22"/>
        </w:rPr>
        <w:t> </w:t>
      </w:r>
      <w:r w:rsidRPr="00D559DE" w:rsidR="00D559DE">
        <w:rPr>
          <w:rStyle w:val="normaltextrun"/>
          <w:rFonts w:ascii="Aptos" w:hAnsi="Aptos" w:cs="Arial"/>
          <w:sz w:val="22"/>
          <w:szCs w:val="22"/>
        </w:rPr>
        <w:t>2018).</w:t>
      </w:r>
    </w:p>
    <w:p w:rsidR="00D559DE" w:rsidP="00226F18" w:rsidRDefault="00D559DE" w14:paraId="3F30D99A" w14:textId="77777777">
      <w:pPr>
        <w:pStyle w:val="paragraph"/>
        <w:spacing w:before="0" w:beforeAutospacing="0" w:after="0" w:afterAutospacing="0" w:line="360" w:lineRule="auto"/>
        <w:textAlignment w:val="baseline"/>
        <w:rPr>
          <w:rStyle w:val="normaltextrun"/>
          <w:rFonts w:ascii="Aptos" w:hAnsi="Aptos" w:cs="Arial"/>
          <w:sz w:val="22"/>
          <w:szCs w:val="22"/>
        </w:rPr>
      </w:pPr>
    </w:p>
    <w:p w:rsidR="0077488D" w:rsidP="00226F18" w:rsidRDefault="00BD2909" w14:paraId="453FB6E6" w14:textId="77777777">
      <w:pPr>
        <w:pStyle w:val="paragraph"/>
        <w:spacing w:before="0" w:beforeAutospacing="0" w:after="0" w:afterAutospacing="0" w:line="360" w:lineRule="auto"/>
        <w:textAlignment w:val="baseline"/>
        <w:rPr>
          <w:rStyle w:val="eop"/>
          <w:rFonts w:ascii="Aptos" w:hAnsi="Aptos" w:eastAsia="Calibri Light" w:cs="Arial"/>
          <w:sz w:val="22"/>
          <w:szCs w:val="22"/>
        </w:rPr>
      </w:pPr>
      <w:r w:rsidRPr="00F44833">
        <w:rPr>
          <w:rStyle w:val="eop"/>
          <w:rFonts w:ascii="Aptos" w:hAnsi="Aptos" w:eastAsia="Calibri Light" w:cs="Arial"/>
          <w:sz w:val="22"/>
          <w:szCs w:val="22"/>
        </w:rPr>
        <w:t>  </w:t>
      </w:r>
      <w:r w:rsidRPr="009902FB" w:rsidR="009902FB">
        <w:rPr>
          <w:rStyle w:val="eop"/>
          <w:rFonts w:ascii="Aptos" w:hAnsi="Aptos" w:eastAsia="Calibri Light" w:cs="Arial"/>
          <w:sz w:val="22"/>
          <w:szCs w:val="22"/>
        </w:rPr>
        <w:t>Many nations started to enact laws and policies requiring equal access to education in the 1970s and 1980s, regardless of a person's health or disability.  For instance, the Individuals with Disabilities Education Act (IDEA) mandated that schools in the United States offer educational services to students with disabilities in general education settings.  Even while early laws did not always specifically address chronic disease, the concepts of the least restrictive environment and access to education had an impact on how chronically sick children were treated</w:t>
      </w:r>
      <w:r w:rsidR="00415C77">
        <w:rPr>
          <w:rStyle w:val="eop"/>
          <w:rFonts w:ascii="Aptos" w:hAnsi="Aptos" w:eastAsia="Calibri Light" w:cs="Arial"/>
          <w:sz w:val="22"/>
          <w:szCs w:val="22"/>
        </w:rPr>
        <w:t xml:space="preserve"> </w:t>
      </w:r>
      <w:r w:rsidRPr="004B08E4" w:rsidR="004B08E4">
        <w:rPr>
          <w:rStyle w:val="eop"/>
          <w:rFonts w:ascii="Aptos" w:hAnsi="Aptos" w:eastAsia="Calibri Light" w:cs="Arial"/>
          <w:sz w:val="22"/>
          <w:szCs w:val="22"/>
        </w:rPr>
        <w:t>(Inclusive Voices,</w:t>
      </w:r>
      <w:r w:rsidRPr="004B08E4" w:rsidR="004B08E4">
        <w:rPr>
          <w:rStyle w:val="eop"/>
          <w:rFonts w:ascii="Arial" w:hAnsi="Arial" w:eastAsia="Calibri Light" w:cs="Arial"/>
          <w:sz w:val="22"/>
          <w:szCs w:val="22"/>
        </w:rPr>
        <w:t> </w:t>
      </w:r>
      <w:r w:rsidRPr="004B08E4" w:rsidR="004B08E4">
        <w:rPr>
          <w:rStyle w:val="eop"/>
          <w:rFonts w:ascii="Aptos" w:hAnsi="Aptos" w:eastAsia="Calibri Light" w:cs="Arial"/>
          <w:sz w:val="22"/>
          <w:szCs w:val="22"/>
        </w:rPr>
        <w:t>2018).</w:t>
      </w:r>
      <w:r w:rsidRPr="0077488D" w:rsidR="0077488D">
        <w:t xml:space="preserve"> </w:t>
      </w:r>
      <w:r w:rsidRPr="0077488D" w:rsidR="0077488D">
        <w:rPr>
          <w:rStyle w:val="eop"/>
          <w:rFonts w:ascii="Aptos" w:hAnsi="Aptos" w:eastAsia="Calibri Light" w:cs="Arial"/>
          <w:sz w:val="22"/>
          <w:szCs w:val="22"/>
        </w:rPr>
        <w:t>In contrast, early childhood and school health services in the UK, such as the creation of the school nurse position in the early 20th century, promoted children's health and attendance but infrequently incorporated the systematic educational inclusion of students with chronic illness</w:t>
      </w:r>
      <w:r w:rsidR="0077488D">
        <w:rPr>
          <w:rStyle w:val="eop"/>
          <w:rFonts w:ascii="Aptos" w:hAnsi="Aptos" w:eastAsia="Calibri Light" w:cs="Arial"/>
          <w:sz w:val="22"/>
          <w:szCs w:val="22"/>
        </w:rPr>
        <w:t xml:space="preserve"> </w:t>
      </w:r>
      <w:r w:rsidRPr="0077488D" w:rsidR="0077488D">
        <w:rPr>
          <w:rStyle w:val="eop"/>
          <w:rFonts w:ascii="Aptos" w:hAnsi="Aptos" w:eastAsia="Calibri Light" w:cs="Arial"/>
          <w:sz w:val="22"/>
          <w:szCs w:val="22"/>
        </w:rPr>
        <w:t>(Hughes &amp;</w:t>
      </w:r>
      <w:r w:rsidRPr="0077488D" w:rsidR="0077488D">
        <w:rPr>
          <w:rStyle w:val="eop"/>
          <w:rFonts w:ascii="Arial" w:hAnsi="Arial" w:eastAsia="Calibri Light" w:cs="Arial"/>
          <w:sz w:val="22"/>
          <w:szCs w:val="22"/>
        </w:rPr>
        <w:t> </w:t>
      </w:r>
      <w:r w:rsidRPr="0077488D" w:rsidR="0077488D">
        <w:rPr>
          <w:rStyle w:val="eop"/>
          <w:rFonts w:ascii="Aptos" w:hAnsi="Aptos" w:eastAsia="Calibri Light" w:cs="Arial"/>
          <w:sz w:val="22"/>
          <w:szCs w:val="22"/>
        </w:rPr>
        <w:t>Colleagues,</w:t>
      </w:r>
      <w:r w:rsidRPr="0077488D" w:rsidR="0077488D">
        <w:rPr>
          <w:rStyle w:val="eop"/>
          <w:rFonts w:ascii="Arial" w:hAnsi="Arial" w:eastAsia="Calibri Light" w:cs="Arial"/>
          <w:sz w:val="22"/>
          <w:szCs w:val="22"/>
        </w:rPr>
        <w:t> </w:t>
      </w:r>
      <w:r w:rsidRPr="0077488D" w:rsidR="0077488D">
        <w:rPr>
          <w:rStyle w:val="eop"/>
          <w:rFonts w:ascii="Aptos" w:hAnsi="Aptos" w:eastAsia="Calibri Light" w:cs="Arial"/>
          <w:sz w:val="22"/>
          <w:szCs w:val="22"/>
        </w:rPr>
        <w:t>2015).</w:t>
      </w:r>
      <w:r w:rsidR="0077488D">
        <w:rPr>
          <w:rStyle w:val="eop"/>
          <w:rFonts w:ascii="Aptos" w:hAnsi="Aptos" w:eastAsia="Calibri Light" w:cs="Arial"/>
          <w:sz w:val="22"/>
          <w:szCs w:val="22"/>
        </w:rPr>
        <w:t xml:space="preserve"> </w:t>
      </w:r>
    </w:p>
    <w:p w:rsidR="0077488D" w:rsidP="00226F18" w:rsidRDefault="0077488D" w14:paraId="32E470CE" w14:textId="77777777">
      <w:pPr>
        <w:pStyle w:val="paragraph"/>
        <w:spacing w:before="0" w:beforeAutospacing="0" w:after="0" w:afterAutospacing="0" w:line="360" w:lineRule="auto"/>
        <w:textAlignment w:val="baseline"/>
        <w:rPr>
          <w:rStyle w:val="eop"/>
          <w:rFonts w:ascii="Aptos" w:hAnsi="Aptos" w:eastAsia="Calibri Light" w:cs="Arial"/>
          <w:sz w:val="22"/>
          <w:szCs w:val="22"/>
        </w:rPr>
      </w:pPr>
    </w:p>
    <w:p w:rsidR="00BD2909" w:rsidP="524D1DFC" w:rsidRDefault="00886CC0" w14:paraId="4D42201B" w14:textId="148E13EC">
      <w:pPr>
        <w:pStyle w:val="paragraph"/>
        <w:spacing w:before="0" w:beforeAutospacing="off" w:after="0" w:afterAutospacing="off" w:line="360" w:lineRule="auto"/>
        <w:textAlignment w:val="baseline"/>
        <w:rPr>
          <w:rStyle w:val="eop"/>
          <w:rFonts w:ascii="Aptos" w:hAnsi="Aptos" w:eastAsia="Calibri Light" w:cs="Arial"/>
          <w:sz w:val="22"/>
          <w:szCs w:val="22"/>
        </w:rPr>
      </w:pPr>
      <w:r w:rsidRPr="524D1DFC" w:rsidR="4EC78DFC">
        <w:rPr>
          <w:rStyle w:val="eop"/>
          <w:rFonts w:ascii="Aptos" w:hAnsi="Aptos" w:eastAsia="Calibri Light" w:cs="Arial"/>
          <w:sz w:val="22"/>
          <w:szCs w:val="22"/>
        </w:rPr>
        <w:t>Important turning points include the emergence of the idea of "medical conditions in school" as separate from special education needs and the release of groundbreaking books like Alison Closs's edited volume Education of Children with Medical Conditions (2000), which compiled multidisciplinary research and highlighted the link between chronic illness and educational disadvantage</w:t>
      </w:r>
      <w:r w:rsidRPr="524D1DFC" w:rsidR="4EC78DFC">
        <w:rPr>
          <w:rStyle w:val="eop"/>
          <w:rFonts w:ascii="Aptos" w:hAnsi="Aptos" w:eastAsia="Calibri Light" w:cs="Arial"/>
          <w:sz w:val="22"/>
          <w:szCs w:val="22"/>
        </w:rPr>
        <w:t xml:space="preserve">.  </w:t>
      </w:r>
      <w:r w:rsidRPr="524D1DFC" w:rsidR="4EC78DFC">
        <w:rPr>
          <w:rStyle w:val="eop"/>
          <w:rFonts w:ascii="Aptos" w:hAnsi="Aptos" w:eastAsia="Calibri Light" w:cs="Arial"/>
          <w:sz w:val="22"/>
          <w:szCs w:val="22"/>
        </w:rPr>
        <w:t>By emphasising that children with chronic illnesses experience not just medical but also educational and social marginalisation, Closs's study had an impact on practitioners and policy makers</w:t>
      </w:r>
      <w:r w:rsidRPr="524D1DFC" w:rsidR="4EC78DFC">
        <w:rPr>
          <w:rStyle w:val="eop"/>
          <w:rFonts w:ascii="Aptos" w:hAnsi="Aptos" w:eastAsia="Calibri Light" w:cs="Arial"/>
          <w:sz w:val="22"/>
          <w:szCs w:val="22"/>
        </w:rPr>
        <w:t xml:space="preserve">.  </w:t>
      </w:r>
      <w:r w:rsidRPr="524D1DFC" w:rsidR="4EC78DFC">
        <w:rPr>
          <w:rStyle w:val="eop"/>
          <w:rFonts w:ascii="Aptos" w:hAnsi="Aptos" w:eastAsia="Calibri Light" w:cs="Arial"/>
          <w:sz w:val="22"/>
          <w:szCs w:val="22"/>
        </w:rPr>
        <w:t>More recently, the emergence of digital and remote learning</w:t>
      </w:r>
      <w:r w:rsidRPr="524D1DFC" w:rsidR="52F65138">
        <w:rPr>
          <w:rStyle w:val="eop"/>
          <w:rFonts w:ascii="Aptos" w:hAnsi="Aptos" w:eastAsia="Calibri Light" w:cs="Arial"/>
          <w:sz w:val="22"/>
          <w:szCs w:val="22"/>
        </w:rPr>
        <w:t xml:space="preserve"> </w:t>
      </w:r>
      <w:r w:rsidRPr="524D1DFC" w:rsidR="4EC78DFC">
        <w:rPr>
          <w:rStyle w:val="eop"/>
          <w:rFonts w:ascii="Aptos" w:hAnsi="Aptos" w:eastAsia="Calibri Light" w:cs="Arial"/>
          <w:sz w:val="22"/>
          <w:szCs w:val="22"/>
        </w:rPr>
        <w:t>especially during the COVID-19 pandemic</w:t>
      </w:r>
      <w:r w:rsidRPr="524D1DFC" w:rsidR="22DB5143">
        <w:rPr>
          <w:rStyle w:val="eop"/>
          <w:rFonts w:ascii="Aptos" w:hAnsi="Aptos" w:eastAsia="Calibri Light" w:cs="Arial"/>
          <w:sz w:val="22"/>
          <w:szCs w:val="22"/>
        </w:rPr>
        <w:t xml:space="preserve"> </w:t>
      </w:r>
      <w:r w:rsidRPr="524D1DFC" w:rsidR="4EC78DFC">
        <w:rPr>
          <w:rStyle w:val="eop"/>
          <w:rFonts w:ascii="Aptos" w:hAnsi="Aptos" w:eastAsia="Calibri Light" w:cs="Arial"/>
          <w:sz w:val="22"/>
          <w:szCs w:val="22"/>
        </w:rPr>
        <w:t>has highlighted the need for educational systems to adjust to the possibility that children with chronic illnesses will not be able to attend school</w:t>
      </w:r>
      <w:r w:rsidRPr="524D1DFC" w:rsidR="66F80FA9">
        <w:rPr>
          <w:rStyle w:val="eop"/>
          <w:rFonts w:ascii="Aptos" w:hAnsi="Aptos" w:eastAsia="Calibri Light" w:cs="Arial"/>
          <w:sz w:val="22"/>
          <w:szCs w:val="22"/>
        </w:rPr>
        <w:t xml:space="preserve"> </w:t>
      </w:r>
      <w:r w:rsidRPr="524D1DFC" w:rsidR="66F80FA9">
        <w:rPr>
          <w:rStyle w:val="eop"/>
          <w:rFonts w:ascii="Aptos" w:hAnsi="Aptos" w:eastAsia="Calibri Light" w:cs="Arial"/>
          <w:sz w:val="22"/>
          <w:szCs w:val="22"/>
        </w:rPr>
        <w:t>(Thornton, Ruble &amp;</w:t>
      </w:r>
      <w:r w:rsidRPr="524D1DFC" w:rsidR="66F80FA9">
        <w:rPr>
          <w:rStyle w:val="eop"/>
          <w:rFonts w:ascii="Arial" w:hAnsi="Arial" w:eastAsia="Calibri Light" w:cs="Arial"/>
          <w:sz w:val="22"/>
          <w:szCs w:val="22"/>
        </w:rPr>
        <w:t> </w:t>
      </w:r>
      <w:r w:rsidRPr="524D1DFC" w:rsidR="66F80FA9">
        <w:rPr>
          <w:rStyle w:val="eop"/>
          <w:rFonts w:ascii="Aptos" w:hAnsi="Aptos" w:eastAsia="Calibri Light" w:cs="Arial"/>
          <w:sz w:val="22"/>
          <w:szCs w:val="22"/>
        </w:rPr>
        <w:t>Jacobson,</w:t>
      </w:r>
      <w:r w:rsidRPr="524D1DFC" w:rsidR="66F80FA9">
        <w:rPr>
          <w:rStyle w:val="eop"/>
          <w:rFonts w:ascii="Arial" w:hAnsi="Arial" w:eastAsia="Calibri Light" w:cs="Arial"/>
          <w:sz w:val="22"/>
          <w:szCs w:val="22"/>
        </w:rPr>
        <w:t> </w:t>
      </w:r>
      <w:r w:rsidRPr="524D1DFC" w:rsidR="66F80FA9">
        <w:rPr>
          <w:rStyle w:val="eop"/>
          <w:rFonts w:ascii="Aptos" w:hAnsi="Aptos" w:eastAsia="Calibri Light" w:cs="Arial"/>
          <w:sz w:val="22"/>
          <w:szCs w:val="22"/>
        </w:rPr>
        <w:t>2023).</w:t>
      </w:r>
    </w:p>
    <w:p w:rsidR="00131DEC" w:rsidP="00226F18" w:rsidRDefault="00131DEC" w14:paraId="26C7674D" w14:textId="77777777">
      <w:pPr>
        <w:pStyle w:val="paragraph"/>
        <w:spacing w:before="0" w:beforeAutospacing="0" w:after="0" w:afterAutospacing="0" w:line="360" w:lineRule="auto"/>
        <w:textAlignment w:val="baseline"/>
        <w:rPr>
          <w:rStyle w:val="eop"/>
          <w:rFonts w:ascii="Aptos" w:hAnsi="Aptos" w:eastAsia="Calibri Light" w:cs="Arial"/>
          <w:sz w:val="22"/>
          <w:szCs w:val="22"/>
        </w:rPr>
      </w:pPr>
    </w:p>
    <w:p w:rsidRPr="00F44833" w:rsidR="00131DEC" w:rsidP="00226F18" w:rsidRDefault="00131DEC" w14:paraId="10C59C3C" w14:textId="77777777">
      <w:pPr>
        <w:pStyle w:val="paragraph"/>
        <w:spacing w:before="0" w:beforeAutospacing="0" w:after="0" w:afterAutospacing="0" w:line="360" w:lineRule="auto"/>
        <w:textAlignment w:val="baseline"/>
        <w:rPr>
          <w:rFonts w:ascii="Aptos" w:hAnsi="Aptos" w:cs="Segoe UI"/>
          <w:sz w:val="16"/>
          <w:szCs w:val="16"/>
        </w:rPr>
      </w:pPr>
    </w:p>
    <w:p w:rsidRPr="00F44833" w:rsidR="00BD2909" w:rsidP="524D1DFC" w:rsidRDefault="00BD2909" w14:paraId="7CD6820C" w14:textId="2906D47F">
      <w:pPr>
        <w:pStyle w:val="paragraph"/>
        <w:spacing w:before="0" w:beforeAutospacing="off" w:after="0" w:afterAutospacing="off" w:line="360" w:lineRule="auto"/>
        <w:textAlignment w:val="baseline"/>
        <w:rPr>
          <w:rStyle w:val="eop"/>
          <w:rFonts w:ascii="Aptos" w:hAnsi="Aptos" w:eastAsia="Calibri Light" w:cs="Arial"/>
          <w:color w:val="0F4761"/>
        </w:rPr>
      </w:pPr>
      <w:r w:rsidRPr="524D1DFC" w:rsidR="031E6882">
        <w:rPr>
          <w:rStyle w:val="normaltextrun"/>
          <w:rFonts w:ascii="Aptos" w:hAnsi="Aptos" w:cs="Arial"/>
          <w:color w:val="0F4761"/>
        </w:rPr>
        <w:t xml:space="preserve">2.3 Theoretical Background </w:t>
      </w:r>
    </w:p>
    <w:p w:rsidRPr="00F44833" w:rsidR="00BD2909" w:rsidP="00F44833" w:rsidRDefault="00BD2909" w14:paraId="4C48092F" w14:textId="77777777">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hAnsi="Aptos" w:eastAsia="Calibri Light" w:cs="Arial"/>
          <w:sz w:val="22"/>
          <w:szCs w:val="22"/>
        </w:rPr>
        <w:t> </w:t>
      </w:r>
    </w:p>
    <w:p w:rsidRPr="00F44833" w:rsidR="00BD2909" w:rsidP="001F3B1B" w:rsidRDefault="00BD2909" w14:paraId="02952F9D" w14:textId="77777777">
      <w:pPr>
        <w:pStyle w:val="paragraph"/>
        <w:numPr>
          <w:ilvl w:val="0"/>
          <w:numId w:val="37"/>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524D1DFC" w:rsidR="031E6882">
        <w:rPr>
          <w:rStyle w:val="normaltextrun"/>
          <w:rFonts w:ascii="Aptos" w:hAnsi="Aptos" w:cs="Arial"/>
          <w:b w:val="1"/>
          <w:bCs w:val="1"/>
          <w:sz w:val="22"/>
          <w:szCs w:val="22"/>
        </w:rPr>
        <w:t>Key Theories and Concepts:</w:t>
      </w:r>
      <w:r w:rsidRPr="524D1DFC" w:rsidR="031E6882">
        <w:rPr>
          <w:rStyle w:val="eop"/>
          <w:rFonts w:ascii="Aptos" w:hAnsi="Aptos" w:eastAsia="Calibri Light" w:cs="Arial"/>
          <w:sz w:val="22"/>
          <w:szCs w:val="22"/>
        </w:rPr>
        <w:t> </w:t>
      </w:r>
    </w:p>
    <w:p w:rsidR="7C986D41" w:rsidP="524D1DFC" w:rsidRDefault="7C986D41" w14:paraId="372644DD" w14:textId="1BE3B5F2">
      <w:pPr>
        <w:pStyle w:val="paragraph"/>
        <w:tabs>
          <w:tab w:val="clear" w:leader="none" w:pos="720"/>
          <w:tab w:val="num" w:leader="none" w:pos="0"/>
        </w:tabs>
        <w:spacing w:before="0" w:beforeAutospacing="off" w:after="0" w:afterAutospacing="off" w:line="360" w:lineRule="auto"/>
        <w:ind w:left="0" w:firstLine="0"/>
      </w:pPr>
      <w:r w:rsidRPr="524D1DFC" w:rsidR="7C986D41">
        <w:rPr>
          <w:noProof w:val="0"/>
          <w:lang w:val="en-GB"/>
        </w:rPr>
        <w:t xml:space="preserve">Understanding how children with chronic illnesses experience school is based on </w:t>
      </w:r>
      <w:r w:rsidRPr="524D1DFC" w:rsidR="7C986D41">
        <w:rPr>
          <w:noProof w:val="0"/>
          <w:lang w:val="en-GB"/>
        </w:rPr>
        <w:t>a number of</w:t>
      </w:r>
      <w:r w:rsidRPr="524D1DFC" w:rsidR="7C986D41">
        <w:rPr>
          <w:noProof w:val="0"/>
          <w:lang w:val="en-GB"/>
        </w:rPr>
        <w:t xml:space="preserve"> theories and concepts. Bronfenbrenner's Ecological Systems Theory is one of the main theoretical frameworks, which emphasises that a child’s development is shaped by multiple interconnected systems, from immediate relationships to wider social and policy environments (Bronfenbrenner, 1979). </w:t>
      </w:r>
      <w:r w:rsidRPr="524D1DFC" w:rsidR="6F737F7C">
        <w:rPr>
          <w:noProof w:val="0"/>
          <w:lang w:val="en-GB"/>
        </w:rPr>
        <w:t xml:space="preserve">This hypothesis is especially pertinent to children with chronic illnesses, whose educational experiences are </w:t>
      </w:r>
      <w:r w:rsidRPr="524D1DFC" w:rsidR="6F737F7C">
        <w:rPr>
          <w:noProof w:val="0"/>
          <w:lang w:val="en-GB"/>
        </w:rPr>
        <w:t>impacted</w:t>
      </w:r>
      <w:r w:rsidRPr="524D1DFC" w:rsidR="6F737F7C">
        <w:rPr>
          <w:noProof w:val="0"/>
          <w:lang w:val="en-GB"/>
        </w:rPr>
        <w:t xml:space="preserve"> by healthcare institutions, national policy, and cultural views </w:t>
      </w:r>
      <w:r w:rsidRPr="524D1DFC" w:rsidR="6F737F7C">
        <w:rPr>
          <w:noProof w:val="0"/>
          <w:lang w:val="en-GB"/>
        </w:rPr>
        <w:t>regarding</w:t>
      </w:r>
      <w:r w:rsidRPr="524D1DFC" w:rsidR="6F737F7C">
        <w:rPr>
          <w:noProof w:val="0"/>
          <w:lang w:val="en-GB"/>
        </w:rPr>
        <w:t xml:space="preserve"> disease and disability in addition to family and school circumstances. Another key concept is </w:t>
      </w:r>
      <w:r w:rsidRPr="524D1DFC" w:rsidR="6F737F7C">
        <w:rPr>
          <w:b w:val="0"/>
          <w:bCs w:val="0"/>
          <w:noProof w:val="0"/>
          <w:lang w:val="en-GB"/>
        </w:rPr>
        <w:t>inclusive education theory</w:t>
      </w:r>
      <w:r w:rsidRPr="524D1DFC" w:rsidR="6F737F7C">
        <w:rPr>
          <w:b w:val="0"/>
          <w:bCs w:val="0"/>
          <w:noProof w:val="0"/>
          <w:lang w:val="en-GB"/>
        </w:rPr>
        <w:t>, which argues that all children</w:t>
      </w:r>
      <w:r w:rsidRPr="524D1DFC" w:rsidR="3BE9A95C">
        <w:rPr>
          <w:b w:val="0"/>
          <w:bCs w:val="0"/>
          <w:noProof w:val="0"/>
          <w:lang w:val="en-GB"/>
        </w:rPr>
        <w:t xml:space="preserve"> </w:t>
      </w:r>
      <w:r w:rsidRPr="524D1DFC" w:rsidR="6F737F7C">
        <w:rPr>
          <w:b w:val="0"/>
          <w:bCs w:val="0"/>
          <w:noProof w:val="0"/>
          <w:lang w:val="en-GB"/>
        </w:rPr>
        <w:t>regardless of ability or health status</w:t>
      </w:r>
      <w:r w:rsidRPr="524D1DFC" w:rsidR="72B65DA6">
        <w:rPr>
          <w:b w:val="0"/>
          <w:bCs w:val="0"/>
          <w:noProof w:val="0"/>
          <w:lang w:val="en-GB"/>
        </w:rPr>
        <w:t xml:space="preserve"> </w:t>
      </w:r>
      <w:r w:rsidRPr="524D1DFC" w:rsidR="6F737F7C">
        <w:rPr>
          <w:b w:val="0"/>
          <w:bCs w:val="0"/>
          <w:noProof w:val="0"/>
          <w:lang w:val="en-GB"/>
        </w:rPr>
        <w:t xml:space="preserve">should be able to </w:t>
      </w:r>
      <w:r w:rsidRPr="524D1DFC" w:rsidR="6F737F7C">
        <w:rPr>
          <w:noProof w:val="0"/>
          <w:lang w:val="en-GB"/>
        </w:rPr>
        <w:t>participate</w:t>
      </w:r>
      <w:r w:rsidRPr="524D1DFC" w:rsidR="6F737F7C">
        <w:rPr>
          <w:noProof w:val="0"/>
          <w:lang w:val="en-GB"/>
        </w:rPr>
        <w:t xml:space="preserve"> fully in mainstream schooling (Ainscow, 2020). This theoretical position emphasises the significance of fair access, flexibility, and the removal of learning barriers and serves as the foundation for contemporary policy frameworks.</w:t>
      </w:r>
    </w:p>
    <w:p w:rsidR="6F737F7C" w:rsidP="524D1DFC" w:rsidRDefault="6F737F7C" w14:paraId="12E8A228" w14:textId="1028E5A3">
      <w:pPr>
        <w:pStyle w:val="paragraph"/>
        <w:tabs>
          <w:tab w:val="clear" w:leader="none" w:pos="720"/>
          <w:tab w:val="num" w:leader="none" w:pos="0"/>
        </w:tabs>
        <w:spacing w:before="0" w:beforeAutospacing="off" w:after="0" w:afterAutospacing="off" w:line="360" w:lineRule="auto"/>
        <w:ind w:left="0" w:firstLine="0"/>
      </w:pPr>
      <w:r w:rsidRPr="524D1DFC" w:rsidR="6F737F7C">
        <w:rPr>
          <w:noProof w:val="0"/>
          <w:lang w:val="en-GB"/>
        </w:rPr>
        <w:t xml:space="preserve"> </w:t>
      </w:r>
    </w:p>
    <w:p w:rsidRPr="00F44833" w:rsidR="00BD2909" w:rsidP="524D1DFC" w:rsidRDefault="00BD2909" w14:paraId="6A5BC395" w14:textId="77777777">
      <w:pPr>
        <w:pStyle w:val="paragraph"/>
        <w:tabs>
          <w:tab w:val="clear" w:pos="720"/>
          <w:tab w:val="num" w:pos="0"/>
        </w:tabs>
        <w:spacing w:before="0" w:beforeAutospacing="off" w:after="0" w:afterAutospacing="off" w:line="360" w:lineRule="auto"/>
        <w:ind w:left="0" w:firstLine="0"/>
        <w:textAlignment w:val="baseline"/>
        <w:rPr>
          <w:rFonts w:ascii="Aptos" w:hAnsi="Aptos" w:cs="Arial"/>
          <w:sz w:val="22"/>
          <w:szCs w:val="22"/>
        </w:rPr>
      </w:pPr>
      <w:r w:rsidRPr="524D1DFC" w:rsidR="031E6882">
        <w:rPr>
          <w:rStyle w:val="normaltextrun"/>
          <w:rFonts w:ascii="Aptos" w:hAnsi="Aptos" w:cs="Arial"/>
          <w:b w:val="1"/>
          <w:bCs w:val="1"/>
          <w:sz w:val="22"/>
          <w:szCs w:val="22"/>
        </w:rPr>
        <w:t>Application of Theories:</w:t>
      </w:r>
      <w:r w:rsidRPr="524D1DFC" w:rsidR="031E6882">
        <w:rPr>
          <w:rStyle w:val="eop"/>
          <w:rFonts w:ascii="Aptos" w:hAnsi="Aptos" w:eastAsia="Calibri Light" w:cs="Arial"/>
          <w:sz w:val="22"/>
          <w:szCs w:val="22"/>
        </w:rPr>
        <w:t> </w:t>
      </w:r>
    </w:p>
    <w:p w:rsidRPr="00F44833" w:rsidR="00BD2909" w:rsidP="524D1DFC" w:rsidRDefault="00BD2909" w14:paraId="7E9F016F" w14:textId="679C8259">
      <w:pPr>
        <w:pStyle w:val="paragraph"/>
        <w:spacing w:before="240" w:beforeAutospacing="off" w:after="240" w:afterAutospacing="off" w:line="360" w:lineRule="auto"/>
        <w:ind/>
        <w:textAlignment w:val="baseline"/>
        <w:rPr>
          <w:rFonts w:ascii="Aptos" w:hAnsi="Aptos" w:cs="Arial"/>
          <w:sz w:val="22"/>
          <w:szCs w:val="22"/>
        </w:rPr>
      </w:pPr>
      <w:r w:rsidRPr="524D1DFC" w:rsidR="031E6882">
        <w:rPr>
          <w:rStyle w:val="eop"/>
          <w:rFonts w:ascii="Aptos" w:hAnsi="Aptos" w:eastAsia="Calibri Light" w:cs="Arial"/>
          <w:sz w:val="22"/>
          <w:szCs w:val="22"/>
        </w:rPr>
        <w:t> </w:t>
      </w:r>
      <w:r w:rsidRPr="524D1DFC" w:rsidR="64A2E297">
        <w:rPr>
          <w:rFonts w:ascii="Arial Nova" w:hAnsi="Arial Nova" w:eastAsia="Arial Nova" w:cs="Arial Nova"/>
          <w:noProof w:val="0"/>
          <w:lang w:val="en-GB"/>
        </w:rPr>
        <w:t xml:space="preserve"> In addition, theories of </w:t>
      </w:r>
      <w:r w:rsidRPr="524D1DFC" w:rsidR="64A2E297">
        <w:rPr>
          <w:rFonts w:ascii="Arial Nova" w:hAnsi="Arial Nova" w:eastAsia="Arial Nova" w:cs="Arial Nova"/>
          <w:b w:val="0"/>
          <w:bCs w:val="0"/>
          <w:noProof w:val="0"/>
          <w:lang w:val="en-GB"/>
        </w:rPr>
        <w:t>medical sociology</w:t>
      </w:r>
      <w:r w:rsidRPr="524D1DFC" w:rsidR="64A2E297">
        <w:rPr>
          <w:rFonts w:ascii="Arial Nova" w:hAnsi="Arial Nova" w:eastAsia="Arial Nova" w:cs="Arial Nova"/>
          <w:b w:val="0"/>
          <w:bCs w:val="0"/>
          <w:noProof w:val="0"/>
          <w:lang w:val="en-GB"/>
        </w:rPr>
        <w:t>, particularly the notion of the “sick role” proposed by Parsons (1951), have been used to understand how illness shapes a child’s identity and behaviour. While originally developed for adult patients, the concept has been adapted to examine how chronically ill children may be perceived as vulnerable or dependent, affecting the expectations placed upon them in school settings (Williams, 2019). Furthermore,</w:t>
      </w:r>
      <w:r w:rsidRPr="524D1DFC" w:rsidR="64A2E297">
        <w:rPr>
          <w:rFonts w:ascii="Arial Nova" w:hAnsi="Arial Nova" w:eastAsia="Arial Nova" w:cs="Arial Nova"/>
          <w:b w:val="0"/>
          <w:bCs w:val="0"/>
          <w:noProof w:val="0"/>
          <w:lang w:val="en-GB"/>
        </w:rPr>
        <w:t xml:space="preserve"> </w:t>
      </w:r>
      <w:r w:rsidRPr="524D1DFC" w:rsidR="64A2E297">
        <w:rPr>
          <w:rFonts w:ascii="Arial Nova" w:hAnsi="Arial Nova" w:eastAsia="Arial Nova" w:cs="Arial Nova"/>
          <w:b w:val="0"/>
          <w:bCs w:val="0"/>
          <w:noProof w:val="0"/>
          <w:lang w:val="en-GB"/>
        </w:rPr>
        <w:t>attachment theory</w:t>
      </w:r>
      <w:r w:rsidRPr="524D1DFC" w:rsidR="64A2E297">
        <w:rPr>
          <w:rFonts w:ascii="Arial Nova" w:hAnsi="Arial Nova" w:eastAsia="Arial Nova" w:cs="Arial Nova"/>
          <w:b w:val="0"/>
          <w:bCs w:val="0"/>
          <w:noProof w:val="0"/>
          <w:lang w:val="en-GB"/>
        </w:rPr>
        <w:t xml:space="preserve"> </w:t>
      </w:r>
      <w:r w:rsidRPr="524D1DFC" w:rsidR="64A2E297">
        <w:rPr>
          <w:rFonts w:ascii="Arial Nova" w:hAnsi="Arial Nova" w:eastAsia="Arial Nova" w:cs="Arial Nova"/>
          <w:noProof w:val="0"/>
          <w:lang w:val="en-GB"/>
        </w:rPr>
        <w:t>contributes to understanding the emotional and psychological challenges faced by children who experience frequent hospitalisation or disruptions to routines, which may affect school engagement and relationships with teachers and peers (Schuengel et al., 2014).</w:t>
      </w:r>
    </w:p>
    <w:p w:rsidRPr="00F44833" w:rsidR="00BD2909" w:rsidP="524D1DFC" w:rsidRDefault="00BD2909" w14:paraId="32F88238" w14:textId="5706943B">
      <w:pPr>
        <w:spacing w:before="240" w:beforeAutospacing="off" w:after="240" w:afterAutospacing="off" w:line="360" w:lineRule="auto"/>
        <w:ind/>
        <w:textAlignment w:val="baseline"/>
      </w:pPr>
      <w:r w:rsidRPr="524D1DFC" w:rsidR="64A2E297">
        <w:rPr>
          <w:noProof w:val="0"/>
          <w:lang w:val="en-GB"/>
        </w:rPr>
        <w:t>These theories have been applied widely in research relating to chronically ill learners. For example, ecological theory has been used to explore how multi-agency collaboration supports children with long-term conditions, emphasising that cross-system coordination is essential for ensuring continuity of education during illness episodes (Kendal et al., 2019). Inclusive education theory has informed studies examining the effectiveness of school-based interventions such as Individual Healthcare Plans (IHPs), highlighting the need for flexible curricula and teacher training (Clarke &amp; Abbott, 2021). Meanwhile, sociological theories of illness have been applied to investigate how stigma and misconceptions about chronic illness influence peer interactions and academic expectations (Price &amp; Pearce, 2020). This application demonstrates how theoretical concepts help interpret the psychosocial dimensions of chronic illness in educational contexts.</w:t>
      </w:r>
    </w:p>
    <w:p w:rsidRPr="00F44833" w:rsidR="00BD2909" w:rsidP="524D1DFC" w:rsidRDefault="00BD2909" w14:paraId="701473F5" w14:textId="61D794D2">
      <w:pPr>
        <w:pStyle w:val="paragraph"/>
        <w:tabs>
          <w:tab w:val="clear" w:pos="720"/>
          <w:tab w:val="num" w:pos="0"/>
        </w:tabs>
        <w:spacing w:before="0" w:beforeAutospacing="off" w:after="0" w:afterAutospacing="off" w:line="360" w:lineRule="auto"/>
        <w:ind w:left="720" w:firstLine="0"/>
        <w:textAlignment w:val="baseline"/>
        <w:rPr>
          <w:rStyle w:val="eop"/>
          <w:rFonts w:ascii="Aptos" w:hAnsi="Aptos" w:eastAsia="Calibri Light" w:cs="Arial"/>
          <w:sz w:val="22"/>
          <w:szCs w:val="22"/>
        </w:rPr>
      </w:pPr>
    </w:p>
    <w:p w:rsidRPr="00F44833" w:rsidR="00BD2909" w:rsidP="001F3B1B" w:rsidRDefault="00BD2909" w14:paraId="5BB17A15" w14:textId="77777777">
      <w:pPr>
        <w:pStyle w:val="paragraph"/>
        <w:numPr>
          <w:ilvl w:val="0"/>
          <w:numId w:val="43"/>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524D1DFC" w:rsidR="031E6882">
        <w:rPr>
          <w:rStyle w:val="normaltextrun"/>
          <w:rFonts w:ascii="Aptos" w:hAnsi="Aptos" w:cs="Arial"/>
          <w:b w:val="1"/>
          <w:bCs w:val="1"/>
          <w:sz w:val="22"/>
          <w:szCs w:val="22"/>
        </w:rPr>
        <w:t>Critical Evaluation:</w:t>
      </w:r>
      <w:r w:rsidRPr="524D1DFC" w:rsidR="031E6882">
        <w:rPr>
          <w:rStyle w:val="eop"/>
          <w:rFonts w:ascii="Aptos" w:hAnsi="Aptos" w:eastAsia="Calibri Light" w:cs="Arial"/>
          <w:sz w:val="22"/>
          <w:szCs w:val="22"/>
        </w:rPr>
        <w:t> </w:t>
      </w:r>
    </w:p>
    <w:p w:rsidRPr="00F44833" w:rsidR="00BD2909" w:rsidP="524D1DFC" w:rsidRDefault="00BD2909" w14:paraId="1787DF7C" w14:textId="5D20FC8F">
      <w:pPr>
        <w:pStyle w:val="paragraph"/>
        <w:spacing w:before="0" w:beforeAutospacing="off" w:after="0" w:afterAutospacing="off" w:line="360" w:lineRule="auto"/>
        <w:textAlignment w:val="baseline"/>
        <w:rPr>
          <w:rFonts w:ascii="Aptos" w:hAnsi="Aptos" w:cs="Segoe UI"/>
          <w:sz w:val="16"/>
          <w:szCs w:val="16"/>
        </w:rPr>
      </w:pPr>
      <w:r w:rsidRPr="524D1DFC" w:rsidR="031E6882">
        <w:rPr>
          <w:rStyle w:val="eop"/>
          <w:rFonts w:ascii="Aptos" w:hAnsi="Aptos" w:eastAsia="Calibri Light" w:cs="Arial"/>
          <w:sz w:val="22"/>
          <w:szCs w:val="22"/>
        </w:rPr>
        <w:t> </w:t>
      </w:r>
      <w:r w:rsidRPr="524D1DFC" w:rsidR="25523151">
        <w:rPr>
          <w:noProof w:val="0"/>
          <w:lang w:val="en-GB"/>
        </w:rPr>
        <w:t xml:space="preserve"> However, these theories carry both strengths and limitations. Ecological theory is widely praised for its holistic perspective, yet it can be criticised for being overly broad, making it difficult to operationalise in practice (Rosa &amp; Tudge, 2013). Inclusive education theory, while ethically compelling, is sometimes accused of being idealistic, as many schools struggle to implement inclusion effectively due to resource limitations and insufficient specialist training (Florian, 2019). The sick role concept has been criticised for being outdated and overly rigid, failing to account for the complexities of chronic, fluctuating conditions and the agency of children in managing their own health (Williams, 2019). These debates demonstrate the need to use theories critically and to recognise that no single framework fully explains the educational experiences of children with chronic illnesses.</w:t>
      </w:r>
    </w:p>
    <w:p w:rsidR="524D1DFC" w:rsidP="524D1DFC" w:rsidRDefault="524D1DFC" w14:paraId="7C38E248" w14:textId="69142E2B">
      <w:pPr>
        <w:pStyle w:val="paragraph"/>
        <w:spacing w:before="0" w:beforeAutospacing="off" w:after="0" w:afterAutospacing="off" w:line="360" w:lineRule="auto"/>
        <w:rPr>
          <w:rStyle w:val="normaltextrun"/>
          <w:rFonts w:ascii="Aptos" w:hAnsi="Aptos" w:cs="Arial"/>
          <w:color w:val="0F4761"/>
        </w:rPr>
      </w:pPr>
    </w:p>
    <w:p w:rsidRPr="00F44833" w:rsidR="00BD2909" w:rsidP="524D1DFC" w:rsidRDefault="00BD2909" w14:paraId="529565AC" w14:textId="59C3216B">
      <w:pPr>
        <w:pStyle w:val="paragraph"/>
        <w:spacing w:before="0" w:beforeAutospacing="off" w:after="0" w:afterAutospacing="off" w:line="360" w:lineRule="auto"/>
        <w:textAlignment w:val="baseline"/>
        <w:rPr>
          <w:rStyle w:val="eop"/>
          <w:rFonts w:ascii="Aptos" w:hAnsi="Aptos" w:eastAsia="Calibri Light" w:cs="Arial"/>
          <w:color w:val="0F4761"/>
        </w:rPr>
      </w:pPr>
      <w:r w:rsidRPr="524D1DFC" w:rsidR="031E6882">
        <w:rPr>
          <w:rStyle w:val="normaltextrun"/>
          <w:rFonts w:ascii="Aptos" w:hAnsi="Aptos" w:cs="Arial"/>
          <w:color w:val="0F4761"/>
        </w:rPr>
        <w:t>2.4 International Context</w:t>
      </w:r>
    </w:p>
    <w:p w:rsidRPr="00F44833" w:rsidR="00BD2909" w:rsidP="00F44833" w:rsidRDefault="00BD2909" w14:paraId="486A5837" w14:textId="77777777">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hAnsi="Aptos" w:eastAsia="Calibri Light" w:cs="Arial"/>
          <w:sz w:val="22"/>
          <w:szCs w:val="22"/>
        </w:rPr>
        <w:t> </w:t>
      </w:r>
    </w:p>
    <w:p w:rsidRPr="00F44833" w:rsidR="00BD2909" w:rsidP="001F3B1B" w:rsidRDefault="00BD2909" w14:paraId="32C722ED" w14:textId="77777777">
      <w:pPr>
        <w:pStyle w:val="paragraph"/>
        <w:numPr>
          <w:ilvl w:val="0"/>
          <w:numId w:val="4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524D1DFC" w:rsidR="031E6882">
        <w:rPr>
          <w:rStyle w:val="normaltextrun"/>
          <w:rFonts w:ascii="Aptos" w:hAnsi="Aptos" w:cs="Arial"/>
          <w:b w:val="1"/>
          <w:bCs w:val="1"/>
          <w:sz w:val="22"/>
          <w:szCs w:val="22"/>
        </w:rPr>
        <w:t>Global Perspective:</w:t>
      </w:r>
      <w:r w:rsidRPr="524D1DFC" w:rsidR="031E6882">
        <w:rPr>
          <w:rStyle w:val="eop"/>
          <w:rFonts w:ascii="Aptos" w:hAnsi="Aptos" w:eastAsia="Calibri Light" w:cs="Arial"/>
          <w:sz w:val="22"/>
          <w:szCs w:val="22"/>
        </w:rPr>
        <w:t> </w:t>
      </w:r>
    </w:p>
    <w:p w:rsidR="3EB9B2EE" w:rsidP="524D1DFC" w:rsidRDefault="3EB9B2EE" w14:paraId="459E58F2" w14:textId="4FDE32D5">
      <w:pPr>
        <w:pStyle w:val="paragraph"/>
        <w:tabs>
          <w:tab w:val="clear" w:leader="none" w:pos="720"/>
          <w:tab w:val="num" w:leader="none" w:pos="0"/>
        </w:tabs>
        <w:spacing w:before="0" w:beforeAutospacing="off" w:after="0" w:afterAutospacing="off" w:line="360" w:lineRule="auto"/>
        <w:ind w:left="0" w:firstLine="0"/>
      </w:pPr>
      <w:r w:rsidRPr="524D1DFC" w:rsidR="3EB9B2EE">
        <w:rPr>
          <w:noProof w:val="0"/>
          <w:lang w:val="en-GB"/>
        </w:rPr>
        <w:t>The educational support provided to children with chronic illnesses varies significantly across global contexts, reflecting differences in policy priorities, health–education collaboration, and cultural attitudes towards disability and illness. Internationally, there is growing recognition that chronic illness constitutes a major barrier to educational participation, prompting countries to adopt policies aimed at reducing inequities and promoting inclusive schooling (UNESCO, 2020). Many nations now frame support for chronically ill children within broader inclusive education agendas, emphasising access, participation, and cross-sector coordination.</w:t>
      </w:r>
    </w:p>
    <w:p w:rsidRPr="00F44833" w:rsidR="00BD2909" w:rsidP="001F3B1B" w:rsidRDefault="00BD2909" w14:paraId="03867E69" w14:textId="77777777">
      <w:pPr>
        <w:pStyle w:val="paragraph"/>
        <w:numPr>
          <w:ilvl w:val="0"/>
          <w:numId w:val="4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524D1DFC" w:rsidR="031E6882">
        <w:rPr>
          <w:rStyle w:val="normaltextrun"/>
          <w:rFonts w:ascii="Aptos" w:hAnsi="Aptos" w:cs="Arial"/>
          <w:b w:val="1"/>
          <w:bCs w:val="1"/>
          <w:sz w:val="22"/>
          <w:szCs w:val="22"/>
        </w:rPr>
        <w:t>Comparative Analysis:</w:t>
      </w:r>
      <w:r w:rsidRPr="524D1DFC" w:rsidR="031E6882">
        <w:rPr>
          <w:rStyle w:val="eop"/>
          <w:rFonts w:ascii="Aptos" w:hAnsi="Aptos" w:eastAsia="Calibri Light" w:cs="Arial"/>
          <w:sz w:val="22"/>
          <w:szCs w:val="22"/>
        </w:rPr>
        <w:t> </w:t>
      </w:r>
    </w:p>
    <w:p w:rsidR="494CBE92" w:rsidP="524D1DFC" w:rsidRDefault="494CBE92" w14:paraId="71A9E8BD" w14:textId="397B9530">
      <w:pPr>
        <w:spacing w:before="240" w:beforeAutospacing="off" w:after="240" w:afterAutospacing="off"/>
      </w:pPr>
      <w:r w:rsidRPr="524D1DFC" w:rsidR="494CBE92">
        <w:rPr>
          <w:noProof w:val="0"/>
          <w:lang w:val="en-GB"/>
        </w:rPr>
        <w:t>Key global trends include the development of national health-in-education frameworks, the integration of medical support within schools, and the expansion of remote or hospital-based education services. For example, in Australia, national guidelines require schools to implement individualised health plans and ensure continuity of learning during hospitalisation (Australian Government Department of Education, 2019). Nordic countries, particularly Sweden and Norway, take a rights-based approach, ensuring strong collaboration between health and education authorities to minimise disruptions to schooling caused by long-term conditions (Haug, 2017).</w:t>
      </w:r>
    </w:p>
    <w:p w:rsidR="494CBE92" w:rsidP="524D1DFC" w:rsidRDefault="494CBE92" w14:paraId="0786934D" w14:textId="04B63F14">
      <w:pPr>
        <w:spacing w:before="240" w:beforeAutospacing="off" w:after="240" w:afterAutospacing="off"/>
      </w:pPr>
      <w:r w:rsidRPr="524D1DFC" w:rsidR="494CBE92">
        <w:rPr>
          <w:noProof w:val="0"/>
          <w:lang w:val="en-GB"/>
        </w:rPr>
        <w:t>Comparatively, countries differ in how systematically these policies are implemented. The United States, for instance, mandates school-based support through laws such as Section 504 of the Rehabilitation Act and the Individuals with Disabilities Education Improvement Act, which require reasonable adjustments and individualised educational support for children with chronic health needs (Gilmour, 2021). In contrast, low- and middle-income countries often face challenges related to limited resources, fragmented services, and a lack of trained staff, resulting in inconsistent provision for chronically ill students (Krause et al., 2020). These disparities highlight persistent inequalities in access to support across the globe.</w:t>
      </w:r>
    </w:p>
    <w:p w:rsidR="524D1DFC" w:rsidP="524D1DFC" w:rsidRDefault="524D1DFC" w14:paraId="1C9BCD3F" w14:textId="67912B50">
      <w:pPr>
        <w:pStyle w:val="paragraph"/>
        <w:tabs>
          <w:tab w:val="clear" w:leader="none" w:pos="720"/>
          <w:tab w:val="num" w:leader="none" w:pos="0"/>
        </w:tabs>
        <w:spacing w:before="0" w:beforeAutospacing="off" w:after="0" w:afterAutospacing="off" w:line="360" w:lineRule="auto"/>
        <w:ind w:left="0" w:firstLine="0"/>
        <w:rPr>
          <w:rStyle w:val="eop"/>
          <w:rFonts w:ascii="Aptos" w:hAnsi="Aptos" w:eastAsia="Calibri Light" w:cs="Arial"/>
          <w:sz w:val="22"/>
          <w:szCs w:val="22"/>
        </w:rPr>
      </w:pPr>
    </w:p>
    <w:p w:rsidRPr="00F44833" w:rsidR="00BD2909" w:rsidP="524D1DFC" w:rsidRDefault="00BD2909" w14:paraId="63BB102D" w14:textId="572279C8">
      <w:pPr>
        <w:pStyle w:val="paragraph"/>
        <w:numPr>
          <w:ilvl w:val="0"/>
          <w:numId w:val="52"/>
        </w:numPr>
        <w:tabs>
          <w:tab w:val="clear" w:leader="none" w:pos="720"/>
          <w:tab w:val="num" w:leader="none" w:pos="0"/>
        </w:tabs>
        <w:spacing w:before="0" w:beforeAutospacing="off" w:after="0" w:afterAutospacing="off" w:line="360" w:lineRule="auto"/>
        <w:ind w:left="0" w:firstLine="0"/>
        <w:textAlignment w:val="baseline"/>
        <w:rPr>
          <w:rFonts w:ascii="Aptos" w:hAnsi="Aptos" w:cs="Segoe UI"/>
          <w:sz w:val="16"/>
          <w:szCs w:val="16"/>
        </w:rPr>
      </w:pPr>
      <w:r w:rsidRPr="524D1DFC" w:rsidR="031E6882">
        <w:rPr>
          <w:rStyle w:val="normaltextrun"/>
          <w:rFonts w:ascii="Aptos" w:hAnsi="Aptos" w:cs="Arial"/>
          <w:b w:val="1"/>
          <w:bCs w:val="1"/>
          <w:sz w:val="22"/>
          <w:szCs w:val="22"/>
        </w:rPr>
        <w:t>Case Studies:</w:t>
      </w:r>
      <w:r w:rsidRPr="524D1DFC" w:rsidR="031E6882">
        <w:rPr>
          <w:rStyle w:val="eop"/>
          <w:rFonts w:ascii="Aptos" w:hAnsi="Aptos" w:eastAsia="Calibri Light" w:cs="Arial"/>
          <w:sz w:val="22"/>
          <w:szCs w:val="22"/>
        </w:rPr>
        <w:t> </w:t>
      </w:r>
    </w:p>
    <w:p w:rsidRPr="00F44833" w:rsidR="00BD2909" w:rsidP="524D1DFC" w:rsidRDefault="00BD2909" w14:paraId="0B984578" w14:textId="24D7DC4C">
      <w:pPr>
        <w:pStyle w:val="paragraph"/>
        <w:spacing w:before="240" w:beforeAutospacing="off" w:after="240" w:afterAutospacing="off" w:line="360" w:lineRule="auto"/>
        <w:ind/>
        <w:textAlignment w:val="baseline"/>
        <w:rPr>
          <w:rFonts w:ascii="Aptos" w:hAnsi="Aptos" w:cs="Segoe UI"/>
          <w:sz w:val="16"/>
          <w:szCs w:val="16"/>
        </w:rPr>
      </w:pPr>
      <w:r w:rsidRPr="524D1DFC" w:rsidR="031E6882">
        <w:rPr>
          <w:rStyle w:val="eop"/>
          <w:rFonts w:ascii="Aptos" w:hAnsi="Aptos" w:eastAsia="Calibri Light" w:cs="Arial"/>
          <w:sz w:val="22"/>
          <w:szCs w:val="22"/>
        </w:rPr>
        <w:t> </w:t>
      </w:r>
      <w:r w:rsidRPr="524D1DFC" w:rsidR="3A560748">
        <w:rPr>
          <w:noProof w:val="0"/>
          <w:lang w:val="en-GB"/>
        </w:rPr>
        <w:t xml:space="preserve"> Several international initiatives aim to reduce these inequities. UNESCO’s </w:t>
      </w:r>
      <w:r w:rsidRPr="524D1DFC" w:rsidR="3A560748">
        <w:rPr>
          <w:i w:val="1"/>
          <w:iCs w:val="1"/>
          <w:noProof w:val="0"/>
          <w:lang w:val="en-GB"/>
        </w:rPr>
        <w:t>Global Education Monitoring Report</w:t>
      </w:r>
      <w:r w:rsidRPr="524D1DFC" w:rsidR="3A560748">
        <w:rPr>
          <w:noProof w:val="0"/>
          <w:lang w:val="en-GB"/>
        </w:rPr>
        <w:t xml:space="preserve"> has called for improved integration of health services in schools and emphasised the importance of reducing absenteeism and dropout rates among medically vulnerable children (UNESCO, 2020). Similarly, the WHO’s </w:t>
      </w:r>
      <w:r w:rsidRPr="524D1DFC" w:rsidR="3A560748">
        <w:rPr>
          <w:i w:val="1"/>
          <w:iCs w:val="1"/>
          <w:noProof w:val="0"/>
          <w:lang w:val="en-GB"/>
        </w:rPr>
        <w:t>School Health Programme</w:t>
      </w:r>
      <w:r w:rsidRPr="524D1DFC" w:rsidR="3A560748">
        <w:rPr>
          <w:noProof w:val="0"/>
          <w:lang w:val="en-GB"/>
        </w:rPr>
        <w:t xml:space="preserve"> advocates for stronger health–education partnerships worldwide, supporting countries to develop school-based health interventions that include chronic illness management (World Health Organization, 2018).</w:t>
      </w:r>
    </w:p>
    <w:p w:rsidRPr="00F44833" w:rsidR="00BD2909" w:rsidP="524D1DFC" w:rsidRDefault="00BD2909" w14:paraId="11B34065" w14:textId="3662F523">
      <w:pPr>
        <w:spacing w:before="240" w:beforeAutospacing="off" w:after="240" w:afterAutospacing="off" w:line="360" w:lineRule="auto"/>
        <w:ind/>
        <w:textAlignment w:val="baseline"/>
      </w:pPr>
      <w:r w:rsidRPr="524D1DFC" w:rsidR="3A560748">
        <w:rPr>
          <w:noProof w:val="0"/>
          <w:lang w:val="en-GB"/>
        </w:rPr>
        <w:t>Case studies further illustrate international diversity in practice. In Japan, “school return support teams” help children transition back to school after prolonged hospital stays, demonstrating a coordinated and culturally sensitive approach to reintegration (Okubo &amp; Izumi, 2019). Meanwhile, South Africa’s hospital schools provide essential educational continuity, but they struggle with underfunding and teacher shortages, limiting their effectiveness (Nkosi, 2021). These examples show that while many countries recognise the importance of supporting chronically ill learners, the ability to implement comprehensive support structures varies widely.</w:t>
      </w:r>
    </w:p>
    <w:p w:rsidRPr="00F44833" w:rsidR="00BD2909" w:rsidP="524D1DFC" w:rsidRDefault="00BD2909" w14:paraId="302C6B72" w14:textId="099C9825">
      <w:pPr>
        <w:pStyle w:val="paragraph"/>
        <w:tabs>
          <w:tab w:val="clear" w:leader="none" w:pos="720"/>
          <w:tab w:val="num" w:leader="none" w:pos="0"/>
        </w:tabs>
        <w:spacing w:before="0" w:beforeAutospacing="off" w:after="0" w:afterAutospacing="off" w:line="360" w:lineRule="auto"/>
        <w:ind w:left="0" w:firstLine="0"/>
        <w:textAlignment w:val="baseline"/>
        <w:rPr>
          <w:rStyle w:val="eop"/>
          <w:rFonts w:ascii="Aptos" w:hAnsi="Aptos" w:eastAsia="Calibri Light" w:cs="Arial"/>
          <w:sz w:val="22"/>
          <w:szCs w:val="22"/>
        </w:rPr>
      </w:pPr>
    </w:p>
    <w:p w:rsidRPr="00F44833" w:rsidR="00BD2909" w:rsidP="524D1DFC" w:rsidRDefault="00BD2909" w14:paraId="3322C689" w14:textId="48DD5F63">
      <w:pPr>
        <w:pStyle w:val="paragraph"/>
        <w:spacing w:before="0" w:beforeAutospacing="off" w:after="0" w:afterAutospacing="off" w:line="360" w:lineRule="auto"/>
        <w:textAlignment w:val="baseline"/>
        <w:rPr>
          <w:rStyle w:val="eop"/>
          <w:rFonts w:ascii="Aptos" w:hAnsi="Aptos" w:eastAsia="Calibri Light" w:cs="Arial"/>
          <w:color w:val="0F4761"/>
        </w:rPr>
      </w:pPr>
      <w:r w:rsidRPr="524D1DFC" w:rsidR="031E6882">
        <w:rPr>
          <w:rStyle w:val="normaltextrun"/>
          <w:rFonts w:ascii="Aptos" w:hAnsi="Aptos" w:cs="Arial"/>
          <w:color w:val="0F4761"/>
        </w:rPr>
        <w:t>2.5 National/Local UK Context</w:t>
      </w:r>
    </w:p>
    <w:p w:rsidRPr="00F44833" w:rsidR="00BD2909" w:rsidP="00F44833" w:rsidRDefault="00BD2909" w14:paraId="5827529B" w14:textId="77777777">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hAnsi="Aptos" w:eastAsia="Calibri Light" w:cs="Arial"/>
          <w:sz w:val="22"/>
          <w:szCs w:val="22"/>
        </w:rPr>
        <w:t> </w:t>
      </w:r>
    </w:p>
    <w:p w:rsidRPr="00F44833" w:rsidR="00BD2909" w:rsidP="001F3B1B" w:rsidRDefault="00BD2909" w14:paraId="7798E02B" w14:textId="77777777">
      <w:pPr>
        <w:pStyle w:val="paragraph"/>
        <w:numPr>
          <w:ilvl w:val="0"/>
          <w:numId w:val="5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524D1DFC" w:rsidR="031E6882">
        <w:rPr>
          <w:rStyle w:val="normaltextrun"/>
          <w:rFonts w:ascii="Aptos" w:hAnsi="Aptos" w:cs="Arial"/>
          <w:b w:val="1"/>
          <w:bCs w:val="1"/>
          <w:sz w:val="22"/>
          <w:szCs w:val="22"/>
        </w:rPr>
        <w:t>UK Perspective:</w:t>
      </w:r>
      <w:r w:rsidRPr="524D1DFC" w:rsidR="031E6882">
        <w:rPr>
          <w:rStyle w:val="eop"/>
          <w:rFonts w:ascii="Aptos" w:hAnsi="Aptos" w:eastAsia="Calibri Light" w:cs="Arial"/>
          <w:sz w:val="22"/>
          <w:szCs w:val="22"/>
        </w:rPr>
        <w:t> </w:t>
      </w:r>
    </w:p>
    <w:p w:rsidR="0E09E39D" w:rsidP="524D1DFC" w:rsidRDefault="0E09E39D" w14:paraId="50704A09" w14:textId="6EFBC92E">
      <w:pPr>
        <w:pStyle w:val="paragraph"/>
        <w:tabs>
          <w:tab w:val="clear" w:leader="none" w:pos="720"/>
          <w:tab w:val="num" w:leader="none" w:pos="0"/>
        </w:tabs>
        <w:spacing w:before="0" w:beforeAutospacing="off" w:after="0" w:afterAutospacing="off" w:line="360" w:lineRule="auto"/>
        <w:ind w:left="0" w:firstLine="0"/>
      </w:pPr>
      <w:r w:rsidRPr="524D1DFC" w:rsidR="0E09E39D">
        <w:rPr>
          <w:noProof w:val="0"/>
          <w:lang w:val="en-GB"/>
        </w:rPr>
        <w:t>In the United Kingdom, supporting children with chronic illnesses in education is recognised as a vital component of promoting equality, safeguarding wellbeing, and ensuring access to learning. Nationally, the topic is framed within the broader commitment to inclusive education, with chronic illness increasingly acknowledged as a factor that can significantly impact attendance, attainment, and emotional wellbeing (Long and Gulliford, 2023). The UK has adopted a holistic approach that emphasises collaboration between schools, health services, and families, ensuring that support is tailored to individual medical and educational needs.</w:t>
      </w:r>
    </w:p>
    <w:p w:rsidRPr="00F44833" w:rsidR="00BD2909" w:rsidP="001F3B1B" w:rsidRDefault="00BD2909" w14:paraId="541897B0" w14:textId="77777777">
      <w:pPr>
        <w:pStyle w:val="paragraph"/>
        <w:numPr>
          <w:ilvl w:val="0"/>
          <w:numId w:val="58"/>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524D1DFC" w:rsidR="031E6882">
        <w:rPr>
          <w:rStyle w:val="normaltextrun"/>
          <w:rFonts w:ascii="Aptos" w:hAnsi="Aptos" w:cs="Arial"/>
          <w:b w:val="1"/>
          <w:bCs w:val="1"/>
          <w:sz w:val="22"/>
          <w:szCs w:val="22"/>
        </w:rPr>
        <w:t>Policy and Regulation:</w:t>
      </w:r>
      <w:r w:rsidRPr="524D1DFC" w:rsidR="031E6882">
        <w:rPr>
          <w:rStyle w:val="eop"/>
          <w:rFonts w:ascii="Aptos" w:hAnsi="Aptos" w:eastAsia="Calibri Light" w:cs="Arial"/>
          <w:sz w:val="22"/>
          <w:szCs w:val="22"/>
        </w:rPr>
        <w:t> </w:t>
      </w:r>
    </w:p>
    <w:p w:rsidR="2503FC73" w:rsidP="524D1DFC" w:rsidRDefault="2503FC73" w14:paraId="369D2243" w14:textId="19C792FA">
      <w:pPr>
        <w:spacing w:before="240" w:beforeAutospacing="off" w:after="240" w:afterAutospacing="off"/>
      </w:pPr>
      <w:r w:rsidRPr="524D1DFC" w:rsidR="2503FC73">
        <w:rPr>
          <w:noProof w:val="0"/>
          <w:lang w:val="en-GB"/>
        </w:rPr>
        <w:t xml:space="preserve">A key national policy shaping practice is the </w:t>
      </w:r>
      <w:r w:rsidRPr="524D1DFC" w:rsidR="2503FC73">
        <w:rPr>
          <w:b w:val="0"/>
          <w:bCs w:val="0"/>
          <w:noProof w:val="0"/>
          <w:lang w:val="en-GB"/>
        </w:rPr>
        <w:t>Children and Families Act 2014</w:t>
      </w:r>
      <w:r w:rsidRPr="524D1DFC" w:rsidR="2503FC73">
        <w:rPr>
          <w:b w:val="0"/>
          <w:bCs w:val="0"/>
          <w:noProof w:val="0"/>
          <w:lang w:val="en-GB"/>
        </w:rPr>
        <w:t>,</w:t>
      </w:r>
      <w:r w:rsidRPr="524D1DFC" w:rsidR="2503FC73">
        <w:rPr>
          <w:noProof w:val="0"/>
          <w:lang w:val="en-GB"/>
        </w:rPr>
        <w:t xml:space="preserve"> which established the requirement for schools to support pupils with medical conditions and to implement Individual Healthcare Plans (IHPs). Its accompanying statutory guidance, </w:t>
      </w:r>
      <w:r w:rsidRPr="524D1DFC" w:rsidR="2503FC73">
        <w:rPr>
          <w:i w:val="1"/>
          <w:iCs w:val="1"/>
          <w:noProof w:val="0"/>
          <w:lang w:val="en-GB"/>
        </w:rPr>
        <w:t>Supporting Pupils at School with Medical Conditions</w:t>
      </w:r>
      <w:r w:rsidRPr="524D1DFC" w:rsidR="2503FC73">
        <w:rPr>
          <w:noProof w:val="0"/>
          <w:lang w:val="en-GB"/>
        </w:rPr>
        <w:t xml:space="preserve"> (Department for Education, 2015), sets out expectations for training, communication with health professionals, risk assessments, and appropriate adjustments. The Equality Act 2010 also plays a central role by obliging schools to avoid discrimination and make reasonable adjustments for pupils with long-term health needs (Harris, 2021). These policies collectively ensure that chronic illness is recognised not only as a health issue but as an educational requirement that demands clear planning and provision.</w:t>
      </w:r>
    </w:p>
    <w:p w:rsidR="2503FC73" w:rsidP="524D1DFC" w:rsidRDefault="2503FC73" w14:paraId="44F98A4E" w14:textId="5549DF7A">
      <w:pPr>
        <w:spacing w:before="240" w:beforeAutospacing="off" w:after="240" w:afterAutospacing="off"/>
      </w:pPr>
      <w:r w:rsidRPr="524D1DFC" w:rsidR="2503FC73">
        <w:rPr>
          <w:noProof w:val="0"/>
          <w:lang w:val="en-GB"/>
        </w:rPr>
        <w:t>National trends show increasing emphasis on mental health and attendance, both of which intersect with chronic illness. The UK government’s focus on reducing persistent absenteeism has led to concerns about how attendance policies account for legitimate illness-related absences (Menzies and Wood, 2022). At the same time, the NHS’s expansion of children and young people’s community health services has supported better integration between medical and educational care, especially for long-term conditions such as asthma, epilepsy, and diabetes (NHS England, 2020).</w:t>
      </w:r>
    </w:p>
    <w:p w:rsidR="524D1DFC" w:rsidP="524D1DFC" w:rsidRDefault="524D1DFC" w14:paraId="26BAA5FB" w14:textId="15397E8C">
      <w:pPr>
        <w:pStyle w:val="paragraph"/>
        <w:tabs>
          <w:tab w:val="clear" w:leader="none" w:pos="720"/>
          <w:tab w:val="num" w:leader="none" w:pos="0"/>
        </w:tabs>
        <w:spacing w:before="0" w:beforeAutospacing="off" w:after="0" w:afterAutospacing="off" w:line="360" w:lineRule="auto"/>
        <w:ind w:left="0" w:firstLine="0"/>
        <w:rPr>
          <w:rStyle w:val="eop"/>
          <w:rFonts w:ascii="Aptos" w:hAnsi="Aptos" w:eastAsia="Calibri Light" w:cs="Arial"/>
          <w:sz w:val="22"/>
          <w:szCs w:val="22"/>
        </w:rPr>
      </w:pPr>
    </w:p>
    <w:p w:rsidRPr="00F44833" w:rsidR="00BD2909" w:rsidP="001F3B1B" w:rsidRDefault="00BD2909" w14:paraId="41CEB57F" w14:textId="77777777">
      <w:pPr>
        <w:pStyle w:val="paragraph"/>
        <w:numPr>
          <w:ilvl w:val="0"/>
          <w:numId w:val="6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524D1DFC" w:rsidR="031E6882">
        <w:rPr>
          <w:rStyle w:val="normaltextrun"/>
          <w:rFonts w:ascii="Aptos" w:hAnsi="Aptos" w:cs="Arial"/>
          <w:b w:val="1"/>
          <w:bCs w:val="1"/>
          <w:sz w:val="22"/>
          <w:szCs w:val="22"/>
        </w:rPr>
        <w:t>Local Context:</w:t>
      </w:r>
      <w:r w:rsidRPr="524D1DFC" w:rsidR="031E6882">
        <w:rPr>
          <w:rStyle w:val="eop"/>
          <w:rFonts w:ascii="Aptos" w:hAnsi="Aptos" w:eastAsia="Calibri Light" w:cs="Arial"/>
          <w:sz w:val="22"/>
          <w:szCs w:val="22"/>
        </w:rPr>
        <w:t> </w:t>
      </w:r>
    </w:p>
    <w:p w:rsidRPr="00F44833" w:rsidR="00BD2909" w:rsidP="524D1DFC" w:rsidRDefault="00BD2909" w14:paraId="444BAA63" w14:textId="62A295A8">
      <w:pPr>
        <w:spacing w:before="240" w:beforeAutospacing="off" w:after="240" w:afterAutospacing="off" w:line="360" w:lineRule="auto"/>
        <w:ind/>
        <w:textAlignment w:val="baseline"/>
      </w:pPr>
      <w:r w:rsidRPr="524D1DFC" w:rsidR="6D5B39E9">
        <w:rPr>
          <w:noProof w:val="0"/>
          <w:lang w:val="en-GB"/>
        </w:rPr>
        <w:t>At the local level, implementation varies between regions and local authorities. Some areas, such as Greater Manchester and West Yorkshire, have developed integrated care systems that place education within wider child health strategies, improving coordination between schools and health teams (Sheard et al., 2022). Local authorities often support home and hospital tuition services for children unable to attend school, though provision differs based on funding, capacity, and regional priorities (Lambert, 2021). These regional variations can lead to discrepancies in the consistency and quality of support available.</w:t>
      </w:r>
    </w:p>
    <w:p w:rsidRPr="00F44833" w:rsidR="00BD2909" w:rsidP="524D1DFC" w:rsidRDefault="00BD2909" w14:paraId="7AB0CCFD" w14:textId="5007B45F">
      <w:pPr>
        <w:spacing w:before="240" w:beforeAutospacing="off" w:after="240" w:afterAutospacing="off" w:line="360" w:lineRule="auto"/>
        <w:ind/>
        <w:textAlignment w:val="baseline"/>
      </w:pPr>
      <w:r w:rsidRPr="524D1DFC" w:rsidR="6D5B39E9">
        <w:rPr>
          <w:noProof w:val="0"/>
          <w:lang w:val="en-GB"/>
        </w:rPr>
        <w:t>Local initiatives also demonstrate innovation. For example, certain London boroughs have piloted digital learning support for chronically ill pupils to maintain academic continuity during treatment phases, while councils in Scotland have integrated school nurses more deeply into educational settings, enhancing monitoring and early intervention (Scottish Government, 2021). Such initiatives highlight the potential of locally driven programmes, while also underscoring the need for national consistency to reduce disparities in provision.</w:t>
      </w:r>
      <w:r w:rsidRPr="524D1DFC" w:rsidR="6D5B39E9">
        <w:rPr>
          <w:rStyle w:val="eop"/>
          <w:rFonts w:ascii="Aptos" w:hAnsi="Aptos" w:eastAsia="Calibri Light" w:cs="Arial"/>
          <w:sz w:val="22"/>
          <w:szCs w:val="22"/>
        </w:rPr>
        <w:t xml:space="preserve"> </w:t>
      </w:r>
    </w:p>
    <w:p w:rsidRPr="00F44833" w:rsidR="00BD2909" w:rsidP="524D1DFC" w:rsidRDefault="00BD2909" w14:paraId="02B58706" w14:textId="030E2DBB">
      <w:pPr>
        <w:pStyle w:val="paragraph"/>
        <w:tabs>
          <w:tab w:val="clear" w:pos="720"/>
          <w:tab w:val="num" w:pos="0"/>
        </w:tabs>
        <w:spacing w:before="0" w:beforeAutospacing="off" w:after="0" w:afterAutospacing="off" w:line="360" w:lineRule="auto"/>
        <w:ind w:left="0" w:firstLine="0"/>
        <w:textAlignment w:val="baseline"/>
        <w:rPr>
          <w:rFonts w:ascii="Aptos" w:hAnsi="Aptos" w:cs="Arial"/>
          <w:sz w:val="22"/>
          <w:szCs w:val="22"/>
        </w:rPr>
      </w:pPr>
      <w:r w:rsidRPr="524D1DFC" w:rsidR="031E6882">
        <w:rPr>
          <w:rStyle w:val="eop"/>
          <w:rFonts w:ascii="Aptos" w:hAnsi="Aptos" w:eastAsia="Calibri Light" w:cs="Arial"/>
          <w:sz w:val="22"/>
          <w:szCs w:val="22"/>
        </w:rPr>
        <w:t> </w:t>
      </w:r>
    </w:p>
    <w:p w:rsidRPr="00F44833" w:rsidR="00BD2909" w:rsidP="00F44833" w:rsidRDefault="00BD2909" w14:paraId="09099AFE" w14:textId="77777777">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hAnsi="Aptos" w:eastAsia="Calibri Light" w:cs="Arial"/>
          <w:sz w:val="22"/>
          <w:szCs w:val="22"/>
        </w:rPr>
        <w:t> </w:t>
      </w:r>
    </w:p>
    <w:p w:rsidRPr="00F44833" w:rsidR="00BD2909" w:rsidP="524D1DFC" w:rsidRDefault="00BD2909" w14:paraId="508BC363" w14:textId="47508FA3">
      <w:pPr>
        <w:pStyle w:val="paragraph"/>
        <w:spacing w:before="0" w:beforeAutospacing="off" w:after="0" w:afterAutospacing="off" w:line="360" w:lineRule="auto"/>
        <w:textAlignment w:val="baseline"/>
        <w:rPr>
          <w:rStyle w:val="eop"/>
          <w:rFonts w:ascii="Aptos" w:hAnsi="Aptos" w:eastAsia="Calibri Light" w:cs="Arial"/>
          <w:color w:val="0F4761"/>
        </w:rPr>
      </w:pPr>
      <w:r w:rsidRPr="524D1DFC" w:rsidR="031E6882">
        <w:rPr>
          <w:rStyle w:val="normaltextrun"/>
          <w:rFonts w:ascii="Aptos" w:hAnsi="Aptos" w:cs="Arial"/>
          <w:color w:val="0F4761"/>
        </w:rPr>
        <w:t>2.6 Conclusion</w:t>
      </w:r>
    </w:p>
    <w:p w:rsidRPr="00F44833" w:rsidR="00BD2909" w:rsidP="00F44833" w:rsidRDefault="00BD2909" w14:paraId="1CD397E1" w14:textId="77777777">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hAnsi="Aptos" w:eastAsia="Calibri Light" w:cs="Arial"/>
          <w:sz w:val="22"/>
          <w:szCs w:val="22"/>
        </w:rPr>
        <w:t> </w:t>
      </w:r>
    </w:p>
    <w:p w:rsidRPr="00F44833" w:rsidR="00BD2909" w:rsidP="001F3B1B" w:rsidRDefault="00BD2909" w14:paraId="7C766502" w14:textId="77777777">
      <w:pPr>
        <w:pStyle w:val="paragraph"/>
        <w:numPr>
          <w:ilvl w:val="0"/>
          <w:numId w:val="64"/>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524D1DFC" w:rsidR="031E6882">
        <w:rPr>
          <w:rStyle w:val="normaltextrun"/>
          <w:rFonts w:ascii="Aptos" w:hAnsi="Aptos" w:cs="Arial"/>
          <w:b w:val="1"/>
          <w:bCs w:val="1"/>
          <w:sz w:val="22"/>
          <w:szCs w:val="22"/>
        </w:rPr>
        <w:t>Summary of Key Points:</w:t>
      </w:r>
      <w:r w:rsidRPr="524D1DFC" w:rsidR="031E6882">
        <w:rPr>
          <w:rStyle w:val="eop"/>
          <w:rFonts w:ascii="Aptos" w:hAnsi="Aptos" w:eastAsia="Calibri Light" w:cs="Arial"/>
          <w:sz w:val="22"/>
          <w:szCs w:val="22"/>
        </w:rPr>
        <w:t> </w:t>
      </w:r>
    </w:p>
    <w:p w:rsidRPr="00FF56FB" w:rsidR="000D0641" w:rsidP="524D1DFC" w:rsidRDefault="000D0641" w14:paraId="76281DBC" w14:textId="0FCBA9EF">
      <w:pPr>
        <w:spacing w:before="240" w:beforeAutospacing="off" w:after="240" w:afterAutospacing="off"/>
      </w:pPr>
      <w:r w:rsidRPr="524D1DFC" w:rsidR="03F5AB4D">
        <w:rPr>
          <w:rFonts w:ascii="Aptos" w:hAnsi="Aptos" w:eastAsia="Aptos" w:cs="Aptos"/>
          <w:noProof w:val="0"/>
          <w:sz w:val="22"/>
          <w:szCs w:val="22"/>
          <w:lang w:val="en-GB"/>
        </w:rPr>
        <w:t>This chapter has provided a comprehensive background to understanding how children with chronic illnesses are supported within educational settings. It has outlined the historical developments that shaped current approaches, the theoretical frameworks that guide interpretations of children's experiences, and the international perspectives that illuminate global trends and practices. The chapter has also examined the national and local UK context, highlighting the policies, legislation, and regional initiatives that influence the provision of support for chronically ill learners (Davies, 2022; Patel, 2021). Together, these perspectives establish a strong foundation for understanding the complexity of educational inclusion for this group.</w:t>
      </w:r>
    </w:p>
    <w:p w:rsidRPr="00FF56FB" w:rsidR="000D0641" w:rsidP="524D1DFC" w:rsidRDefault="000D0641" w14:paraId="3B89B0B1" w14:textId="041829CB">
      <w:pPr>
        <w:spacing w:before="240" w:beforeAutospacing="off" w:after="240" w:afterAutospacing="off"/>
      </w:pPr>
      <w:r w:rsidRPr="524D1DFC" w:rsidR="03F5AB4D">
        <w:rPr>
          <w:rFonts w:ascii="Aptos" w:hAnsi="Aptos" w:eastAsia="Aptos" w:cs="Aptos"/>
          <w:noProof w:val="0"/>
          <w:sz w:val="22"/>
          <w:szCs w:val="22"/>
          <w:lang w:val="en-GB"/>
        </w:rPr>
        <w:t>As the dissertation moves into the methodology chapter, the insights gained here will inform key methodological choices. The historical and policy context helps justify the focus of the study, while the theoretical frameworks shape the research design and analytical approach (Morgan, 2019). Chapter 3 will therefore build on this background to explain how the research will be conducted.</w:t>
      </w:r>
    </w:p>
    <w:p w:rsidRPr="00FF56FB" w:rsidR="000D0641" w:rsidP="000D0641" w:rsidRDefault="000D0641" w14:paraId="466B0331" w14:textId="3D0FEAA1"/>
    <w:p w:rsidR="000D0641" w:rsidRDefault="000D0641" w14:paraId="5DDAF423" w14:textId="77777777"/>
    <w:p w:rsidR="00292A36" w:rsidRDefault="00292A36" w14:paraId="0775F236" w14:textId="77777777"/>
    <w:p w:rsidR="00292A36" w:rsidRDefault="00292A36" w14:paraId="360ADA1A" w14:textId="77777777"/>
    <w:p w:rsidR="00880B2D" w:rsidRDefault="00880B2D" w14:paraId="4E2D256A" w14:textId="77777777"/>
    <w:p w:rsidR="00880B2D" w:rsidRDefault="00880B2D" w14:paraId="0A075791" w14:textId="77777777"/>
    <w:p w:rsidR="00880B2D" w:rsidRDefault="00880B2D" w14:paraId="407ABDAE" w14:textId="4F32BB8B">
      <w:pPr>
        <w:sectPr w:rsidR="00880B2D">
          <w:footerReference w:type="default" r:id="rId12"/>
          <w:pgSz w:w="11906" w:h="16838" w:orient="portrait"/>
          <w:pgMar w:top="1440" w:right="1440" w:bottom="1440" w:left="1440" w:header="708" w:footer="708" w:gutter="0"/>
          <w:cols w:space="708"/>
          <w:docGrid w:linePitch="360"/>
          <w:headerReference w:type="default" r:id="Ra182aea4167a4a31"/>
        </w:sectPr>
      </w:pPr>
    </w:p>
    <w:p w:rsidRPr="00292A36" w:rsidR="00292A36" w:rsidP="0021364B" w:rsidRDefault="00292A36" w14:paraId="398427E3" w14:textId="181EA712">
      <w:pPr>
        <w:pStyle w:val="Heading1"/>
        <w:ind w:left="0"/>
        <w:rPr>
          <w:rFonts w:ascii="Aptos" w:hAnsi="Aptos"/>
        </w:rPr>
      </w:pPr>
      <w:bookmarkStart w:name="_Toc213058146" w:id="4"/>
      <w:r w:rsidRPr="00292A36">
        <w:rPr>
          <w:rFonts w:ascii="Aptos" w:hAnsi="Aptos"/>
        </w:rPr>
        <w:t>C</w:t>
      </w:r>
      <w:r>
        <w:rPr>
          <w:rFonts w:ascii="Aptos" w:hAnsi="Aptos"/>
        </w:rPr>
        <w:t>HAPTER</w:t>
      </w:r>
      <w:r w:rsidRPr="00292A36">
        <w:rPr>
          <w:rFonts w:ascii="Aptos" w:hAnsi="Aptos"/>
        </w:rPr>
        <w:t xml:space="preserve"> 3 – </w:t>
      </w:r>
      <w:r w:rsidR="00E325CF">
        <w:rPr>
          <w:rFonts w:ascii="Aptos" w:hAnsi="Aptos"/>
        </w:rPr>
        <w:t>Methods and Search Strategy (1,000 words approx.)</w:t>
      </w:r>
      <w:bookmarkEnd w:id="4"/>
      <w:r w:rsidR="00E325CF">
        <w:rPr>
          <w:rFonts w:ascii="Aptos" w:hAnsi="Aptos"/>
        </w:rPr>
        <w:t xml:space="preserve"> </w:t>
      </w:r>
    </w:p>
    <w:p w:rsidRPr="00292A36" w:rsidR="00292A36" w:rsidP="00292A36" w:rsidRDefault="00292A36" w14:paraId="1DFAFBD2" w14:textId="77777777"/>
    <w:p w:rsidR="007C246B" w:rsidP="00785752" w:rsidRDefault="00292A36" w14:paraId="140511F2" w14:textId="4F5B77AE">
      <w:r w:rsidRPr="00292A36">
        <w:t xml:space="preserve">Below is a template and guidance on how to </w:t>
      </w:r>
      <w:r w:rsidR="000D05D8">
        <w:t xml:space="preserve">incorporate the Academic Methodology Poster </w:t>
      </w:r>
      <w:r w:rsidR="00FD7C22">
        <w:t xml:space="preserve">within your dissertation. </w:t>
      </w:r>
      <w:r w:rsidRPr="00292A36">
        <w:t xml:space="preserve"> Please read the whole document carefully and familiarise yourself with the BMHP6020 - Independent Project Moodle page which also includes a step-by-step PowerPoint Guide.  </w:t>
      </w:r>
    </w:p>
    <w:p w:rsidRPr="00B7073C" w:rsidR="00FD7C22" w:rsidP="00B7073C" w:rsidRDefault="005119DE" w14:paraId="32D2EE93" w14:textId="38DCC8D7">
      <w:r w:rsidR="110C9E56">
        <w:rPr/>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1DBCC97E">
        <w:rPr/>
        <w:t xml:space="preserve"> If you are including tables that you have created in this section, you</w:t>
      </w:r>
      <w:r w:rsidR="1DBCC97E">
        <w:rPr>
          <w:b w:val="0"/>
          <w:bCs w:val="0"/>
        </w:rPr>
        <w:t xml:space="preserve"> </w:t>
      </w:r>
      <w:r w:rsidR="1DBCC97E">
        <w:rPr>
          <w:b w:val="0"/>
          <w:bCs w:val="0"/>
        </w:rPr>
        <w:t>might</w:t>
      </w:r>
      <w:r w:rsidR="1DBCC97E">
        <w:rPr/>
        <w:t xml:space="preserve"> go over the suggested word count, that is okay! (if you are worried then signpost and include in your appendices instead). </w:t>
      </w:r>
    </w:p>
    <w:p w:rsidRPr="00292A36" w:rsidR="00B7073C" w:rsidP="00B7073C" w:rsidRDefault="00B7073C" w14:paraId="5C2EC55E" w14:textId="77777777"/>
    <w:p w:rsidR="003A66FD" w:rsidP="00E40B0D" w:rsidRDefault="00292A36" w14:paraId="5A7AB555" w14:textId="01451B1C">
      <w:pPr>
        <w:pStyle w:val="Heading2"/>
      </w:pPr>
      <w:bookmarkStart w:name="_Toc213058147" w:id="5"/>
      <w:r w:rsidR="78FBC936">
        <w:rPr/>
        <w:t>3.</w:t>
      </w:r>
      <w:r w:rsidR="75A2F87D">
        <w:rPr/>
        <w:t>1</w:t>
      </w:r>
      <w:r w:rsidR="78FBC936">
        <w:rPr/>
        <w:t xml:space="preserve"> –</w:t>
      </w:r>
      <w:r w:rsidR="5202BED1">
        <w:rPr/>
        <w:t xml:space="preserve"> </w:t>
      </w:r>
      <w:r w:rsidR="78FBC936">
        <w:rPr/>
        <w:t>Introduction</w:t>
      </w:r>
      <w:bookmarkEnd w:id="5"/>
    </w:p>
    <w:p w:rsidRPr="005B3EDE" w:rsidR="005B3EDE" w:rsidP="005B3EDE" w:rsidRDefault="005B3EDE" w14:paraId="12EDC25C" w14:textId="77777777">
      <w:pPr>
        <w:pStyle w:val="NormalWeb"/>
        <w:spacing w:line="360" w:lineRule="auto"/>
        <w:rPr>
          <w:rFonts w:ascii="Aptos" w:hAnsi="Aptos"/>
          <w:sz w:val="22"/>
          <w:szCs w:val="22"/>
        </w:rPr>
      </w:pPr>
      <w:r w:rsidRPr="524D1DFC" w:rsidR="49566721">
        <w:rPr>
          <w:rFonts w:hAnsi="Symbol"/>
          <w:sz w:val="22"/>
          <w:szCs w:val="22"/>
        </w:rPr>
        <w:t></w:t>
      </w:r>
      <w:r w:rsidRPr="524D1DFC" w:rsidR="49566721">
        <w:rPr>
          <w:sz w:val="22"/>
          <w:szCs w:val="22"/>
        </w:rPr>
        <w:t xml:space="preserve">  </w:t>
      </w:r>
      <w:r w:rsidRPr="524D1DFC" w:rsidR="49566721">
        <w:rPr>
          <w:rStyle w:val="Strong"/>
          <w:rFonts w:ascii="Aptos" w:hAnsi="Aptos" w:eastAsia="Calibri Light"/>
          <w:sz w:val="22"/>
          <w:szCs w:val="22"/>
        </w:rPr>
        <w:t>Purpose of the Chapter:</w:t>
      </w:r>
    </w:p>
    <w:p w:rsidR="2E35BCA3" w:rsidP="524D1DFC" w:rsidRDefault="2E35BCA3" w14:paraId="175BF80F" w14:textId="5D963212">
      <w:pPr>
        <w:pStyle w:val="NormalWeb"/>
        <w:spacing w:line="360" w:lineRule="auto"/>
      </w:pPr>
      <w:r w:rsidRPr="524D1DFC" w:rsidR="2E35BCA3">
        <w:rPr>
          <w:noProof w:val="0"/>
          <w:lang w:val="en-GB"/>
        </w:rPr>
        <w:t>This chapter outlines the methodological approach used to conduct the research, which is based on a desk-based, literature</w:t>
      </w:r>
      <w:r w:rsidRPr="524D1DFC" w:rsidR="7C1067E8">
        <w:rPr>
          <w:noProof w:val="0"/>
          <w:lang w:val="en-GB"/>
        </w:rPr>
        <w:t xml:space="preserve"> </w:t>
      </w:r>
      <w:r w:rsidRPr="524D1DFC" w:rsidR="2E35BCA3">
        <w:rPr>
          <w:noProof w:val="0"/>
          <w:lang w:val="en-GB"/>
        </w:rPr>
        <w:t xml:space="preserve">focused design. It expands on the academic </w:t>
      </w:r>
      <w:r w:rsidRPr="524D1DFC" w:rsidR="2E35BCA3">
        <w:rPr>
          <w:noProof w:val="0"/>
          <w:lang w:val="en-GB"/>
        </w:rPr>
        <w:t>methodology</w:t>
      </w:r>
      <w:r w:rsidRPr="524D1DFC" w:rsidR="2E35BCA3">
        <w:rPr>
          <w:noProof w:val="0"/>
          <w:lang w:val="en-GB"/>
        </w:rPr>
        <w:t xml:space="preserve"> poster previously presented, offering a detailed explanation of each </w:t>
      </w:r>
      <w:r w:rsidRPr="524D1DFC" w:rsidR="2E35BCA3">
        <w:rPr>
          <w:noProof w:val="0"/>
          <w:lang w:val="en-GB"/>
        </w:rPr>
        <w:t>component</w:t>
      </w:r>
      <w:r w:rsidRPr="524D1DFC" w:rsidR="2E35BCA3">
        <w:rPr>
          <w:noProof w:val="0"/>
          <w:lang w:val="en-GB"/>
        </w:rPr>
        <w:t xml:space="preserve"> of the research process (Thomas, 2022). By drawing on established guidance for literature-based inquiry, this chapter explains how relevant academic sources were </w:t>
      </w:r>
      <w:r w:rsidRPr="524D1DFC" w:rsidR="2E35BCA3">
        <w:rPr>
          <w:noProof w:val="0"/>
          <w:lang w:val="en-GB"/>
        </w:rPr>
        <w:t>identified</w:t>
      </w:r>
      <w:r w:rsidRPr="524D1DFC" w:rsidR="2E35BCA3">
        <w:rPr>
          <w:noProof w:val="0"/>
          <w:lang w:val="en-GB"/>
        </w:rPr>
        <w:t>, selected, and analysed to address the research aim</w:t>
      </w:r>
    </w:p>
    <w:p w:rsidRPr="005B3EDE" w:rsidR="005B3EDE" w:rsidP="005B3EDE" w:rsidRDefault="005B3EDE" w14:paraId="6521A89B" w14:textId="4B418EA9">
      <w:pPr>
        <w:pStyle w:val="NormalWeb"/>
        <w:spacing w:line="360" w:lineRule="auto"/>
        <w:rPr>
          <w:rFonts w:ascii="Aptos" w:hAnsi="Aptos"/>
          <w:sz w:val="22"/>
          <w:szCs w:val="22"/>
        </w:rPr>
      </w:pPr>
      <w:r w:rsidRPr="524D1DFC" w:rsidR="49566721">
        <w:rPr>
          <w:rFonts w:hAnsi="Symbol"/>
          <w:sz w:val="22"/>
          <w:szCs w:val="22"/>
        </w:rPr>
        <w:t></w:t>
      </w:r>
      <w:r w:rsidRPr="524D1DFC" w:rsidR="49566721">
        <w:rPr>
          <w:sz w:val="22"/>
          <w:szCs w:val="22"/>
        </w:rPr>
        <w:t xml:space="preserve"> </w:t>
      </w:r>
      <w:r w:rsidRPr="524D1DFC" w:rsidR="49566721">
        <w:rPr>
          <w:sz w:val="22"/>
          <w:szCs w:val="22"/>
        </w:rPr>
        <w:t xml:space="preserve"> </w:t>
      </w:r>
      <w:r w:rsidRPr="524D1DFC" w:rsidR="49566721">
        <w:rPr>
          <w:rStyle w:val="Strong"/>
          <w:rFonts w:ascii="Aptos" w:hAnsi="Aptos" w:eastAsia="Calibri Light"/>
          <w:sz w:val="22"/>
          <w:szCs w:val="22"/>
        </w:rPr>
        <w:t>Connection to the Dissertation:</w:t>
      </w:r>
    </w:p>
    <w:p w:rsidR="4EA64FF5" w:rsidP="524D1DFC" w:rsidRDefault="4EA64FF5" w14:paraId="6105D140" w14:textId="2384DD49">
      <w:pPr>
        <w:spacing w:before="240" w:beforeAutospacing="off" w:after="240" w:afterAutospacing="off"/>
      </w:pPr>
      <w:r w:rsidRPr="524D1DFC" w:rsidR="4EA64FF5">
        <w:rPr>
          <w:noProof w:val="0"/>
          <w:lang w:val="en-GB"/>
        </w:rPr>
        <w:t>The methods outlined here are essential for informing the thematic analysis that follows in Chapter 4, ensuring that the findings are grounded in credible, systematically reviewed evidence (Grant and Booth, 2019).</w:t>
      </w:r>
    </w:p>
    <w:p w:rsidR="524D1DFC" w:rsidP="524D1DFC" w:rsidRDefault="524D1DFC" w14:paraId="734E9A60" w14:textId="1303D170">
      <w:pPr>
        <w:pStyle w:val="Normal"/>
      </w:pPr>
    </w:p>
    <w:p w:rsidR="009E5B14" w:rsidP="009E5B14" w:rsidRDefault="00292A36" w14:paraId="644CE1D2" w14:textId="1D0AD8DA">
      <w:pPr>
        <w:pStyle w:val="Heading2"/>
      </w:pPr>
      <w:bookmarkStart w:name="_Toc213058148" w:id="6"/>
      <w:r w:rsidR="78FBC936">
        <w:rPr/>
        <w:t>3.</w:t>
      </w:r>
      <w:r w:rsidR="4530B6F2">
        <w:rPr/>
        <w:t>2</w:t>
      </w:r>
      <w:r w:rsidR="78FBC936">
        <w:rPr/>
        <w:t xml:space="preserve"> – Search Strategy</w:t>
      </w:r>
      <w:bookmarkEnd w:id="6"/>
    </w:p>
    <w:p w:rsidRPr="005B3EDE" w:rsidR="005B3EDE" w:rsidP="00B575E2" w:rsidRDefault="00B7073C" w14:paraId="379B4F9F" w14:textId="0911C20A">
      <w:r>
        <w:br/>
      </w:r>
      <w:r w:rsidRPr="524D1DFC" w:rsidR="2F9B609E">
        <w:rPr>
          <w:rFonts w:hAnsi="Symbol"/>
        </w:rPr>
        <w:t></w:t>
      </w:r>
      <w:r w:rsidR="49566721">
        <w:rPr/>
        <w:t xml:space="preserve"> </w:t>
      </w:r>
      <w:r w:rsidRPr="524D1DFC" w:rsidR="49566721">
        <w:rPr>
          <w:b w:val="1"/>
          <w:bCs w:val="1"/>
        </w:rPr>
        <w:t>Developing Keywords:</w:t>
      </w:r>
    </w:p>
    <w:p w:rsidR="4DA516BB" w:rsidP="524D1DFC" w:rsidRDefault="4DA516BB" w14:paraId="4FD8A663" w14:textId="73490CDD">
      <w:pPr>
        <w:pStyle w:val="Normal"/>
      </w:pPr>
      <w:r w:rsidRPr="524D1DFC" w:rsidR="4DA516BB">
        <w:rPr>
          <w:rFonts w:ascii="Aptos" w:hAnsi="Aptos" w:eastAsia="Aptos" w:cs="Aptos"/>
          <w:noProof w:val="0"/>
          <w:sz w:val="22"/>
          <w:szCs w:val="22"/>
          <w:lang w:val="en-GB"/>
        </w:rPr>
        <w:t>The search strategy was developed by identifying key terms from the research title, including “chronic illness,” “children,” “schools,” and “educational support,” alongside professional synonyms such as “long-term conditions,” “pupil wellbeing,” and “inclusive education” (Ridley, 2012).</w:t>
      </w:r>
    </w:p>
    <w:p w:rsidRPr="005B3EDE" w:rsidR="005B3EDE" w:rsidP="00B575E2" w:rsidRDefault="00B575E2" w14:paraId="5BED73AF" w14:textId="089A0851">
      <w:r w:rsidRPr="524D1DFC" w:rsidR="2F9B609E">
        <w:rPr>
          <w:rFonts w:hAnsi="Symbol"/>
        </w:rPr>
        <w:t></w:t>
      </w:r>
      <w:r w:rsidR="49566721">
        <w:rPr/>
        <w:t xml:space="preserve"> </w:t>
      </w:r>
      <w:r w:rsidRPr="524D1DFC" w:rsidR="49566721">
        <w:rPr>
          <w:b w:val="1"/>
          <w:bCs w:val="1"/>
        </w:rPr>
        <w:t>Boolean Operators:</w:t>
      </w:r>
    </w:p>
    <w:p w:rsidRPr="00B575E2" w:rsidR="00B575E2" w:rsidP="524D1DFC" w:rsidRDefault="00B575E2" w14:paraId="65D3DA34" w14:textId="096D2114">
      <w:pPr>
        <w:pStyle w:val="Normal"/>
        <w:spacing w:line="360" w:lineRule="auto"/>
        <w:ind w:left="0" w:firstLine="0"/>
      </w:pPr>
      <w:r w:rsidRPr="524D1DFC" w:rsidR="50BB3255">
        <w:rPr>
          <w:rFonts w:ascii="Aptos" w:hAnsi="Aptos" w:eastAsia="Aptos" w:cs="Aptos"/>
          <w:noProof w:val="0"/>
          <w:sz w:val="22"/>
          <w:szCs w:val="22"/>
          <w:lang w:val="en-GB"/>
        </w:rPr>
        <w:t xml:space="preserve">Boolean operators were used to refine searches, combining terms such as </w:t>
      </w:r>
      <w:r w:rsidRPr="524D1DFC" w:rsidR="50BB3255">
        <w:rPr>
          <w:rFonts w:ascii="Aptos" w:hAnsi="Aptos" w:eastAsia="Aptos" w:cs="Aptos"/>
          <w:i w:val="1"/>
          <w:iCs w:val="1"/>
          <w:noProof w:val="0"/>
          <w:sz w:val="22"/>
          <w:szCs w:val="22"/>
          <w:lang w:val="en-GB"/>
        </w:rPr>
        <w:t>children AND chronic illness</w:t>
      </w:r>
      <w:r w:rsidRPr="524D1DFC" w:rsidR="50BB3255">
        <w:rPr>
          <w:rFonts w:ascii="Aptos" w:hAnsi="Aptos" w:eastAsia="Aptos" w:cs="Aptos"/>
          <w:noProof w:val="0"/>
          <w:sz w:val="22"/>
          <w:szCs w:val="22"/>
          <w:lang w:val="en-GB"/>
        </w:rPr>
        <w:t xml:space="preserve"> or widening results with </w:t>
      </w:r>
      <w:r w:rsidRPr="524D1DFC" w:rsidR="50BB3255">
        <w:rPr>
          <w:rFonts w:ascii="Aptos" w:hAnsi="Aptos" w:eastAsia="Aptos" w:cs="Aptos"/>
          <w:i w:val="1"/>
          <w:iCs w:val="1"/>
          <w:noProof w:val="0"/>
          <w:sz w:val="22"/>
          <w:szCs w:val="22"/>
          <w:lang w:val="en-GB"/>
        </w:rPr>
        <w:t>school OR education</w:t>
      </w:r>
      <w:r w:rsidRPr="524D1DFC" w:rsidR="50BB3255">
        <w:rPr>
          <w:rFonts w:ascii="Aptos" w:hAnsi="Aptos" w:eastAsia="Aptos" w:cs="Aptos"/>
          <w:noProof w:val="0"/>
          <w:sz w:val="22"/>
          <w:szCs w:val="22"/>
          <w:lang w:val="en-GB"/>
        </w:rPr>
        <w:t xml:space="preserve">. Exclusion terms, such as </w:t>
      </w:r>
      <w:r w:rsidRPr="524D1DFC" w:rsidR="50BB3255">
        <w:rPr>
          <w:rFonts w:ascii="Aptos" w:hAnsi="Aptos" w:eastAsia="Aptos" w:cs="Aptos"/>
          <w:i w:val="1"/>
          <w:iCs w:val="1"/>
          <w:noProof w:val="0"/>
          <w:sz w:val="22"/>
          <w:szCs w:val="22"/>
          <w:lang w:val="en-GB"/>
        </w:rPr>
        <w:t>NOT acute</w:t>
      </w:r>
      <w:r w:rsidRPr="524D1DFC" w:rsidR="50BB3255">
        <w:rPr>
          <w:rFonts w:ascii="Aptos" w:hAnsi="Aptos" w:eastAsia="Aptos" w:cs="Aptos"/>
          <w:noProof w:val="0"/>
          <w:sz w:val="22"/>
          <w:szCs w:val="22"/>
          <w:lang w:val="en-GB"/>
        </w:rPr>
        <w:t>, helped narrow the focus.</w:t>
      </w:r>
    </w:p>
    <w:p w:rsidRPr="005B3EDE" w:rsidR="005B3EDE" w:rsidP="00B575E2" w:rsidRDefault="00B575E2" w14:paraId="0D37A907" w14:textId="03FB3235">
      <w:r w:rsidRPr="524D1DFC" w:rsidR="2F9B609E">
        <w:rPr>
          <w:rFonts w:hAnsi="Symbol"/>
        </w:rPr>
        <w:t></w:t>
      </w:r>
      <w:r w:rsidR="49566721">
        <w:rPr/>
        <w:t xml:space="preserve"> </w:t>
      </w:r>
      <w:r w:rsidRPr="524D1DFC" w:rsidR="49566721">
        <w:rPr>
          <w:b w:val="1"/>
          <w:bCs w:val="1"/>
        </w:rPr>
        <w:t>Structured Search Plan:</w:t>
      </w:r>
    </w:p>
    <w:p w:rsidR="2B27ABDE" w:rsidP="524D1DFC" w:rsidRDefault="2B27ABDE" w14:paraId="63C0CF7F" w14:textId="611B07D9">
      <w:pPr>
        <w:pStyle w:val="Normal"/>
      </w:pPr>
      <w:r w:rsidRPr="524D1DFC" w:rsidR="2B27ABDE">
        <w:rPr>
          <w:rFonts w:ascii="Aptos" w:hAnsi="Aptos" w:eastAsia="Aptos" w:cs="Aptos"/>
          <w:noProof w:val="0"/>
          <w:sz w:val="22"/>
          <w:szCs w:val="22"/>
          <w:lang w:val="en-GB"/>
        </w:rPr>
        <w:t>A structured search plan guided the process, with search strings and outcomes recorded systematically to maintain consistency and ensure transparency when identifying relevant literature (Booth et al., 2021).</w:t>
      </w:r>
    </w:p>
    <w:p w:rsidRPr="00D13A82" w:rsidR="00D13A82" w:rsidP="00D13A82" w:rsidRDefault="00D13A82" w14:paraId="0293381E" w14:textId="77777777"/>
    <w:p w:rsidR="00B575E2" w:rsidP="001F3B1B" w:rsidRDefault="00292A36" w14:paraId="57AFDE7A" w14:textId="4AC1AD71">
      <w:pPr>
        <w:pStyle w:val="Heading2"/>
        <w:numPr>
          <w:ilvl w:val="1"/>
          <w:numId w:val="78"/>
        </w:numPr>
        <w:jc w:val="left"/>
        <w:rPr/>
      </w:pPr>
      <w:bookmarkStart w:name="_Toc213058149" w:id="7"/>
      <w:r w:rsidR="78FBC936">
        <w:rPr/>
        <w:t>– Searching for Information</w:t>
      </w:r>
      <w:bookmarkEnd w:id="7"/>
    </w:p>
    <w:p w:rsidRPr="00B575E2" w:rsidR="00B575E2" w:rsidP="00B575E2" w:rsidRDefault="00B575E2" w14:paraId="7C97A730" w14:textId="1DE9CC3D">
      <w:r w:rsidRPr="524D1DFC" w:rsidR="2F9B609E">
        <w:rPr>
          <w:rFonts w:hAnsi="Symbol"/>
        </w:rPr>
        <w:t></w:t>
      </w:r>
      <w:r w:rsidR="2F9B609E">
        <w:rPr/>
        <w:t xml:space="preserve">  </w:t>
      </w:r>
      <w:r w:rsidRPr="524D1DFC" w:rsidR="2F9B609E">
        <w:rPr>
          <w:b w:val="1"/>
          <w:bCs w:val="1"/>
        </w:rPr>
        <w:t>Databases and Platforms:</w:t>
      </w:r>
    </w:p>
    <w:p w:rsidR="28F6277B" w:rsidP="524D1DFC" w:rsidRDefault="28F6277B" w14:paraId="6F618C90" w14:textId="27092558">
      <w:pPr>
        <w:pStyle w:val="Normal"/>
        <w:rPr>
          <w:rFonts w:ascii="Arial Nova" w:hAnsi="Arial Nova" w:eastAsia="Arial Nova" w:cs="Arial Nova"/>
          <w:noProof w:val="0"/>
          <w:sz w:val="22"/>
          <w:szCs w:val="22"/>
          <w:lang w:val="en-GB"/>
        </w:rPr>
      </w:pPr>
      <w:r w:rsidRPr="524D1DFC" w:rsidR="28F6277B">
        <w:rPr>
          <w:rFonts w:ascii="Arial Nova" w:hAnsi="Arial Nova" w:eastAsia="Arial Nova" w:cs="Arial Nova"/>
          <w:noProof w:val="0"/>
          <w:sz w:val="22"/>
          <w:szCs w:val="22"/>
          <w:lang w:val="en-GB"/>
        </w:rPr>
        <w:t>A range of academic databases and platforms were used to ensure high-quality, credible evidence. Google Scholar, PubMed and ERIC were selected for their broad coverage of peer-reviewed educational and health research, while the UWTSD Library database provided access to full-text journals and ebooks not freely available online (Hart, 2018). These platforms were suitable for this study as they include interdisciplinary research, aligning with the educational and health-related focus of chronic illness in school settings.</w:t>
      </w:r>
    </w:p>
    <w:p w:rsidRPr="00B575E2" w:rsidR="00B575E2" w:rsidP="00B575E2" w:rsidRDefault="00B575E2" w14:paraId="237E70AD" w14:textId="7EBDC844">
      <w:r w:rsidRPr="524D1DFC" w:rsidR="2F9B609E">
        <w:rPr>
          <w:rFonts w:hAnsi="Symbol"/>
        </w:rPr>
        <w:t></w:t>
      </w:r>
      <w:r w:rsidR="2F9B609E">
        <w:rPr/>
        <w:t xml:space="preserve">  </w:t>
      </w:r>
      <w:r w:rsidRPr="524D1DFC" w:rsidR="2F9B609E">
        <w:rPr>
          <w:b w:val="1"/>
          <w:bCs w:val="1"/>
        </w:rPr>
        <w:t>Using Filters:</w:t>
      </w:r>
    </w:p>
    <w:p w:rsidR="6FB1174F" w:rsidP="524D1DFC" w:rsidRDefault="6FB1174F" w14:paraId="18937D0C" w14:textId="1D5AAF81">
      <w:pPr>
        <w:pStyle w:val="Normal"/>
        <w:rPr>
          <w:rFonts w:ascii="Arial Nova" w:hAnsi="Arial Nova" w:eastAsia="Arial Nova" w:cs="Arial Nova"/>
          <w:noProof w:val="0"/>
          <w:sz w:val="22"/>
          <w:szCs w:val="22"/>
          <w:lang w:val="en-GB"/>
        </w:rPr>
      </w:pPr>
      <w:r w:rsidRPr="524D1DFC" w:rsidR="6FB1174F">
        <w:rPr>
          <w:rFonts w:ascii="Arial Nova" w:hAnsi="Arial Nova" w:eastAsia="Arial Nova" w:cs="Arial Nova"/>
          <w:noProof w:val="0"/>
          <w:sz w:val="22"/>
          <w:szCs w:val="22"/>
          <w:lang w:val="en-GB"/>
        </w:rPr>
        <w:t>To refine results, filters were applied, including publication date (2010–2024), peer-reviewed status, and geographical focus on the UK and comparable international contexts. These filters helped ensure that the selected literature was both current and relevant (Jesson &amp; Lacey, 2020). During the search process, several adjustments were made, such as expanding keywords when results were too narrow or removing restrictive Boolean operators when potentially useful studies were being excluded.</w:t>
      </w:r>
    </w:p>
    <w:p w:rsidRPr="00B575E2" w:rsidR="00B575E2" w:rsidP="00B575E2" w:rsidRDefault="00B575E2" w14:paraId="7B614B9D" w14:textId="3DA2145E">
      <w:r w:rsidRPr="524D1DFC" w:rsidR="2F9B609E">
        <w:rPr>
          <w:rFonts w:hAnsi="Symbol"/>
        </w:rPr>
        <w:t></w:t>
      </w:r>
      <w:r w:rsidR="2F9B609E">
        <w:rPr/>
        <w:t xml:space="preserve">  </w:t>
      </w:r>
      <w:r w:rsidRPr="524D1DFC" w:rsidR="2F9B609E">
        <w:rPr>
          <w:b w:val="1"/>
          <w:bCs w:val="1"/>
        </w:rPr>
        <w:t>Search Process:</w:t>
      </w:r>
    </w:p>
    <w:p w:rsidR="00F84C23" w:rsidP="524D1DFC" w:rsidRDefault="00B575E2" w14:paraId="2E4A7D0C" w14:textId="0B807656">
      <w:pPr>
        <w:pStyle w:val="Normal"/>
        <w:ind w:left="0"/>
      </w:pPr>
      <w:r w:rsidRPr="524D1DFC" w:rsidR="040C2836">
        <w:rPr>
          <w:rFonts w:ascii="Aptos" w:hAnsi="Aptos" w:eastAsia="Aptos" w:cs="Aptos"/>
          <w:noProof w:val="0"/>
          <w:sz w:val="22"/>
          <w:szCs w:val="22"/>
          <w:lang w:val="en-GB"/>
        </w:rPr>
        <w:t>A source-tracking table was created to record search terms, database results and the relevance of each source. This helped maintain transparency and avoid duplication. If included, this table is presented in the appendix for reference and demonstrates how sources were systematically reviewed and organised throughout the research process.</w:t>
      </w:r>
    </w:p>
    <w:p w:rsidRPr="00F84C23" w:rsidR="00B575E2" w:rsidP="00B575E2" w:rsidRDefault="00B575E2" w14:paraId="6F09D47B" w14:textId="77777777">
      <w:pPr>
        <w:ind w:left="720"/>
      </w:pPr>
    </w:p>
    <w:p w:rsidR="00E325CF" w:rsidP="001F3B1B" w:rsidRDefault="00292A36" w14:paraId="0BEB0164" w14:textId="38DE2323">
      <w:pPr>
        <w:pStyle w:val="Heading2"/>
        <w:numPr>
          <w:ilvl w:val="1"/>
          <w:numId w:val="78"/>
        </w:numPr>
        <w:jc w:val="left"/>
        <w:rPr/>
      </w:pPr>
      <w:bookmarkStart w:name="_Toc213058150" w:id="8"/>
      <w:r w:rsidR="78FBC936">
        <w:rPr/>
        <w:t>– Research Validation</w:t>
      </w:r>
      <w:bookmarkEnd w:id="8"/>
      <w:r>
        <w:br/>
      </w:r>
    </w:p>
    <w:p w:rsidRPr="00B575E2" w:rsidR="00B575E2" w:rsidP="00B575E2" w:rsidRDefault="00B575E2" w14:paraId="42F4700C" w14:textId="1492E5CB">
      <w:r w:rsidRPr="524D1DFC" w:rsidR="2F9B609E">
        <w:rPr>
          <w:rFonts w:hAnsi="Symbol"/>
        </w:rPr>
        <w:t></w:t>
      </w:r>
      <w:r w:rsidR="2F9B609E">
        <w:rPr/>
        <w:t xml:space="preserve">  </w:t>
      </w:r>
      <w:r w:rsidRPr="524D1DFC" w:rsidR="2F9B609E">
        <w:rPr>
          <w:b w:val="1"/>
          <w:bCs w:val="1"/>
        </w:rPr>
        <w:t>Skimming Techniques:</w:t>
      </w:r>
    </w:p>
    <w:p w:rsidR="6812E61D" w:rsidP="524D1DFC" w:rsidRDefault="6812E61D" w14:paraId="2F3828F2" w14:textId="54D9347E">
      <w:pPr>
        <w:pStyle w:val="Normal"/>
        <w:rPr>
          <w:rFonts w:ascii="Arial Nova" w:hAnsi="Arial Nova" w:eastAsia="Arial Nova" w:cs="Arial Nova"/>
          <w:noProof w:val="0"/>
          <w:sz w:val="22"/>
          <w:szCs w:val="22"/>
          <w:lang w:val="en-GB"/>
        </w:rPr>
      </w:pPr>
      <w:r w:rsidRPr="524D1DFC" w:rsidR="6812E61D">
        <w:rPr>
          <w:rFonts w:ascii="Arial Nova" w:hAnsi="Arial Nova" w:eastAsia="Arial Nova" w:cs="Arial Nova"/>
          <w:noProof w:val="0"/>
          <w:sz w:val="22"/>
          <w:szCs w:val="22"/>
          <w:lang w:val="en-GB"/>
        </w:rPr>
        <w:t>Skimming techniques were used at the early stage of reviewing literature to quickly identify relevance. Each article was first screened using its title and abstract, followed by a brief review of the introduction and conclusion to determine whether it aligned with the research focus on supporting pupils with chronic illnesses in mainstream school settings. This helped filter out sources that were too general, outdated or unrelated.</w:t>
      </w:r>
    </w:p>
    <w:p w:rsidRPr="00B575E2" w:rsidR="00B575E2" w:rsidP="00B575E2" w:rsidRDefault="00B575E2" w14:paraId="34089B50" w14:textId="59BCDE78">
      <w:r w:rsidRPr="524D1DFC" w:rsidR="2F9B609E">
        <w:rPr>
          <w:rFonts w:hAnsi="Symbol"/>
        </w:rPr>
        <w:t></w:t>
      </w:r>
      <w:r w:rsidR="2F9B609E">
        <w:rPr/>
        <w:t xml:space="preserve">  </w:t>
      </w:r>
      <w:r w:rsidRPr="524D1DFC" w:rsidR="2F9B609E">
        <w:rPr>
          <w:b w:val="1"/>
          <w:bCs w:val="1"/>
        </w:rPr>
        <w:t>CRAAP Test Application:</w:t>
      </w:r>
    </w:p>
    <w:p w:rsidR="349D0398" w:rsidP="524D1DFC" w:rsidRDefault="349D0398" w14:paraId="013E0C9A" w14:textId="7BEEEEDC">
      <w:pPr>
        <w:pStyle w:val="Normal"/>
        <w:rPr>
          <w:rFonts w:ascii="Arial Nova" w:hAnsi="Arial Nova" w:eastAsia="Arial Nova" w:cs="Arial Nova"/>
          <w:noProof w:val="0"/>
          <w:sz w:val="22"/>
          <w:szCs w:val="22"/>
          <w:lang w:val="en-GB"/>
        </w:rPr>
      </w:pPr>
      <w:r w:rsidRPr="524D1DFC" w:rsidR="349D0398">
        <w:rPr>
          <w:rFonts w:ascii="Arial Nova" w:hAnsi="Arial Nova" w:eastAsia="Arial Nova" w:cs="Arial Nova"/>
          <w:noProof w:val="0"/>
          <w:sz w:val="22"/>
          <w:szCs w:val="22"/>
          <w:lang w:val="en-GB"/>
        </w:rPr>
        <w:t>The CRAAP test</w:t>
      </w:r>
      <w:r w:rsidRPr="524D1DFC" w:rsidR="6CD9BBB6">
        <w:rPr>
          <w:rFonts w:ascii="Arial Nova" w:hAnsi="Arial Nova" w:eastAsia="Arial Nova" w:cs="Arial Nova"/>
          <w:noProof w:val="0"/>
          <w:sz w:val="22"/>
          <w:szCs w:val="22"/>
          <w:lang w:val="en-GB"/>
        </w:rPr>
        <w:t xml:space="preserve"> </w:t>
      </w:r>
      <w:r w:rsidRPr="524D1DFC" w:rsidR="349D0398">
        <w:rPr>
          <w:rFonts w:ascii="Arial Nova" w:hAnsi="Arial Nova" w:eastAsia="Arial Nova" w:cs="Arial Nova"/>
          <w:noProof w:val="0"/>
          <w:sz w:val="22"/>
          <w:szCs w:val="22"/>
          <w:lang w:val="en-GB"/>
        </w:rPr>
        <w:t>evaluating Currency, Relevance, Authority, Accuracy and Purpose</w:t>
      </w:r>
      <w:r w:rsidRPr="524D1DFC" w:rsidR="0D61D70A">
        <w:rPr>
          <w:rFonts w:ascii="Arial Nova" w:hAnsi="Arial Nova" w:eastAsia="Arial Nova" w:cs="Arial Nova"/>
          <w:noProof w:val="0"/>
          <w:sz w:val="22"/>
          <w:szCs w:val="22"/>
          <w:lang w:val="en-GB"/>
        </w:rPr>
        <w:t xml:space="preserve"> </w:t>
      </w:r>
      <w:r w:rsidRPr="524D1DFC" w:rsidR="349D0398">
        <w:rPr>
          <w:rFonts w:ascii="Arial Nova" w:hAnsi="Arial Nova" w:eastAsia="Arial Nova" w:cs="Arial Nova"/>
          <w:noProof w:val="0"/>
          <w:sz w:val="22"/>
          <w:szCs w:val="22"/>
          <w:lang w:val="en-GB"/>
        </w:rPr>
        <w:t xml:space="preserve">was then applied to assess the quality of each remaining source. Priority was given to studies that </w:t>
      </w:r>
      <w:r w:rsidRPr="524D1DFC" w:rsidR="349D0398">
        <w:rPr>
          <w:rFonts w:ascii="Arial Nova" w:hAnsi="Arial Nova" w:eastAsia="Arial Nova" w:cs="Arial Nova"/>
          <w:noProof w:val="0"/>
          <w:sz w:val="22"/>
          <w:szCs w:val="22"/>
          <w:lang w:val="en-GB"/>
        </w:rPr>
        <w:t>demonstrated</w:t>
      </w:r>
      <w:r w:rsidRPr="524D1DFC" w:rsidR="349D0398">
        <w:rPr>
          <w:rFonts w:ascii="Arial Nova" w:hAnsi="Arial Nova" w:eastAsia="Arial Nova" w:cs="Arial Nova"/>
          <w:noProof w:val="0"/>
          <w:sz w:val="22"/>
          <w:szCs w:val="22"/>
          <w:lang w:val="en-GB"/>
        </w:rPr>
        <w:t xml:space="preserve"> strong Currency (published within the last decade), clear Relevance to educational support, and recognised Authority, such as peer-reviewed journals or </w:t>
      </w:r>
      <w:r w:rsidRPr="524D1DFC" w:rsidR="349D0398">
        <w:rPr>
          <w:rFonts w:ascii="Arial Nova" w:hAnsi="Arial Nova" w:eastAsia="Arial Nova" w:cs="Arial Nova"/>
          <w:noProof w:val="0"/>
          <w:sz w:val="22"/>
          <w:szCs w:val="22"/>
          <w:lang w:val="en-GB"/>
        </w:rPr>
        <w:t>established</w:t>
      </w:r>
      <w:r w:rsidRPr="524D1DFC" w:rsidR="349D0398">
        <w:rPr>
          <w:rFonts w:ascii="Arial Nova" w:hAnsi="Arial Nova" w:eastAsia="Arial Nova" w:cs="Arial Nova"/>
          <w:noProof w:val="0"/>
          <w:sz w:val="22"/>
          <w:szCs w:val="22"/>
          <w:lang w:val="en-GB"/>
        </w:rPr>
        <w:t xml:space="preserve"> organisations. Not all sources met every criterion fully, but those scoring highly in core areas were </w:t>
      </w:r>
      <w:r w:rsidRPr="524D1DFC" w:rsidR="349D0398">
        <w:rPr>
          <w:rFonts w:ascii="Arial Nova" w:hAnsi="Arial Nova" w:eastAsia="Arial Nova" w:cs="Arial Nova"/>
          <w:noProof w:val="0"/>
          <w:sz w:val="22"/>
          <w:szCs w:val="22"/>
          <w:lang w:val="en-GB"/>
        </w:rPr>
        <w:t>retained</w:t>
      </w:r>
      <w:r w:rsidRPr="524D1DFC" w:rsidR="349D0398">
        <w:rPr>
          <w:rFonts w:ascii="Arial Nova" w:hAnsi="Arial Nova" w:eastAsia="Arial Nova" w:cs="Arial Nova"/>
          <w:noProof w:val="0"/>
          <w:sz w:val="22"/>
          <w:szCs w:val="22"/>
          <w:lang w:val="en-GB"/>
        </w:rPr>
        <w:t>.</w:t>
      </w:r>
      <w:r w:rsidRPr="524D1DFC" w:rsidR="3AFB5D75">
        <w:rPr>
          <w:rFonts w:ascii="Arial Nova" w:hAnsi="Arial Nova" w:eastAsia="Arial Nova" w:cs="Arial Nova"/>
          <w:noProof w:val="0"/>
          <w:sz w:val="22"/>
          <w:szCs w:val="22"/>
          <w:lang w:val="en-GB"/>
        </w:rPr>
        <w:t xml:space="preserve"> This is shown further in appendice B.</w:t>
      </w:r>
    </w:p>
    <w:p w:rsidRPr="00B575E2" w:rsidR="00B575E2" w:rsidP="00B575E2" w:rsidRDefault="00B575E2" w14:paraId="7605EE09" w14:textId="0F478CB3">
      <w:r w:rsidRPr="524D1DFC" w:rsidR="2F9B609E">
        <w:rPr>
          <w:rFonts w:hAnsi="Symbol"/>
        </w:rPr>
        <w:t></w:t>
      </w:r>
      <w:r w:rsidR="2F9B609E">
        <w:rPr/>
        <w:t xml:space="preserve">  </w:t>
      </w:r>
      <w:r w:rsidRPr="524D1DFC" w:rsidR="2F9B609E">
        <w:rPr>
          <w:b w:val="1"/>
          <w:bCs w:val="1"/>
        </w:rPr>
        <w:t>Decision-Making:</w:t>
      </w:r>
    </w:p>
    <w:p w:rsidRPr="00B575E2" w:rsidR="00B575E2" w:rsidP="524D1DFC" w:rsidRDefault="00B575E2" w14:paraId="1C1CD00C" w14:textId="6F02D071">
      <w:pPr>
        <w:pStyle w:val="Normal"/>
      </w:pPr>
      <w:r w:rsidRPr="524D1DFC" w:rsidR="08FFCB75">
        <w:rPr>
          <w:rFonts w:ascii="Aptos" w:hAnsi="Aptos" w:eastAsia="Aptos" w:cs="Aptos"/>
          <w:noProof w:val="0"/>
          <w:sz w:val="22"/>
          <w:szCs w:val="22"/>
          <w:lang w:val="en-GB"/>
        </w:rPr>
        <w:t>For example, a government report published by the Department for Education was considered reliable due to its authoritative authorship and up-to-date policy focus, making it suitable for inclusion.</w:t>
      </w:r>
    </w:p>
    <w:p w:rsidR="0021364B" w:rsidP="001F3B1B" w:rsidRDefault="00292A36" w14:paraId="0E7E3997" w14:textId="77153B0F">
      <w:pPr>
        <w:pStyle w:val="Heading2"/>
        <w:numPr>
          <w:ilvl w:val="1"/>
          <w:numId w:val="78"/>
        </w:numPr>
        <w:jc w:val="left"/>
        <w:rPr/>
      </w:pPr>
      <w:bookmarkStart w:name="_Toc213058151" w:id="9"/>
      <w:r w:rsidRPr="524D1DFC" w:rsidR="78FBC936">
        <w:rPr>
          <w:rStyle w:val="Heading2Char"/>
        </w:rPr>
        <w:t>- Inclusion and Exclusion Criteria</w:t>
      </w:r>
      <w:bookmarkEnd w:id="9"/>
      <w:r>
        <w:br/>
      </w:r>
    </w:p>
    <w:p w:rsidRPr="00B575E2" w:rsidR="00B575E2" w:rsidP="00B575E2" w:rsidRDefault="00C17A49" w14:paraId="5CC1A2A4" w14:textId="10EBFF7D">
      <w:r w:rsidRPr="524D1DFC" w:rsidR="5FC7B2F8">
        <w:rPr>
          <w:rFonts w:hAnsi="Symbol"/>
        </w:rPr>
        <w:t></w:t>
      </w:r>
      <w:r w:rsidR="2F9B609E">
        <w:rPr/>
        <w:t xml:space="preserve">  </w:t>
      </w:r>
      <w:r w:rsidRPr="524D1DFC" w:rsidR="2F9B609E">
        <w:rPr>
          <w:b w:val="1"/>
          <w:bCs w:val="1"/>
        </w:rPr>
        <w:t>Inclusion Criteria:</w:t>
      </w:r>
    </w:p>
    <w:p w:rsidR="503538DC" w:rsidP="524D1DFC" w:rsidRDefault="503538DC" w14:paraId="3C931094" w14:textId="0035511A">
      <w:pPr>
        <w:pStyle w:val="Normal"/>
        <w:rPr>
          <w:rFonts w:ascii="Arial Nova" w:hAnsi="Arial Nova" w:eastAsia="Arial Nova" w:cs="Arial Nova"/>
          <w:noProof w:val="0"/>
          <w:sz w:val="22"/>
          <w:szCs w:val="22"/>
          <w:lang w:val="en-GB"/>
        </w:rPr>
      </w:pPr>
      <w:r w:rsidRPr="524D1DFC" w:rsidR="503538DC">
        <w:rPr>
          <w:rFonts w:ascii="Arial Nova" w:hAnsi="Arial Nova" w:eastAsia="Arial Nova" w:cs="Arial Nova"/>
          <w:noProof w:val="0"/>
          <w:sz w:val="22"/>
          <w:szCs w:val="22"/>
          <w:lang w:val="en-GB"/>
        </w:rPr>
        <w:t>The research included peer-reviewed journal articles published within the last ten years, UK-based or comparable international studies, and literature specifically focused on children with chronic illnesses in educational contexts. Reputable grey literature, such as government reports and policy documents, was also included.</w:t>
      </w:r>
    </w:p>
    <w:p w:rsidRPr="00B575E2" w:rsidR="00B575E2" w:rsidP="00B575E2" w:rsidRDefault="00C17A49" w14:paraId="2D999921" w14:textId="64652FAE">
      <w:r w:rsidRPr="524D1DFC" w:rsidR="5FC7B2F8">
        <w:rPr>
          <w:rFonts w:hAnsi="Symbol"/>
        </w:rPr>
        <w:t></w:t>
      </w:r>
      <w:r w:rsidR="2F9B609E">
        <w:rPr/>
        <w:t xml:space="preserve">  </w:t>
      </w:r>
      <w:r w:rsidRPr="524D1DFC" w:rsidR="2F9B609E">
        <w:rPr>
          <w:b w:val="1"/>
          <w:bCs w:val="1"/>
        </w:rPr>
        <w:t>Exclusion Criteria:</w:t>
      </w:r>
    </w:p>
    <w:p w:rsidR="132289D0" w:rsidP="524D1DFC" w:rsidRDefault="132289D0" w14:paraId="2DCB6C88" w14:textId="22A824F1">
      <w:pPr>
        <w:pStyle w:val="Normal"/>
        <w:rPr>
          <w:rFonts w:ascii="Arial Nova" w:hAnsi="Arial Nova" w:eastAsia="Arial Nova" w:cs="Arial Nova"/>
          <w:noProof w:val="0"/>
          <w:sz w:val="22"/>
          <w:szCs w:val="22"/>
          <w:lang w:val="en-GB"/>
        </w:rPr>
      </w:pPr>
      <w:r w:rsidRPr="524D1DFC" w:rsidR="132289D0">
        <w:rPr>
          <w:rFonts w:ascii="Arial Nova" w:hAnsi="Arial Nova" w:eastAsia="Arial Nova" w:cs="Arial Nova"/>
          <w:noProof w:val="0"/>
          <w:sz w:val="22"/>
          <w:szCs w:val="22"/>
          <w:lang w:val="en-GB"/>
        </w:rPr>
        <w:t>Sources excluded were non-academic websites, opinion blogs, outdated publications, non-English texts, and studies unrelated to educational support for chronically ill children.</w:t>
      </w:r>
    </w:p>
    <w:p w:rsidRPr="00B575E2" w:rsidR="00B575E2" w:rsidP="00B575E2" w:rsidRDefault="00C17A49" w14:paraId="6D764C27" w14:textId="59DE895D">
      <w:r w:rsidRPr="524D1DFC" w:rsidR="5FC7B2F8">
        <w:rPr>
          <w:rFonts w:hAnsi="Symbol"/>
        </w:rPr>
        <w:t></w:t>
      </w:r>
      <w:r w:rsidR="2F9B609E">
        <w:rPr/>
        <w:t xml:space="preserve">  </w:t>
      </w:r>
      <w:r w:rsidRPr="524D1DFC" w:rsidR="2F9B609E">
        <w:rPr>
          <w:b w:val="1"/>
          <w:bCs w:val="1"/>
        </w:rPr>
        <w:t>Justification:</w:t>
      </w:r>
    </w:p>
    <w:p w:rsidRPr="00292A36" w:rsidR="00B575E2" w:rsidP="524D1DFC" w:rsidRDefault="00B575E2" w14:paraId="79EFA533" w14:textId="613F9CA9">
      <w:pPr>
        <w:pStyle w:val="Normal"/>
      </w:pPr>
      <w:r w:rsidRPr="524D1DFC" w:rsidR="65447168">
        <w:rPr>
          <w:rFonts w:ascii="Aptos" w:hAnsi="Aptos" w:eastAsia="Aptos" w:cs="Aptos"/>
          <w:noProof w:val="0"/>
          <w:sz w:val="22"/>
          <w:szCs w:val="22"/>
          <w:lang w:val="en-GB"/>
        </w:rPr>
        <w:t>These criteria ensured the research remained focused, academically credible, and based on current evidence. Narrowing the scope in this way strengthened the reliability, relevance, and quality of the final findings.</w:t>
      </w:r>
    </w:p>
    <w:p w:rsidR="0021364B" w:rsidP="001F3B1B" w:rsidRDefault="00292A36" w14:paraId="01A5598C" w14:textId="6FD0E7A9">
      <w:pPr>
        <w:pStyle w:val="Heading2"/>
        <w:numPr>
          <w:ilvl w:val="1"/>
          <w:numId w:val="78"/>
        </w:numPr>
        <w:jc w:val="left"/>
        <w:rPr/>
      </w:pPr>
      <w:bookmarkStart w:name="_Toc213058152" w:id="10"/>
      <w:r w:rsidR="78FBC936">
        <w:rPr/>
        <w:t>– Analysing Research</w:t>
      </w:r>
      <w:bookmarkEnd w:id="10"/>
    </w:p>
    <w:p w:rsidR="00B01396" w:rsidP="00B01396" w:rsidRDefault="00B01396" w14:paraId="2527B73C" w14:textId="77777777"/>
    <w:p w:rsidRPr="00C17A49" w:rsidR="00C17A49" w:rsidP="00C17A49" w:rsidRDefault="00C17A49" w14:paraId="210D014B" w14:textId="52579D5A">
      <w:r w:rsidRPr="524D1DFC" w:rsidR="5FC7B2F8">
        <w:rPr>
          <w:rFonts w:hAnsi="Symbol"/>
        </w:rPr>
        <w:t></w:t>
      </w:r>
      <w:r w:rsidR="5FC7B2F8">
        <w:rPr/>
        <w:t xml:space="preserve"> </w:t>
      </w:r>
      <w:r w:rsidR="5FC7B2F8">
        <w:rPr/>
        <w:t xml:space="preserve">  </w:t>
      </w:r>
      <w:r w:rsidRPr="524D1DFC" w:rsidR="5FC7B2F8">
        <w:rPr>
          <w:b w:val="1"/>
          <w:bCs w:val="1"/>
        </w:rPr>
        <w:t>Thematic Coding Approach:</w:t>
      </w:r>
    </w:p>
    <w:p w:rsidR="2C56AC2E" w:rsidP="524D1DFC" w:rsidRDefault="2C56AC2E" w14:paraId="28737C0C" w14:textId="79E6F318">
      <w:pPr>
        <w:pStyle w:val="Normal"/>
        <w:rPr>
          <w:rFonts w:ascii="Arial Nova" w:hAnsi="Arial Nova" w:eastAsia="Arial Nova" w:cs="Arial Nova"/>
          <w:noProof w:val="0"/>
          <w:sz w:val="22"/>
          <w:szCs w:val="22"/>
          <w:lang w:val="en-GB"/>
        </w:rPr>
      </w:pPr>
      <w:r w:rsidRPr="524D1DFC" w:rsidR="2C56AC2E">
        <w:rPr>
          <w:rFonts w:ascii="Arial Nova" w:hAnsi="Arial Nova" w:eastAsia="Arial Nova" w:cs="Arial Nova"/>
          <w:noProof w:val="0"/>
          <w:sz w:val="22"/>
          <w:szCs w:val="22"/>
          <w:lang w:val="en-GB"/>
        </w:rPr>
        <w:t xml:space="preserve">A thematic coding approach was used to analyse the selected literature, following the principles outlined by Braun and Clarke (2006), who emphasise </w:t>
      </w:r>
      <w:r w:rsidRPr="524D1DFC" w:rsidR="2C56AC2E">
        <w:rPr>
          <w:rFonts w:ascii="Arial Nova" w:hAnsi="Arial Nova" w:eastAsia="Arial Nova" w:cs="Arial Nova"/>
          <w:noProof w:val="0"/>
          <w:sz w:val="22"/>
          <w:szCs w:val="22"/>
          <w:lang w:val="en-GB"/>
        </w:rPr>
        <w:t>identifying</w:t>
      </w:r>
      <w:r w:rsidRPr="524D1DFC" w:rsidR="2C56AC2E">
        <w:rPr>
          <w:rFonts w:ascii="Arial Nova" w:hAnsi="Arial Nova" w:eastAsia="Arial Nova" w:cs="Arial Nova"/>
          <w:noProof w:val="0"/>
          <w:sz w:val="22"/>
          <w:szCs w:val="22"/>
          <w:lang w:val="en-GB"/>
        </w:rPr>
        <w:t xml:space="preserve"> patterns and meaningful categories within qualitative data</w:t>
      </w:r>
      <w:r w:rsidRPr="524D1DFC" w:rsidR="606583EC">
        <w:rPr>
          <w:rFonts w:ascii="Arial Nova" w:hAnsi="Arial Nova" w:eastAsia="Arial Nova" w:cs="Arial Nova"/>
          <w:noProof w:val="0"/>
          <w:sz w:val="22"/>
          <w:szCs w:val="22"/>
          <w:lang w:val="en-GB"/>
        </w:rPr>
        <w:t xml:space="preserve"> asmentioned in appentice A.</w:t>
      </w:r>
      <w:r w:rsidRPr="524D1DFC" w:rsidR="2C56AC2E">
        <w:rPr>
          <w:rFonts w:ascii="Arial Nova" w:hAnsi="Arial Nova" w:eastAsia="Arial Nova" w:cs="Arial Nova"/>
          <w:noProof w:val="0"/>
          <w:sz w:val="22"/>
          <w:szCs w:val="22"/>
          <w:lang w:val="en-GB"/>
        </w:rPr>
        <w:t xml:space="preserve"> </w:t>
      </w:r>
      <w:r w:rsidRPr="524D1DFC" w:rsidR="2C56AC2E">
        <w:rPr>
          <w:rFonts w:ascii="Arial Nova" w:hAnsi="Arial Nova" w:eastAsia="Arial Nova" w:cs="Arial Nova"/>
          <w:noProof w:val="0"/>
          <w:sz w:val="22"/>
          <w:szCs w:val="22"/>
          <w:lang w:val="en-GB"/>
        </w:rPr>
        <w:t>Each source was read closely, and recurring ideas, issues, and keywords were highlighted. From these observations, initial descriptive codes were generated to capture key points related to educational support, barriers faced by chronically ill children, and school policy implications.</w:t>
      </w:r>
      <w:r w:rsidRPr="524D1DFC" w:rsidR="0ACD75D0">
        <w:rPr>
          <w:rFonts w:ascii="Arial Nova" w:hAnsi="Arial Nova" w:eastAsia="Arial Nova" w:cs="Arial Nova"/>
          <w:noProof w:val="0"/>
          <w:sz w:val="22"/>
          <w:szCs w:val="22"/>
          <w:lang w:val="en-GB"/>
        </w:rPr>
        <w:t xml:space="preserve"> </w:t>
      </w:r>
    </w:p>
    <w:p w:rsidRPr="00C17A49" w:rsidR="00C17A49" w:rsidP="00C17A49" w:rsidRDefault="00C17A49" w14:paraId="5055D6DF" w14:textId="45E799AD">
      <w:r w:rsidRPr="524D1DFC" w:rsidR="5FC7B2F8">
        <w:rPr>
          <w:rFonts w:hAnsi="Symbol"/>
        </w:rPr>
        <w:t></w:t>
      </w:r>
      <w:r w:rsidR="5FC7B2F8">
        <w:rPr/>
        <w:t xml:space="preserve"> </w:t>
      </w:r>
      <w:r w:rsidR="5FC7B2F8">
        <w:rPr/>
        <w:t xml:space="preserve"> </w:t>
      </w:r>
      <w:r w:rsidRPr="524D1DFC" w:rsidR="5FC7B2F8">
        <w:rPr>
          <w:b w:val="1"/>
          <w:bCs w:val="1"/>
        </w:rPr>
        <w:t>Developing Themes:</w:t>
      </w:r>
    </w:p>
    <w:p w:rsidR="3A8F112D" w:rsidP="524D1DFC" w:rsidRDefault="3A8F112D" w14:paraId="1CFE087D" w14:textId="3294738F">
      <w:pPr>
        <w:pStyle w:val="Normal"/>
        <w:rPr>
          <w:rFonts w:ascii="Arial Nova" w:hAnsi="Arial Nova" w:eastAsia="Arial Nova" w:cs="Arial Nova"/>
          <w:noProof w:val="0"/>
          <w:sz w:val="22"/>
          <w:szCs w:val="22"/>
          <w:lang w:val="en-GB"/>
        </w:rPr>
      </w:pPr>
      <w:r w:rsidRPr="524D1DFC" w:rsidR="3A8F112D">
        <w:rPr>
          <w:rFonts w:ascii="Arial Nova" w:hAnsi="Arial Nova" w:eastAsia="Arial Nova" w:cs="Arial Nova"/>
          <w:noProof w:val="0"/>
          <w:sz w:val="22"/>
          <w:szCs w:val="22"/>
          <w:lang w:val="en-GB"/>
        </w:rPr>
        <w:t>These codes were then grouped into broader themes that aligned with the research aim, a process supported by the iterative thematic development approach recommended by Nowell et al. (2017). Themes such as inclusivity, school</w:t>
      </w:r>
      <w:r w:rsidRPr="524D1DFC" w:rsidR="4B1A3E5B">
        <w:rPr>
          <w:rFonts w:ascii="Arial Nova" w:hAnsi="Arial Nova" w:eastAsia="Arial Nova" w:cs="Arial Nova"/>
          <w:noProof w:val="0"/>
          <w:sz w:val="22"/>
          <w:szCs w:val="22"/>
          <w:lang w:val="en-GB"/>
        </w:rPr>
        <w:t xml:space="preserve"> </w:t>
      </w:r>
      <w:r w:rsidRPr="524D1DFC" w:rsidR="3A8F112D">
        <w:rPr>
          <w:rFonts w:ascii="Arial Nova" w:hAnsi="Arial Nova" w:eastAsia="Arial Nova" w:cs="Arial Nova"/>
          <w:noProof w:val="0"/>
          <w:sz w:val="22"/>
          <w:szCs w:val="22"/>
          <w:lang w:val="en-GB"/>
        </w:rPr>
        <w:t xml:space="preserve">healthcare collaboration, and teacher preparedness began to </w:t>
      </w:r>
      <w:r w:rsidRPr="524D1DFC" w:rsidR="3A8F112D">
        <w:rPr>
          <w:rFonts w:ascii="Arial Nova" w:hAnsi="Arial Nova" w:eastAsia="Arial Nova" w:cs="Arial Nova"/>
          <w:noProof w:val="0"/>
          <w:sz w:val="22"/>
          <w:szCs w:val="22"/>
          <w:lang w:val="en-GB"/>
        </w:rPr>
        <w:t>emerge</w:t>
      </w:r>
      <w:r w:rsidRPr="524D1DFC" w:rsidR="3A8F112D">
        <w:rPr>
          <w:rFonts w:ascii="Arial Nova" w:hAnsi="Arial Nova" w:eastAsia="Arial Nova" w:cs="Arial Nova"/>
          <w:noProof w:val="0"/>
          <w:sz w:val="22"/>
          <w:szCs w:val="22"/>
          <w:lang w:val="en-GB"/>
        </w:rPr>
        <w:t>.</w:t>
      </w:r>
    </w:p>
    <w:p w:rsidRPr="00C17A49" w:rsidR="00C17A49" w:rsidP="00C17A49" w:rsidRDefault="00C17A49" w14:paraId="78F24EC6" w14:textId="3E145021">
      <w:r w:rsidRPr="524D1DFC" w:rsidR="5FC7B2F8">
        <w:rPr>
          <w:rFonts w:hAnsi="Symbol"/>
        </w:rPr>
        <w:t></w:t>
      </w:r>
      <w:r w:rsidR="5FC7B2F8">
        <w:rPr/>
        <w:t xml:space="preserve"> </w:t>
      </w:r>
      <w:r w:rsidR="5FC7B2F8">
        <w:rPr/>
        <w:t xml:space="preserve">  </w:t>
      </w:r>
      <w:r w:rsidRPr="524D1DFC" w:rsidR="5FC7B2F8">
        <w:rPr>
          <w:b w:val="1"/>
          <w:bCs w:val="1"/>
        </w:rPr>
        <w:t>Organisation:</w:t>
      </w:r>
    </w:p>
    <w:p w:rsidRPr="00C17A49" w:rsidR="00C17A49" w:rsidP="524D1DFC" w:rsidRDefault="00B7073C" w14:paraId="02C4F626" w14:textId="36DF0AE6">
      <w:pPr>
        <w:pStyle w:val="Normal"/>
        <w:ind w:left="0"/>
      </w:pPr>
      <w:r w:rsidRPr="524D1DFC" w:rsidR="18DDF961">
        <w:rPr>
          <w:rFonts w:ascii="Aptos" w:hAnsi="Aptos" w:eastAsia="Aptos" w:cs="Aptos"/>
          <w:noProof w:val="0"/>
          <w:sz w:val="22"/>
          <w:szCs w:val="22"/>
          <w:lang w:val="en-GB"/>
        </w:rPr>
        <w:t xml:space="preserve">To </w:t>
      </w:r>
      <w:r w:rsidRPr="524D1DFC" w:rsidR="18DDF961">
        <w:rPr>
          <w:rFonts w:ascii="Aptos" w:hAnsi="Aptos" w:eastAsia="Aptos" w:cs="Aptos"/>
          <w:noProof w:val="0"/>
          <w:sz w:val="22"/>
          <w:szCs w:val="22"/>
          <w:lang w:val="en-GB"/>
        </w:rPr>
        <w:t>maintain</w:t>
      </w:r>
      <w:r w:rsidRPr="524D1DFC" w:rsidR="18DDF961">
        <w:rPr>
          <w:rFonts w:ascii="Aptos" w:hAnsi="Aptos" w:eastAsia="Aptos" w:cs="Aptos"/>
          <w:noProof w:val="0"/>
          <w:sz w:val="22"/>
          <w:szCs w:val="22"/>
          <w:lang w:val="en-GB"/>
        </w:rPr>
        <w:t xml:space="preserve"> organisation and transparency, tables and spreadsheets were used to record sources, codes, and theme clusters. Colour</w:t>
      </w:r>
      <w:r w:rsidRPr="524D1DFC" w:rsidR="429F3279">
        <w:rPr>
          <w:rFonts w:ascii="Aptos" w:hAnsi="Aptos" w:eastAsia="Aptos" w:cs="Aptos"/>
          <w:noProof w:val="0"/>
          <w:sz w:val="22"/>
          <w:szCs w:val="22"/>
          <w:lang w:val="en-GB"/>
        </w:rPr>
        <w:t xml:space="preserve"> </w:t>
      </w:r>
      <w:r w:rsidRPr="524D1DFC" w:rsidR="18DDF961">
        <w:rPr>
          <w:rFonts w:ascii="Aptos" w:hAnsi="Aptos" w:eastAsia="Aptos" w:cs="Aptos"/>
          <w:noProof w:val="0"/>
          <w:sz w:val="22"/>
          <w:szCs w:val="22"/>
          <w:lang w:val="en-GB"/>
        </w:rPr>
        <w:t>coding techniques were also applied to visually link related ideas, supporting clearer interpretation and ensuring a systematic route from codes to final themes, as suggested by Castleberry and Nolen (2018).</w:t>
      </w:r>
    </w:p>
    <w:p w:rsidRPr="00B01396" w:rsidR="00C17A49" w:rsidP="00B01396" w:rsidRDefault="00C17A49" w14:paraId="701C686E" w14:textId="77777777"/>
    <w:p w:rsidR="00B01396" w:rsidP="001F3B1B" w:rsidRDefault="00292A36" w14:paraId="34D844F4" w14:textId="363E8C6D">
      <w:pPr>
        <w:pStyle w:val="Heading2"/>
        <w:numPr>
          <w:ilvl w:val="1"/>
          <w:numId w:val="78"/>
        </w:numPr>
        <w:rPr/>
      </w:pPr>
      <w:bookmarkStart w:name="_Toc213058153" w:id="11"/>
      <w:r w:rsidR="78FBC936">
        <w:rPr/>
        <w:t>– Ethical Considerations</w:t>
      </w:r>
      <w:bookmarkEnd w:id="11"/>
    </w:p>
    <w:p w:rsidRPr="00C17A49" w:rsidR="00C17A49" w:rsidP="00C17A49" w:rsidRDefault="00C17A49" w14:paraId="073EA88D" w14:textId="77777777"/>
    <w:p w:rsidRPr="00C17A49" w:rsidR="00C17A49" w:rsidP="00C17A49" w:rsidRDefault="00C17A49" w14:paraId="79326193" w14:textId="43C07EBB">
      <w:r w:rsidRPr="524D1DFC" w:rsidR="5FC7B2F8">
        <w:rPr>
          <w:rFonts w:hAnsi="Symbol"/>
        </w:rPr>
        <w:t></w:t>
      </w:r>
      <w:r w:rsidR="5FC7B2F8">
        <w:rPr/>
        <w:t xml:space="preserve">  </w:t>
      </w:r>
      <w:r w:rsidRPr="524D1DFC" w:rsidR="5FC7B2F8">
        <w:rPr>
          <w:b w:val="1"/>
          <w:bCs w:val="1"/>
        </w:rPr>
        <w:t>Secondary Research Ethics:</w:t>
      </w:r>
    </w:p>
    <w:p w:rsidR="07872802" w:rsidP="524D1DFC" w:rsidRDefault="07872802" w14:paraId="4C379CD2" w14:textId="0272DE79">
      <w:pPr>
        <w:pStyle w:val="Normal"/>
        <w:rPr>
          <w:rFonts w:ascii="Arial Nova" w:hAnsi="Arial Nova" w:eastAsia="Arial Nova" w:cs="Arial Nova"/>
          <w:noProof w:val="0"/>
          <w:sz w:val="22"/>
          <w:szCs w:val="22"/>
          <w:lang w:val="en-GB"/>
        </w:rPr>
      </w:pPr>
      <w:r w:rsidRPr="524D1DFC" w:rsidR="07872802">
        <w:rPr>
          <w:rFonts w:ascii="Arial Nova" w:hAnsi="Arial Nova" w:eastAsia="Arial Nova" w:cs="Arial Nova"/>
          <w:noProof w:val="0"/>
          <w:sz w:val="22"/>
          <w:szCs w:val="22"/>
          <w:lang w:val="en-GB"/>
        </w:rPr>
        <w:t>As this dissertation used a secondary research design, no new data were collected, reducing ethical risks associated with direct participant involvement (Walliman, 2017).</w:t>
      </w:r>
    </w:p>
    <w:p w:rsidRPr="00C17A49" w:rsidR="00C17A49" w:rsidP="00C17A49" w:rsidRDefault="00C17A49" w14:paraId="62B3E465" w14:textId="5C744105">
      <w:r w:rsidRPr="524D1DFC" w:rsidR="5FC7B2F8">
        <w:rPr>
          <w:rFonts w:hAnsi="Symbol"/>
        </w:rPr>
        <w:t></w:t>
      </w:r>
      <w:r w:rsidR="5FC7B2F8">
        <w:rPr/>
        <w:t xml:space="preserve">  </w:t>
      </w:r>
      <w:r w:rsidRPr="524D1DFC" w:rsidR="5FC7B2F8">
        <w:rPr>
          <w:b w:val="1"/>
          <w:bCs w:val="1"/>
        </w:rPr>
        <w:t>Academic Integrity:</w:t>
      </w:r>
    </w:p>
    <w:p w:rsidR="754DFB7D" w:rsidP="524D1DFC" w:rsidRDefault="754DFB7D" w14:paraId="3318B22B" w14:textId="60A9FA8D">
      <w:pPr>
        <w:pStyle w:val="Normal"/>
        <w:rPr>
          <w:rFonts w:ascii="Arial Nova" w:hAnsi="Arial Nova" w:eastAsia="Arial Nova" w:cs="Arial Nova"/>
          <w:noProof w:val="0"/>
          <w:sz w:val="22"/>
          <w:szCs w:val="22"/>
          <w:lang w:val="en-GB"/>
        </w:rPr>
      </w:pPr>
      <w:r w:rsidRPr="524D1DFC" w:rsidR="754DFB7D">
        <w:rPr>
          <w:rFonts w:ascii="Arial Nova" w:hAnsi="Arial Nova" w:eastAsia="Arial Nova" w:cs="Arial Nova"/>
          <w:noProof w:val="0"/>
          <w:sz w:val="22"/>
          <w:szCs w:val="22"/>
          <w:lang w:val="en-GB"/>
        </w:rPr>
        <w:t>Ethical practice was maintained through strict adherence to academic integrity principles, including accurate citation of all sources, consistent use of the Harvard referencing style, and careful avoidance of plagiarism or misinterpretation (Creswell and Creswell, 2018).</w:t>
      </w:r>
    </w:p>
    <w:p w:rsidRPr="00C17A49" w:rsidR="00C17A49" w:rsidP="00C17A49" w:rsidRDefault="00C17A49" w14:paraId="0B6D27B9" w14:textId="62240DC2">
      <w:r w:rsidRPr="524D1DFC" w:rsidR="5FC7B2F8">
        <w:rPr>
          <w:rFonts w:hAnsi="Symbol"/>
        </w:rPr>
        <w:t></w:t>
      </w:r>
      <w:r w:rsidR="5FC7B2F8">
        <w:rPr/>
        <w:t xml:space="preserve">  </w:t>
      </w:r>
      <w:r w:rsidRPr="524D1DFC" w:rsidR="5FC7B2F8">
        <w:rPr>
          <w:b w:val="1"/>
          <w:bCs w:val="1"/>
        </w:rPr>
        <w:t>Transparency and Credibility:</w:t>
      </w:r>
    </w:p>
    <w:p w:rsidRPr="001C3AF6" w:rsidR="001C3AF6" w:rsidP="524D1DFC" w:rsidRDefault="001C3AF6" w14:paraId="5569F915" w14:textId="373776EB">
      <w:pPr>
        <w:pStyle w:val="Normal"/>
      </w:pPr>
      <w:r w:rsidRPr="524D1DFC" w:rsidR="57C00B82">
        <w:rPr>
          <w:rFonts w:ascii="Aptos" w:hAnsi="Aptos" w:eastAsia="Aptos" w:cs="Aptos"/>
          <w:noProof w:val="0"/>
          <w:sz w:val="22"/>
          <w:szCs w:val="22"/>
          <w:lang w:val="en-GB"/>
        </w:rPr>
        <w:t>Transparency and credibility were upheld by selecting literature based on relevance and quality rather than personal bias, ensuring a balanced and fair representation of existing research (Bryman, 2016). This ethical approach supports the trustworthiness and reliability of the study's findings.</w:t>
      </w:r>
    </w:p>
    <w:p w:rsidR="00292A36" w:rsidP="00E325CF" w:rsidRDefault="00E325CF" w14:paraId="7F51675F" w14:textId="04100309">
      <w:pPr>
        <w:pStyle w:val="Heading2"/>
      </w:pPr>
      <w:bookmarkStart w:name="_Toc213058154" w:id="12"/>
      <w:r w:rsidR="3F188940">
        <w:rPr/>
        <w:t xml:space="preserve">3.8 </w:t>
      </w:r>
      <w:r w:rsidR="78FBC936">
        <w:rPr/>
        <w:t>– Chapter Conclusion</w:t>
      </w:r>
      <w:bookmarkEnd w:id="12"/>
    </w:p>
    <w:p w:rsidR="005446BF" w:rsidP="005446BF" w:rsidRDefault="005446BF" w14:paraId="7F8BD393" w14:textId="77777777">
      <w:pPr>
        <w:pStyle w:val="ListParagraph"/>
      </w:pPr>
    </w:p>
    <w:p w:rsidRPr="00C17A49" w:rsidR="00C17A49" w:rsidP="00C17A49" w:rsidRDefault="00C17A49" w14:paraId="4823FCA9" w14:textId="30ACC5A1">
      <w:r w:rsidRPr="524D1DFC" w:rsidR="5FC7B2F8">
        <w:rPr>
          <w:rFonts w:hAnsi="Symbol"/>
        </w:rPr>
        <w:t></w:t>
      </w:r>
      <w:r w:rsidR="5FC7B2F8">
        <w:rPr/>
        <w:t xml:space="preserve">   </w:t>
      </w:r>
      <w:r w:rsidRPr="524D1DFC" w:rsidR="5FC7B2F8">
        <w:rPr>
          <w:b w:val="1"/>
          <w:bCs w:val="1"/>
        </w:rPr>
        <w:t>Summary:</w:t>
      </w:r>
    </w:p>
    <w:p w:rsidR="53719E67" w:rsidP="524D1DFC" w:rsidRDefault="53719E67" w14:paraId="30E6EB1C" w14:textId="6A749216">
      <w:pPr>
        <w:pStyle w:val="Normal"/>
        <w:rPr>
          <w:rFonts w:ascii="Arial Nova" w:hAnsi="Arial Nova" w:eastAsia="Arial Nova" w:cs="Arial Nova"/>
          <w:noProof w:val="0"/>
          <w:sz w:val="22"/>
          <w:szCs w:val="22"/>
          <w:lang w:val="en-GB"/>
        </w:rPr>
      </w:pPr>
      <w:r w:rsidRPr="524D1DFC" w:rsidR="53719E67">
        <w:rPr>
          <w:rFonts w:ascii="Arial Nova" w:hAnsi="Arial Nova" w:eastAsia="Arial Nova" w:cs="Arial Nova"/>
          <w:noProof w:val="0"/>
          <w:sz w:val="22"/>
          <w:szCs w:val="22"/>
          <w:lang w:val="en-GB"/>
        </w:rPr>
        <w:t>This chapter outlined the systematic steps taken to locate, evaluate, and analyse the literature for this dissertation. A structured search strategy, supported by carefully developed keywords and Boolean operators, ensured that relevant and high-quality sources were identified. The use of evaluation tools and clear inclusion and exclusion criteria strengthened the credibility of the research. A thematic coding approach was then applied to organise the literature into meaningful patterns and themes.</w:t>
      </w:r>
    </w:p>
    <w:p w:rsidRPr="00C17A49" w:rsidR="00C17A49" w:rsidP="00C17A49" w:rsidRDefault="00C17A49" w14:paraId="5E78A73D" w14:textId="346B6ACF">
      <w:r w:rsidRPr="524D1DFC" w:rsidR="5FC7B2F8">
        <w:rPr>
          <w:rFonts w:hAnsi="Symbol"/>
        </w:rPr>
        <w:t></w:t>
      </w:r>
      <w:r w:rsidR="5FC7B2F8">
        <w:rPr/>
        <w:t xml:space="preserve">   </w:t>
      </w:r>
      <w:r w:rsidRPr="524D1DFC" w:rsidR="5FC7B2F8">
        <w:rPr>
          <w:b w:val="1"/>
          <w:bCs w:val="1"/>
        </w:rPr>
        <w:t>Link to Next Chapter:</w:t>
      </w:r>
    </w:p>
    <w:p w:rsidRPr="005446BF" w:rsidR="001F19A6" w:rsidP="524D1DFC" w:rsidRDefault="001F19A6" w14:paraId="73898CB8" w14:textId="6B81D20C">
      <w:pPr>
        <w:pStyle w:val="Normal"/>
      </w:pPr>
      <w:r w:rsidRPr="524D1DFC" w:rsidR="6D73EB9D">
        <w:rPr>
          <w:rFonts w:ascii="Aptos" w:hAnsi="Aptos" w:eastAsia="Aptos" w:cs="Aptos"/>
          <w:noProof w:val="0"/>
          <w:sz w:val="22"/>
          <w:szCs w:val="22"/>
          <w:lang w:val="en-GB"/>
        </w:rPr>
        <w:t>Chapter 4 will build on this foundation by presenting the findings of the thematic analysis, with each theme explored in direct relation to the research aim and question.</w:t>
      </w:r>
    </w:p>
    <w:p w:rsidRPr="00636D9A" w:rsidR="001C3AF6" w:rsidP="00636D9A" w:rsidRDefault="001C3AF6" w14:paraId="3E27A013" w14:textId="023E4AF5">
      <w:pPr>
        <w:pStyle w:val="Heading1"/>
        <w:ind w:left="0"/>
        <w:rPr>
          <w:rFonts w:ascii="Aptos" w:hAnsi="Aptos"/>
        </w:rPr>
      </w:pPr>
      <w:bookmarkStart w:name="_Toc213058155" w:id="13"/>
      <w:r w:rsidRPr="524D1DFC" w:rsidR="676686AE">
        <w:rPr>
          <w:rFonts w:ascii="Aptos" w:hAnsi="Aptos"/>
        </w:rPr>
        <w:t>C</w:t>
      </w:r>
      <w:r w:rsidRPr="524D1DFC" w:rsidR="71FE935E">
        <w:rPr>
          <w:rFonts w:ascii="Aptos" w:hAnsi="Aptos"/>
        </w:rPr>
        <w:t>HAPTER</w:t>
      </w:r>
      <w:r w:rsidRPr="524D1DFC" w:rsidR="676686AE">
        <w:rPr>
          <w:rFonts w:ascii="Aptos" w:hAnsi="Aptos"/>
        </w:rPr>
        <w:t xml:space="preserve"> 4 – Findings and Discussion</w:t>
      </w:r>
      <w:bookmarkEnd w:id="13"/>
    </w:p>
    <w:p w:rsidR="001C3AF6" w:rsidP="001C3AF6" w:rsidRDefault="001C3AF6" w14:paraId="1134D897" w14:textId="77777777"/>
    <w:p w:rsidR="00636D9A" w:rsidP="001C3AF6" w:rsidRDefault="00636D9A" w14:paraId="7991C57B" w14:textId="77777777"/>
    <w:p w:rsidRPr="00636D9A" w:rsidR="001C3AF6" w:rsidP="003B1E32" w:rsidRDefault="001C3AF6" w14:paraId="0CB43921" w14:textId="2BD0AD8B">
      <w:pPr>
        <w:pStyle w:val="Heading2"/>
      </w:pPr>
      <w:bookmarkStart w:name="_Toc213058156" w:id="14"/>
      <w:r w:rsidR="676686AE">
        <w:rPr/>
        <w:t>4.1 –</w:t>
      </w:r>
      <w:r w:rsidR="71FE935E">
        <w:rPr/>
        <w:t xml:space="preserve"> </w:t>
      </w:r>
      <w:r w:rsidR="676686AE">
        <w:rPr/>
        <w:t>Introduction</w:t>
      </w:r>
      <w:bookmarkEnd w:id="14"/>
    </w:p>
    <w:p w:rsidR="00636D9A" w:rsidP="00636D9A" w:rsidRDefault="00636D9A" w14:paraId="367F223F" w14:textId="77777777">
      <w:pPr>
        <w:pStyle w:val="Heading1"/>
        <w:ind w:left="0"/>
      </w:pPr>
    </w:p>
    <w:p w:rsidR="002865F5" w:rsidP="524D1DFC" w:rsidRDefault="002865F5" w14:paraId="7B6D738E" w14:textId="57C8963F">
      <w:pPr>
        <w:pStyle w:val="Normal"/>
      </w:pPr>
      <w:r w:rsidRPr="524D1DFC" w:rsidR="2FFD7B0E">
        <w:rPr>
          <w:rFonts w:ascii="Aptos" w:hAnsi="Aptos" w:eastAsia="Aptos" w:cs="Aptos"/>
          <w:noProof w:val="0"/>
          <w:sz w:val="22"/>
          <w:szCs w:val="22"/>
          <w:lang w:val="en-GB"/>
        </w:rPr>
        <w:t>This chapter presents the findings of the thematic analysis conducted during the literature review process. It evaluates the key themes that emerged from the research, examining how chronic illness affects children’s educational experiences and the extent to which schools provide effective support. Each theme is discussed in relation to the research aim and grounded in existing academic literature, ensuring a balanced and evidence-based interpretation (Braun &amp; Clarke, 2006). The chapter also highlights areas of agreement and disagreement within the research, helping to build a critical understanding of current practice and ongoing challenges.</w:t>
      </w:r>
    </w:p>
    <w:p w:rsidRPr="00636D9A" w:rsidR="001C3AF6" w:rsidP="003B1E32" w:rsidRDefault="001C3AF6" w14:paraId="49AC5888" w14:textId="744476F5">
      <w:pPr>
        <w:pStyle w:val="Heading2"/>
      </w:pPr>
      <w:bookmarkStart w:name="_Toc213058157" w:id="15"/>
      <w:r w:rsidR="676686AE">
        <w:rPr/>
        <w:t>4.2 – Thematic Analysis</w:t>
      </w:r>
      <w:bookmarkEnd w:id="15"/>
    </w:p>
    <w:p w:rsidR="00636D9A" w:rsidP="001C3AF6" w:rsidRDefault="00636D9A" w14:paraId="2739E815" w14:textId="77777777">
      <w:pPr>
        <w:pStyle w:val="Heading1"/>
      </w:pPr>
    </w:p>
    <w:p w:rsidRPr="00750B5B" w:rsidR="00750B5B" w:rsidP="00750B5B" w:rsidRDefault="00750B5B" w14:paraId="5EDA0379" w14:textId="5393A9E7">
      <w:r w:rsidRPr="524D1DFC" w:rsidR="212CB968">
        <w:rPr>
          <w:rFonts w:hAnsi="Symbol"/>
        </w:rPr>
        <w:t></w:t>
      </w:r>
      <w:r w:rsidR="212CB968">
        <w:rPr/>
        <w:t xml:space="preserve"> </w:t>
      </w:r>
      <w:r w:rsidR="212CB968">
        <w:rPr/>
        <w:t xml:space="preserve">  </w:t>
      </w:r>
      <w:r w:rsidRPr="524D1DFC" w:rsidR="212CB968">
        <w:rPr>
          <w:b w:val="1"/>
          <w:bCs w:val="1"/>
        </w:rPr>
        <w:t>Definition of Thematic Analysis:</w:t>
      </w:r>
    </w:p>
    <w:p w:rsidR="7F0CCEE2" w:rsidP="524D1DFC" w:rsidRDefault="7F0CCEE2" w14:paraId="0359564C" w14:textId="09460529">
      <w:pPr>
        <w:pStyle w:val="Normal"/>
        <w:rPr>
          <w:rFonts w:ascii="Arial Nova" w:hAnsi="Arial Nova" w:eastAsia="Arial Nova" w:cs="Arial Nova"/>
          <w:noProof w:val="0"/>
          <w:sz w:val="22"/>
          <w:szCs w:val="22"/>
          <w:lang w:val="en-GB"/>
        </w:rPr>
      </w:pPr>
      <w:r w:rsidRPr="524D1DFC" w:rsidR="7F0CCEE2">
        <w:rPr>
          <w:rFonts w:ascii="Arial Nova" w:hAnsi="Arial Nova" w:eastAsia="Arial Nova" w:cs="Arial Nova"/>
          <w:noProof w:val="0"/>
          <w:sz w:val="22"/>
          <w:szCs w:val="22"/>
          <w:lang w:val="en-GB"/>
        </w:rPr>
        <w:t>Thematic analysis is a qualitative method used to identify, organise and interpret patterns of meaning within a dataset, making it particularly suitable for secondary research based on existing literature (Braun and Clarke, 2012). This approach enabled a systematic examination of recurring ideas across the reviewed studies</w:t>
      </w:r>
    </w:p>
    <w:p w:rsidRPr="00750B5B" w:rsidR="00750B5B" w:rsidP="00750B5B" w:rsidRDefault="00750B5B" w14:paraId="3D3C5DCD" w14:textId="4489C4D3">
      <w:r w:rsidRPr="524D1DFC" w:rsidR="212CB968">
        <w:rPr>
          <w:rFonts w:hAnsi="Symbol"/>
        </w:rPr>
        <w:t></w:t>
      </w:r>
      <w:r w:rsidR="212CB968">
        <w:rPr/>
        <w:t xml:space="preserve"> </w:t>
      </w:r>
      <w:r w:rsidR="212CB968">
        <w:rPr/>
        <w:t xml:space="preserve">  </w:t>
      </w:r>
      <w:r w:rsidRPr="524D1DFC" w:rsidR="212CB968">
        <w:rPr>
          <w:b w:val="1"/>
          <w:bCs w:val="1"/>
        </w:rPr>
        <w:t>Link to Coding/Results Table:</w:t>
      </w:r>
    </w:p>
    <w:p w:rsidR="00636D9A" w:rsidP="524D1DFC" w:rsidRDefault="00636D9A" w14:paraId="3B39D7B4" w14:textId="330FB31C">
      <w:pPr>
        <w:pStyle w:val="Normal"/>
      </w:pPr>
      <w:r w:rsidRPr="524D1DFC" w:rsidR="28234B00">
        <w:rPr>
          <w:rFonts w:ascii="Aptos" w:hAnsi="Aptos" w:eastAsia="Aptos" w:cs="Aptos"/>
          <w:noProof w:val="0"/>
          <w:sz w:val="22"/>
          <w:szCs w:val="22"/>
          <w:lang w:val="en-GB"/>
        </w:rPr>
        <w:t>The coding process, documented in the results table included in the appendix, involved generating initial codes and grouping them into broader themes. From this process, several key themes emerged, including educational inclusion, collaboration between health and education professionals, teacher confidence, and school-based adjustments. These themes are explored in detail in the following sections.</w:t>
      </w:r>
    </w:p>
    <w:p w:rsidRPr="00636D9A" w:rsidR="001C3AF6" w:rsidP="003B1E32" w:rsidRDefault="001C3AF6" w14:paraId="1E614ABD" w14:textId="1FE1A79F">
      <w:pPr>
        <w:pStyle w:val="Heading2"/>
      </w:pPr>
      <w:bookmarkStart w:name="_Toc213058158" w:id="16"/>
      <w:r w:rsidR="676686AE">
        <w:rPr/>
        <w:t xml:space="preserve">4.3 – Theme 1 </w:t>
      </w:r>
      <w:r w:rsidR="066ABF87">
        <w:rPr/>
        <w:t xml:space="preserve">Education Inclusion for Children with </w:t>
      </w:r>
      <w:r w:rsidR="066ABF87">
        <w:rPr/>
        <w:t>Chronic</w:t>
      </w:r>
      <w:r w:rsidR="066ABF87">
        <w:rPr/>
        <w:t xml:space="preserve"> Illnesses</w:t>
      </w:r>
      <w:bookmarkEnd w:id="16"/>
    </w:p>
    <w:p w:rsidRPr="00636D9A" w:rsidR="00636D9A" w:rsidP="001C3AF6" w:rsidRDefault="00636D9A" w14:paraId="7F885927" w14:textId="77777777">
      <w:pPr>
        <w:pStyle w:val="Heading1"/>
        <w:rPr>
          <w:sz w:val="28"/>
          <w:szCs w:val="28"/>
        </w:rPr>
      </w:pPr>
    </w:p>
    <w:p w:rsidRPr="007063BA" w:rsidR="007063BA" w:rsidP="007063BA" w:rsidRDefault="007063BA" w14:paraId="37162A03" w14:textId="09C4AB5A">
      <w:pPr>
        <w:pStyle w:val="Heading4"/>
        <w:rPr>
          <w:rFonts w:ascii="Aptos" w:hAnsi="Aptos"/>
        </w:rPr>
      </w:pPr>
      <w:r w:rsidRPr="007063BA">
        <w:rPr>
          <w:rFonts w:ascii="Aptos" w:hAnsi="Aptos"/>
        </w:rPr>
        <w:t xml:space="preserve">Definition </w:t>
      </w:r>
    </w:p>
    <w:p w:rsidRPr="007063BA" w:rsidR="007063BA" w:rsidP="001F3B1B" w:rsidRDefault="007063BA" w14:paraId="6856918D" w14:textId="77777777">
      <w:pPr>
        <w:numPr>
          <w:ilvl w:val="0"/>
          <w:numId w:val="70"/>
        </w:numPr>
        <w:spacing w:before="100" w:beforeAutospacing="1" w:after="100" w:afterAutospacing="1"/>
        <w:jc w:val="left"/>
        <w:rPr/>
      </w:pPr>
      <w:r w:rsidRPr="524D1DFC" w:rsidR="00BEB5B3">
        <w:rPr>
          <w:rStyle w:val="Strong"/>
        </w:rPr>
        <w:t>Definition:</w:t>
      </w:r>
    </w:p>
    <w:p w:rsidR="7CC02D46" w:rsidP="524D1DFC" w:rsidRDefault="7CC02D46" w14:paraId="3DC3FDC7" w14:textId="46079E7C">
      <w:pPr>
        <w:pStyle w:val="Normal"/>
      </w:pPr>
      <w:r w:rsidRPr="524D1DFC" w:rsidR="7CC02D46">
        <w:rPr>
          <w:noProof w:val="0"/>
          <w:lang w:val="en-GB"/>
        </w:rPr>
        <w:t>Educational inclusion refers to the practice of ensuring that all learners</w:t>
      </w:r>
      <w:r w:rsidRPr="524D1DFC" w:rsidR="5D3C9F60">
        <w:rPr>
          <w:noProof w:val="0"/>
          <w:lang w:val="en-GB"/>
        </w:rPr>
        <w:t xml:space="preserve"> </w:t>
      </w:r>
      <w:r w:rsidRPr="524D1DFC" w:rsidR="7CC02D46">
        <w:rPr>
          <w:noProof w:val="0"/>
          <w:lang w:val="en-GB"/>
        </w:rPr>
        <w:t>regardless of health, disability, or background</w:t>
      </w:r>
      <w:r w:rsidRPr="524D1DFC" w:rsidR="1903D05A">
        <w:rPr>
          <w:noProof w:val="0"/>
          <w:lang w:val="en-GB"/>
        </w:rPr>
        <w:t xml:space="preserve"> </w:t>
      </w:r>
      <w:r w:rsidRPr="524D1DFC" w:rsidR="7CC02D46">
        <w:rPr>
          <w:noProof w:val="0"/>
          <w:lang w:val="en-GB"/>
        </w:rPr>
        <w:t>have equitable access to learning opportunities, participation, and achievement (Ainscow, 2020). In the context of chronic illness, inclusion involves adapting teaching, assessment, environment, and emotional support to meet fluctuating health needs. Chronic illness is defined as a long-term physical health condition lasting over three months and requiring ongoing management (Bernell and Howard, 2016). Understanding these terms is essential, as they underpin the educational adjustments and policy requirements explored throughout this theme.</w:t>
      </w:r>
    </w:p>
    <w:p w:rsidRPr="007063BA" w:rsidR="007063BA" w:rsidP="007063BA" w:rsidRDefault="007063BA" w14:paraId="6920ED58" w14:textId="77777777">
      <w:pPr>
        <w:pStyle w:val="Heading4"/>
        <w:rPr>
          <w:rFonts w:ascii="Aptos" w:hAnsi="Aptos"/>
        </w:rPr>
      </w:pPr>
      <w:r w:rsidRPr="007063BA">
        <w:rPr>
          <w:rFonts w:ascii="Aptos" w:hAnsi="Aptos"/>
        </w:rPr>
        <w:t>Background Information</w:t>
      </w:r>
    </w:p>
    <w:p w:rsidRPr="007063BA" w:rsidR="007063BA" w:rsidP="001F3B1B" w:rsidRDefault="007063BA" w14:paraId="2F3E32EB" w14:textId="77777777">
      <w:pPr>
        <w:numPr>
          <w:ilvl w:val="0"/>
          <w:numId w:val="71"/>
        </w:numPr>
        <w:spacing w:before="100" w:beforeAutospacing="1" w:after="100" w:afterAutospacing="1"/>
        <w:jc w:val="left"/>
        <w:rPr/>
      </w:pPr>
      <w:r w:rsidRPr="524D1DFC" w:rsidR="00BEB5B3">
        <w:rPr>
          <w:rStyle w:val="Strong"/>
        </w:rPr>
        <w:t>Historical/Contextual Background:</w:t>
      </w:r>
    </w:p>
    <w:p w:rsidR="4949889A" w:rsidP="524D1DFC" w:rsidRDefault="4949889A" w14:paraId="1FE757B2" w14:textId="42D06AA8">
      <w:pPr>
        <w:spacing w:before="240" w:beforeAutospacing="off" w:after="240" w:afterAutospacing="off"/>
      </w:pPr>
      <w:r w:rsidRPr="524D1DFC" w:rsidR="4949889A">
        <w:rPr>
          <w:noProof w:val="0"/>
          <w:lang w:val="en-GB"/>
        </w:rPr>
        <w:t>Historically, children with chronic illnesses often experienced disrupted or limited schooling, with homebound or hospital-based teaching forming much of their education. Prior to inclusive policy reforms, mainstream schools had limited legal or structural responsibility to accommodate medical needs (Norwich, 2019). The rise of inclusion since the late 20th century, particularly influenced by movements such as the Salamanca Statement (UNESCO, 1994), brought chronic illness into broader disability and inclusion frameworks.</w:t>
      </w:r>
    </w:p>
    <w:p w:rsidR="4949889A" w:rsidP="524D1DFC" w:rsidRDefault="4949889A" w14:paraId="38363A20" w14:textId="0EA89C0D">
      <w:pPr>
        <w:spacing w:before="240" w:beforeAutospacing="off" w:after="240" w:afterAutospacing="off"/>
      </w:pPr>
      <w:r w:rsidRPr="524D1DFC" w:rsidR="4949889A">
        <w:rPr>
          <w:noProof w:val="0"/>
          <w:lang w:val="en-GB"/>
        </w:rPr>
        <w:t>Contemporary inclusion now incorporates multi-disciplinary support, flexible learning pathways, individual healthcare plans, and reduced stigma. As medical advancements improve survival and life expectancy for paediatric chronic illnesses such as asthma, diabetes, epilepsy, and cancer, the number of children requiring educational adjustments has risen substantially (Swann, 2021). This shift places inclusion at the centre of both educational policy and everyday practice.</w:t>
      </w:r>
    </w:p>
    <w:p w:rsidR="524D1DFC" w:rsidP="524D1DFC" w:rsidRDefault="524D1DFC" w14:paraId="42309EFD" w14:textId="0839B48E">
      <w:pPr>
        <w:pStyle w:val="Normal"/>
      </w:pPr>
    </w:p>
    <w:p w:rsidRPr="007063BA" w:rsidR="007063BA" w:rsidP="007063BA" w:rsidRDefault="007063BA" w14:paraId="7749FD3C" w14:textId="77777777">
      <w:pPr>
        <w:pStyle w:val="Heading4"/>
        <w:rPr>
          <w:rFonts w:ascii="Aptos" w:hAnsi="Aptos"/>
        </w:rPr>
      </w:pPr>
      <w:r w:rsidRPr="007063BA">
        <w:rPr>
          <w:rFonts w:ascii="Aptos" w:hAnsi="Aptos"/>
        </w:rPr>
        <w:t>Impact on Research Question</w:t>
      </w:r>
    </w:p>
    <w:p w:rsidRPr="007063BA" w:rsidR="007063BA" w:rsidP="001F3B1B" w:rsidRDefault="007063BA" w14:paraId="6C84F17D" w14:textId="77777777">
      <w:pPr>
        <w:numPr>
          <w:ilvl w:val="0"/>
          <w:numId w:val="72"/>
        </w:numPr>
        <w:spacing w:before="100" w:beforeAutospacing="1" w:after="100" w:afterAutospacing="1"/>
        <w:jc w:val="left"/>
        <w:rPr/>
      </w:pPr>
      <w:r w:rsidRPr="524D1DFC" w:rsidR="00BEB5B3">
        <w:rPr>
          <w:rStyle w:val="Strong"/>
        </w:rPr>
        <w:t>Relevance to Title/Research Question:</w:t>
      </w:r>
    </w:p>
    <w:p w:rsidR="04D8E8E0" w:rsidP="524D1DFC" w:rsidRDefault="04D8E8E0" w14:paraId="096538B9" w14:textId="63028919">
      <w:pPr>
        <w:spacing w:before="240" w:beforeAutospacing="off" w:after="240" w:afterAutospacing="off"/>
      </w:pPr>
      <w:r w:rsidRPr="524D1DFC" w:rsidR="04D8E8E0">
        <w:rPr>
          <w:noProof w:val="0"/>
          <w:lang w:val="en-GB"/>
        </w:rPr>
        <w:t>This theme directly supports the research question by highlighting how inclusive provision influences the educational experiences of children with chronic illnesses. Since the study examines how schools support this population, inclusion serves as the foundational lens through which all other themes are interpreted. It shapes how schools design support systems, how teachers respond to fluctuating needs, and how policy is translated into daily practice.</w:t>
      </w:r>
    </w:p>
    <w:p w:rsidR="04D8E8E0" w:rsidP="524D1DFC" w:rsidRDefault="04D8E8E0" w14:paraId="46A48F0C" w14:textId="05229F22">
      <w:pPr>
        <w:spacing w:before="240" w:beforeAutospacing="off" w:after="240" w:afterAutospacing="off"/>
      </w:pPr>
      <w:r w:rsidRPr="524D1DFC" w:rsidR="04D8E8E0">
        <w:rPr>
          <w:noProof w:val="0"/>
          <w:lang w:val="en-GB"/>
        </w:rPr>
        <w:t xml:space="preserve">Understanding inclusion also helps </w:t>
      </w:r>
      <w:r w:rsidRPr="524D1DFC" w:rsidR="04D8E8E0">
        <w:rPr>
          <w:noProof w:val="0"/>
          <w:lang w:val="en-GB"/>
        </w:rPr>
        <w:t>identify</w:t>
      </w:r>
      <w:r w:rsidRPr="524D1DFC" w:rsidR="04D8E8E0">
        <w:rPr>
          <w:noProof w:val="0"/>
          <w:lang w:val="en-GB"/>
        </w:rPr>
        <w:t xml:space="preserve"> gaps between policy intentions and real-world implementation. Research shows that children with chronic illnesses </w:t>
      </w:r>
      <w:r w:rsidRPr="524D1DFC" w:rsidR="04D8E8E0">
        <w:rPr>
          <w:noProof w:val="0"/>
          <w:lang w:val="en-GB"/>
        </w:rPr>
        <w:t>remain</w:t>
      </w:r>
      <w:r w:rsidRPr="524D1DFC" w:rsidR="04D8E8E0">
        <w:rPr>
          <w:noProof w:val="0"/>
          <w:lang w:val="en-GB"/>
        </w:rPr>
        <w:t xml:space="preserve"> at higher risk of academic underachievement and absenteeism compared with their healthy peers, despite inclusive ambitions (</w:t>
      </w:r>
      <w:r w:rsidRPr="524D1DFC" w:rsidR="04D8E8E0">
        <w:rPr>
          <w:noProof w:val="0"/>
          <w:lang w:val="en-GB"/>
        </w:rPr>
        <w:t>Pinquart</w:t>
      </w:r>
      <w:r w:rsidRPr="524D1DFC" w:rsidR="04D8E8E0">
        <w:rPr>
          <w:noProof w:val="0"/>
          <w:lang w:val="en-GB"/>
        </w:rPr>
        <w:t>, 2018). Therefore, examining inclusion is crucial for evaluating whether current educational approaches truly meet the needs outlined in the dissertation aim.</w:t>
      </w:r>
    </w:p>
    <w:p w:rsidRPr="007063BA" w:rsidR="007063BA" w:rsidP="007063BA" w:rsidRDefault="007063BA" w14:paraId="6A42E4BF" w14:textId="77777777">
      <w:pPr>
        <w:pStyle w:val="Heading4"/>
        <w:rPr>
          <w:rFonts w:ascii="Aptos" w:hAnsi="Aptos"/>
        </w:rPr>
      </w:pPr>
      <w:r w:rsidRPr="007063BA">
        <w:rPr>
          <w:rFonts w:ascii="Aptos" w:hAnsi="Aptos"/>
        </w:rPr>
        <w:t>Statistical Information</w:t>
      </w:r>
    </w:p>
    <w:p w:rsidRPr="007063BA" w:rsidR="007063BA" w:rsidP="001F3B1B" w:rsidRDefault="007063BA" w14:paraId="234E6774" w14:textId="77777777">
      <w:pPr>
        <w:numPr>
          <w:ilvl w:val="0"/>
          <w:numId w:val="73"/>
        </w:numPr>
        <w:spacing w:before="100" w:beforeAutospacing="1" w:after="100" w:afterAutospacing="1"/>
        <w:jc w:val="left"/>
        <w:rPr/>
      </w:pPr>
      <w:r w:rsidRPr="524D1DFC" w:rsidR="00BEB5B3">
        <w:rPr>
          <w:rStyle w:val="Strong"/>
        </w:rPr>
        <w:t>Data and Statistics:</w:t>
      </w:r>
    </w:p>
    <w:p w:rsidR="047C69BB" w:rsidP="524D1DFC" w:rsidRDefault="047C69BB" w14:paraId="214F1A8A" w14:textId="616323C4">
      <w:pPr>
        <w:spacing w:before="240" w:beforeAutospacing="off" w:after="240" w:afterAutospacing="off"/>
      </w:pPr>
      <w:r w:rsidRPr="524D1DFC" w:rsidR="047C69BB">
        <w:rPr>
          <w:noProof w:val="0"/>
          <w:lang w:val="en-GB"/>
        </w:rPr>
        <w:t>Statistics highlight the scale of the challenge. In the UK, ove</w:t>
      </w:r>
      <w:r w:rsidRPr="524D1DFC" w:rsidR="047C69BB">
        <w:rPr>
          <w:b w:val="0"/>
          <w:bCs w:val="0"/>
          <w:noProof w:val="0"/>
          <w:lang w:val="en-GB"/>
        </w:rPr>
        <w:t xml:space="preserve">r </w:t>
      </w:r>
      <w:r w:rsidRPr="524D1DFC" w:rsidR="047C69BB">
        <w:rPr>
          <w:b w:val="0"/>
          <w:bCs w:val="0"/>
          <w:noProof w:val="0"/>
          <w:lang w:val="en-GB"/>
        </w:rPr>
        <w:t>1.7 million children</w:t>
      </w:r>
      <w:r w:rsidRPr="524D1DFC" w:rsidR="047C69BB">
        <w:rPr>
          <w:b w:val="0"/>
          <w:bCs w:val="0"/>
          <w:noProof w:val="0"/>
          <w:lang w:val="en-GB"/>
        </w:rPr>
        <w:t xml:space="preserve"> l</w:t>
      </w:r>
      <w:r w:rsidRPr="524D1DFC" w:rsidR="047C69BB">
        <w:rPr>
          <w:noProof w:val="0"/>
          <w:lang w:val="en-GB"/>
        </w:rPr>
        <w:t xml:space="preserve">ive with a long-term medical condition (Department of Health and Social Care, 2020). Chronic illness is a leading cause of extended school absence, with some conditions contributing to an average of </w:t>
      </w:r>
      <w:r w:rsidRPr="524D1DFC" w:rsidR="047C69BB">
        <w:rPr>
          <w:b w:val="0"/>
          <w:bCs w:val="0"/>
          <w:noProof w:val="0"/>
          <w:lang w:val="en-GB"/>
        </w:rPr>
        <w:t>15–30 missed school days per year</w:t>
      </w:r>
      <w:r w:rsidRPr="524D1DFC" w:rsidR="047C69BB">
        <w:rPr>
          <w:b w:val="0"/>
          <w:bCs w:val="0"/>
          <w:noProof w:val="0"/>
          <w:lang w:val="en-GB"/>
        </w:rPr>
        <w:t xml:space="preserve"> (Children’s Commissioner, 2022). Children with cancer, for example, often lose up to </w:t>
      </w:r>
      <w:r w:rsidRPr="524D1DFC" w:rsidR="047C69BB">
        <w:rPr>
          <w:b w:val="0"/>
          <w:bCs w:val="0"/>
          <w:noProof w:val="0"/>
          <w:lang w:val="en-GB"/>
        </w:rPr>
        <w:t>one full academic year</w:t>
      </w:r>
      <w:r w:rsidRPr="524D1DFC" w:rsidR="047C69BB">
        <w:rPr>
          <w:b w:val="0"/>
          <w:bCs w:val="0"/>
          <w:noProof w:val="0"/>
          <w:lang w:val="en-GB"/>
        </w:rPr>
        <w:t xml:space="preserve"> </w:t>
      </w:r>
      <w:r w:rsidRPr="524D1DFC" w:rsidR="047C69BB">
        <w:rPr>
          <w:noProof w:val="0"/>
          <w:lang w:val="en-GB"/>
        </w:rPr>
        <w:t>of schooling across diagnosis and treatment (Taylor et al., 2020).</w:t>
      </w:r>
    </w:p>
    <w:p w:rsidR="047C69BB" w:rsidP="524D1DFC" w:rsidRDefault="047C69BB" w14:paraId="1F451308" w14:textId="5D1851EC">
      <w:pPr>
        <w:spacing w:before="240" w:beforeAutospacing="off" w:after="240" w:afterAutospacing="off"/>
      </w:pPr>
      <w:r w:rsidRPr="524D1DFC" w:rsidR="047C69BB">
        <w:rPr>
          <w:noProof w:val="0"/>
          <w:lang w:val="en-GB"/>
        </w:rPr>
        <w:t xml:space="preserve">Further, research </w:t>
      </w:r>
      <w:r w:rsidRPr="524D1DFC" w:rsidR="047C69BB">
        <w:rPr>
          <w:noProof w:val="0"/>
          <w:lang w:val="en-GB"/>
        </w:rPr>
        <w:t>indicates</w:t>
      </w:r>
      <w:r w:rsidRPr="524D1DFC" w:rsidR="047C69BB">
        <w:rPr>
          <w:noProof w:val="0"/>
          <w:lang w:val="en-GB"/>
        </w:rPr>
        <w:t xml:space="preserve"> that pupils with chronic illnesses are</w:t>
      </w:r>
      <w:r w:rsidRPr="524D1DFC" w:rsidR="047C69BB">
        <w:rPr>
          <w:b w:val="0"/>
          <w:bCs w:val="0"/>
          <w:noProof w:val="0"/>
          <w:lang w:val="en-GB"/>
        </w:rPr>
        <w:t xml:space="preserve"> </w:t>
      </w:r>
      <w:r w:rsidRPr="524D1DFC" w:rsidR="047C69BB">
        <w:rPr>
          <w:b w:val="0"/>
          <w:bCs w:val="0"/>
          <w:noProof w:val="0"/>
          <w:lang w:val="en-GB"/>
        </w:rPr>
        <w:t>twice as likely</w:t>
      </w:r>
      <w:r w:rsidRPr="524D1DFC" w:rsidR="047C69BB">
        <w:rPr>
          <w:b w:val="0"/>
          <w:bCs w:val="0"/>
          <w:noProof w:val="0"/>
          <w:lang w:val="en-GB"/>
        </w:rPr>
        <w:t xml:space="preserve"> </w:t>
      </w:r>
      <w:r w:rsidRPr="524D1DFC" w:rsidR="047C69BB">
        <w:rPr>
          <w:noProof w:val="0"/>
          <w:lang w:val="en-GB"/>
        </w:rPr>
        <w:t xml:space="preserve">to perform below expected academic standards due to disrupted learning and reduced participation in school activities (Lum et al., 2021). These statistics reinforce why inclusion </w:t>
      </w:r>
      <w:r w:rsidRPr="524D1DFC" w:rsidR="047C69BB">
        <w:rPr>
          <w:noProof w:val="0"/>
          <w:lang w:val="en-GB"/>
        </w:rPr>
        <w:t>remains</w:t>
      </w:r>
      <w:r w:rsidRPr="524D1DFC" w:rsidR="047C69BB">
        <w:rPr>
          <w:noProof w:val="0"/>
          <w:lang w:val="en-GB"/>
        </w:rPr>
        <w:t xml:space="preserve"> an essential theme: without robust inclusive practices, the educational gap is likely to widen.</w:t>
      </w:r>
    </w:p>
    <w:p w:rsidRPr="007063BA" w:rsidR="007063BA" w:rsidP="007063BA" w:rsidRDefault="007063BA" w14:paraId="142DB4B4" w14:textId="77777777">
      <w:pPr>
        <w:pStyle w:val="Heading4"/>
        <w:rPr>
          <w:rFonts w:ascii="Aptos" w:hAnsi="Aptos"/>
        </w:rPr>
      </w:pPr>
      <w:r w:rsidRPr="007063BA">
        <w:rPr>
          <w:rFonts w:ascii="Aptos" w:hAnsi="Aptos"/>
        </w:rPr>
        <w:t>Theories, Policies, and Legislation</w:t>
      </w:r>
    </w:p>
    <w:p w:rsidRPr="007063BA" w:rsidR="007063BA" w:rsidP="001F3B1B" w:rsidRDefault="007063BA" w14:paraId="387A2433" w14:textId="77777777">
      <w:pPr>
        <w:pStyle w:val="NormalWeb"/>
        <w:numPr>
          <w:ilvl w:val="0"/>
          <w:numId w:val="74"/>
        </w:numPr>
        <w:spacing w:line="360" w:lineRule="auto"/>
        <w:rPr>
          <w:rFonts w:ascii="Aptos" w:hAnsi="Aptos"/>
          <w:sz w:val="22"/>
          <w:szCs w:val="22"/>
        </w:rPr>
      </w:pPr>
      <w:r w:rsidRPr="524D1DFC" w:rsidR="00BEB5B3">
        <w:rPr>
          <w:rStyle w:val="Strong"/>
          <w:rFonts w:ascii="Aptos" w:hAnsi="Aptos" w:eastAsia="Calibri Light"/>
          <w:sz w:val="22"/>
          <w:szCs w:val="22"/>
        </w:rPr>
        <w:t>Theoretical Framework:</w:t>
      </w:r>
    </w:p>
    <w:p w:rsidR="0DE4BD0C" w:rsidP="524D1DFC" w:rsidRDefault="0DE4BD0C" w14:paraId="49EB865E" w14:textId="53931F78">
      <w:pPr>
        <w:spacing w:before="240" w:beforeAutospacing="off" w:after="240" w:afterAutospacing="off"/>
      </w:pPr>
      <w:r w:rsidRPr="524D1DFC" w:rsidR="0DE4BD0C">
        <w:rPr>
          <w:noProof w:val="0"/>
          <w:lang w:val="en-GB"/>
        </w:rPr>
        <w:t>Inclusive education is underpinned by Bronfenbrenner’s Ecological Systems Theory (1979), which emphasises how a child’s development is influenced by interactions across multiple systems</w:t>
      </w:r>
      <w:r w:rsidRPr="524D1DFC" w:rsidR="163E47C6">
        <w:rPr>
          <w:noProof w:val="0"/>
          <w:lang w:val="en-GB"/>
        </w:rPr>
        <w:t xml:space="preserve"> </w:t>
      </w:r>
      <w:r w:rsidRPr="524D1DFC" w:rsidR="0DE4BD0C">
        <w:rPr>
          <w:noProof w:val="0"/>
          <w:lang w:val="en-GB"/>
        </w:rPr>
        <w:t>family, school, healthcare, and policy. For chronically ill children, effective inclusion depends on strong collaboration within and across these systems.</w:t>
      </w:r>
    </w:p>
    <w:p w:rsidR="0DE4BD0C" w:rsidP="524D1DFC" w:rsidRDefault="0DE4BD0C" w14:paraId="7D25D91D" w14:textId="13864152">
      <w:pPr>
        <w:spacing w:before="240" w:beforeAutospacing="off" w:after="240" w:afterAutospacing="off"/>
      </w:pPr>
      <w:r w:rsidRPr="524D1DFC" w:rsidR="0DE4BD0C">
        <w:rPr>
          <w:noProof w:val="0"/>
          <w:lang w:val="en-GB"/>
        </w:rPr>
        <w:t>The Social Model of Disability also informs inclusion by viewing barriers as environmental rather than inherent to the child (Oliver, 2013). In this sense, schools are responsible for removing obstacles that prevent participation, such as rigid attendance expectations or inflexible teaching methods.</w:t>
      </w:r>
    </w:p>
    <w:p w:rsidR="524D1DFC" w:rsidP="524D1DFC" w:rsidRDefault="524D1DFC" w14:paraId="2D691327" w14:textId="057092D5">
      <w:pPr>
        <w:pStyle w:val="NormalWeb"/>
        <w:spacing w:line="360" w:lineRule="auto"/>
        <w:ind w:left="0"/>
        <w:rPr>
          <w:rFonts w:ascii="Aptos" w:hAnsi="Aptos"/>
          <w:sz w:val="22"/>
          <w:szCs w:val="22"/>
        </w:rPr>
      </w:pPr>
    </w:p>
    <w:p w:rsidRPr="007063BA" w:rsidR="007063BA" w:rsidP="001F3B1B" w:rsidRDefault="007063BA" w14:paraId="6F9FD43F" w14:textId="77777777">
      <w:pPr>
        <w:pStyle w:val="NormalWeb"/>
        <w:numPr>
          <w:ilvl w:val="0"/>
          <w:numId w:val="74"/>
        </w:numPr>
        <w:spacing w:line="360" w:lineRule="auto"/>
        <w:rPr>
          <w:rFonts w:ascii="Aptos" w:hAnsi="Aptos"/>
          <w:sz w:val="22"/>
          <w:szCs w:val="22"/>
        </w:rPr>
      </w:pPr>
      <w:r w:rsidRPr="524D1DFC" w:rsidR="00BEB5B3">
        <w:rPr>
          <w:rStyle w:val="Strong"/>
          <w:rFonts w:ascii="Aptos" w:hAnsi="Aptos" w:eastAsia="Calibri Light"/>
          <w:sz w:val="22"/>
          <w:szCs w:val="22"/>
        </w:rPr>
        <w:t>Policy and Legislation:</w:t>
      </w:r>
    </w:p>
    <w:p w:rsidR="09DF8BDD" w:rsidP="524D1DFC" w:rsidRDefault="09DF8BDD" w14:paraId="497BBA42" w14:textId="78F43FAA">
      <w:pPr>
        <w:spacing w:before="240" w:beforeAutospacing="off" w:after="240" w:afterAutospacing="off"/>
      </w:pPr>
      <w:r w:rsidRPr="524D1DFC" w:rsidR="09DF8BDD">
        <w:rPr>
          <w:noProof w:val="0"/>
          <w:lang w:val="en-GB"/>
        </w:rPr>
        <w:t>Several UK policies shape inclusive practice:</w:t>
      </w:r>
    </w:p>
    <w:p w:rsidR="09DF8BDD" w:rsidP="524D1DFC" w:rsidRDefault="09DF8BDD" w14:paraId="4C9FC7A0" w14:textId="154BF125">
      <w:pPr>
        <w:pStyle w:val="ListParagraph"/>
        <w:numPr>
          <w:ilvl w:val="0"/>
          <w:numId w:val="105"/>
        </w:numPr>
        <w:spacing w:before="240" w:beforeAutospacing="off" w:after="240" w:afterAutospacing="off"/>
        <w:rPr>
          <w:noProof w:val="0"/>
          <w:lang w:val="en-GB"/>
        </w:rPr>
      </w:pPr>
      <w:r w:rsidRPr="524D1DFC" w:rsidR="09DF8BDD">
        <w:rPr>
          <w:b w:val="1"/>
          <w:bCs w:val="1"/>
          <w:noProof w:val="0"/>
          <w:lang w:val="en-GB"/>
        </w:rPr>
        <w:t>Children and Families Act 2014</w:t>
      </w:r>
      <w:r w:rsidRPr="524D1DFC" w:rsidR="09DF8BDD">
        <w:rPr>
          <w:noProof w:val="0"/>
          <w:lang w:val="en-GB"/>
        </w:rPr>
        <w:t xml:space="preserve"> – requires schools to support pupils with medical conditions.</w:t>
      </w:r>
    </w:p>
    <w:p w:rsidR="09DF8BDD" w:rsidP="524D1DFC" w:rsidRDefault="09DF8BDD" w14:paraId="799B8152" w14:textId="12594856">
      <w:pPr>
        <w:pStyle w:val="ListParagraph"/>
        <w:numPr>
          <w:ilvl w:val="0"/>
          <w:numId w:val="105"/>
        </w:numPr>
        <w:spacing w:before="240" w:beforeAutospacing="off" w:after="240" w:afterAutospacing="off"/>
        <w:rPr>
          <w:noProof w:val="0"/>
          <w:lang w:val="en-GB"/>
        </w:rPr>
      </w:pPr>
      <w:r w:rsidRPr="524D1DFC" w:rsidR="09DF8BDD">
        <w:rPr>
          <w:b w:val="1"/>
          <w:bCs w:val="1"/>
          <w:noProof w:val="0"/>
          <w:lang w:val="en-GB"/>
        </w:rPr>
        <w:t>SEND Code of Practice (2015)</w:t>
      </w:r>
      <w:r w:rsidRPr="524D1DFC" w:rsidR="09DF8BDD">
        <w:rPr>
          <w:noProof w:val="0"/>
          <w:lang w:val="en-GB"/>
        </w:rPr>
        <w:t xml:space="preserve"> – emphasises person-centred planning and educational access.</w:t>
      </w:r>
    </w:p>
    <w:p w:rsidR="09DF8BDD" w:rsidP="524D1DFC" w:rsidRDefault="09DF8BDD" w14:paraId="0CF571DD" w14:textId="5AEC806A">
      <w:pPr>
        <w:pStyle w:val="ListParagraph"/>
        <w:numPr>
          <w:ilvl w:val="0"/>
          <w:numId w:val="105"/>
        </w:numPr>
        <w:spacing w:before="240" w:beforeAutospacing="off" w:after="240" w:afterAutospacing="off"/>
        <w:rPr>
          <w:noProof w:val="0"/>
          <w:lang w:val="en-GB"/>
        </w:rPr>
      </w:pPr>
      <w:r w:rsidRPr="524D1DFC" w:rsidR="09DF8BDD">
        <w:rPr>
          <w:b w:val="1"/>
          <w:bCs w:val="1"/>
          <w:noProof w:val="0"/>
          <w:lang w:val="en-GB"/>
        </w:rPr>
        <w:t>Supporting Pupils with Medical Conditions in School (DfE, 2017)</w:t>
      </w:r>
      <w:r w:rsidRPr="524D1DFC" w:rsidR="09DF8BDD">
        <w:rPr>
          <w:noProof w:val="0"/>
          <w:lang w:val="en-GB"/>
        </w:rPr>
        <w:t xml:space="preserve"> – mandates Individual Healthcare Plans and staff training.</w:t>
      </w:r>
    </w:p>
    <w:p w:rsidR="09DF8BDD" w:rsidP="524D1DFC" w:rsidRDefault="09DF8BDD" w14:paraId="017B2D9E" w14:textId="25149AA1">
      <w:pPr>
        <w:spacing w:before="240" w:beforeAutospacing="off" w:after="240" w:afterAutospacing="off"/>
      </w:pPr>
      <w:r w:rsidRPr="524D1DFC" w:rsidR="09DF8BDD">
        <w:rPr>
          <w:noProof w:val="0"/>
          <w:lang w:val="en-GB"/>
        </w:rPr>
        <w:t>These policies collectively aim to ensure continuity of education, reasonable adjustments, and a duty of care. However, research suggests that policy implementation varies widely across schools, often due to limited staff time, training, or confidence (Blackburn, 2021).</w:t>
      </w:r>
    </w:p>
    <w:p w:rsidR="524D1DFC" w:rsidP="524D1DFC" w:rsidRDefault="524D1DFC" w14:paraId="0E0EA193" w14:textId="195D1CDE">
      <w:pPr>
        <w:pStyle w:val="Normal"/>
      </w:pPr>
    </w:p>
    <w:p w:rsidRPr="007063BA" w:rsidR="007063BA" w:rsidP="007063BA" w:rsidRDefault="007063BA" w14:paraId="13B595A6" w14:textId="77777777">
      <w:pPr>
        <w:pStyle w:val="Heading4"/>
        <w:rPr>
          <w:rFonts w:ascii="Aptos" w:hAnsi="Aptos"/>
        </w:rPr>
      </w:pPr>
      <w:r w:rsidRPr="007063BA">
        <w:rPr>
          <w:rFonts w:ascii="Aptos" w:hAnsi="Aptos"/>
        </w:rPr>
        <w:t>Implications</w:t>
      </w:r>
    </w:p>
    <w:p w:rsidRPr="007063BA" w:rsidR="007063BA" w:rsidP="001F3B1B" w:rsidRDefault="007063BA" w14:paraId="383AC1AB" w14:textId="77777777">
      <w:pPr>
        <w:numPr>
          <w:ilvl w:val="0"/>
          <w:numId w:val="75"/>
        </w:numPr>
        <w:spacing w:before="100" w:beforeAutospacing="1" w:after="100" w:afterAutospacing="1"/>
        <w:jc w:val="left"/>
        <w:rPr/>
      </w:pPr>
      <w:r w:rsidRPr="524D1DFC" w:rsidR="00BEB5B3">
        <w:rPr>
          <w:rStyle w:val="Strong"/>
        </w:rPr>
        <w:t>Positive and Negative Implications:</w:t>
      </w:r>
    </w:p>
    <w:p w:rsidR="6B261840" w:rsidP="524D1DFC" w:rsidRDefault="6B261840" w14:paraId="62244708" w14:textId="31F8C31E">
      <w:pPr>
        <w:pStyle w:val="Normal"/>
      </w:pPr>
      <w:r w:rsidRPr="524D1DFC" w:rsidR="6B261840">
        <w:rPr>
          <w:noProof w:val="0"/>
          <w:lang w:val="en-GB"/>
        </w:rPr>
        <w:t>Effective inclusion promotes academic stability, emotional wellbeing, and social belonging. When schools implement flexible teaching, communication spaces, and personalised support, children with chronic illnesses demonstrate improved attendance, engagement, and resilience (Melo et al., 2020). Inclusive environments also reduce stigma and foster peer understanding.</w:t>
      </w:r>
    </w:p>
    <w:p w:rsidR="6B261840" w:rsidP="524D1DFC" w:rsidRDefault="6B261840" w14:paraId="74E4542D" w14:textId="4CC06CD4">
      <w:pPr>
        <w:spacing w:before="240" w:beforeAutospacing="off" w:after="240" w:afterAutospacing="off"/>
      </w:pPr>
      <w:r w:rsidRPr="524D1DFC" w:rsidR="6B261840">
        <w:rPr>
          <w:rFonts w:ascii="Aptos" w:hAnsi="Aptos" w:eastAsia="Aptos" w:cs="Aptos"/>
          <w:noProof w:val="0"/>
          <w:sz w:val="22"/>
          <w:szCs w:val="22"/>
          <w:lang w:val="en-GB"/>
        </w:rPr>
        <w:t>However, inclusion is not without challenges. Teachers often report insufficient training on medical needs, leading to anxiety about managing conditions such as epilepsy or diabetes (Denny et al., 2021). Schools with limited resources may struggle to sustain inclusive practices, resulting in inconsistent provision.</w:t>
      </w:r>
    </w:p>
    <w:p w:rsidR="6B261840" w:rsidP="524D1DFC" w:rsidRDefault="6B261840" w14:paraId="6213F522" w14:textId="1C861356">
      <w:pPr>
        <w:spacing w:before="240" w:beforeAutospacing="off" w:after="240" w:afterAutospacing="off"/>
      </w:pPr>
      <w:r w:rsidRPr="524D1DFC" w:rsidR="6B261840">
        <w:rPr>
          <w:rFonts w:ascii="Aptos" w:hAnsi="Aptos" w:eastAsia="Aptos" w:cs="Aptos"/>
          <w:noProof w:val="0"/>
          <w:sz w:val="22"/>
          <w:szCs w:val="22"/>
          <w:lang w:val="en-GB"/>
        </w:rPr>
        <w:t>Furthermore, some children experience "partial inclusion," where they attend school physically but are excluded from activities due to safety concerns, fatigue, or misconceptions about their condition.</w:t>
      </w:r>
    </w:p>
    <w:p w:rsidRPr="007063BA" w:rsidR="007063BA" w:rsidP="007063BA" w:rsidRDefault="007063BA" w14:paraId="64ACE661" w14:textId="77777777">
      <w:pPr>
        <w:pStyle w:val="Heading4"/>
        <w:rPr>
          <w:rFonts w:ascii="Aptos" w:hAnsi="Aptos"/>
        </w:rPr>
      </w:pPr>
      <w:r w:rsidRPr="007063BA">
        <w:rPr>
          <w:rFonts w:ascii="Aptos" w:hAnsi="Aptos"/>
        </w:rPr>
        <w:t>Examples and Case Studies</w:t>
      </w:r>
    </w:p>
    <w:p w:rsidRPr="007063BA" w:rsidR="007063BA" w:rsidP="001F3B1B" w:rsidRDefault="007063BA" w14:paraId="580F1172" w14:textId="77777777">
      <w:pPr>
        <w:numPr>
          <w:ilvl w:val="0"/>
          <w:numId w:val="76"/>
        </w:numPr>
        <w:spacing w:before="100" w:beforeAutospacing="1" w:after="100" w:afterAutospacing="1"/>
        <w:jc w:val="left"/>
        <w:rPr/>
      </w:pPr>
      <w:r w:rsidRPr="524D1DFC" w:rsidR="00BEB5B3">
        <w:rPr>
          <w:rStyle w:val="Strong"/>
        </w:rPr>
        <w:t>Illustrative Examples:</w:t>
      </w:r>
    </w:p>
    <w:p w:rsidR="29D76915" w:rsidP="524D1DFC" w:rsidRDefault="29D76915" w14:paraId="1076D322" w14:textId="4D5A9A6E">
      <w:pPr>
        <w:spacing w:before="240" w:beforeAutospacing="off" w:after="240" w:afterAutospacing="off"/>
      </w:pPr>
      <w:r w:rsidRPr="524D1DFC" w:rsidR="29D76915">
        <w:rPr>
          <w:noProof w:val="0"/>
          <w:lang w:val="en-GB"/>
        </w:rPr>
        <w:t>A UK case study of children with Type 1 diabetes found that inclusion improved significantly when schools adopted Individual Healthcare Plans and ensured communication between parents, nurses, and teachers (Fitzgerald et al., 2019). Conversely, a study of children with chronic fatigue syndrome showed that lack of flexibility in attendance policies led to prolonged disengagement and academic decline (Whitehead, 2020).</w:t>
      </w:r>
    </w:p>
    <w:p w:rsidR="29D76915" w:rsidP="524D1DFC" w:rsidRDefault="29D76915" w14:paraId="7B8412FA" w14:textId="2F9683C9">
      <w:pPr>
        <w:spacing w:before="240" w:beforeAutospacing="off" w:after="240" w:afterAutospacing="off"/>
      </w:pPr>
      <w:r w:rsidRPr="524D1DFC" w:rsidR="29D76915">
        <w:rPr>
          <w:noProof w:val="0"/>
          <w:lang w:val="en-GB"/>
        </w:rPr>
        <w:t>These examples demonstrate that inclusion is effective when implemented holistically, but detrimental when applied inconsistently or superficially.</w:t>
      </w:r>
    </w:p>
    <w:p w:rsidR="524D1DFC" w:rsidP="524D1DFC" w:rsidRDefault="524D1DFC" w14:paraId="623D3EFC" w14:textId="47815E5C">
      <w:pPr>
        <w:pStyle w:val="Normal"/>
      </w:pPr>
    </w:p>
    <w:p w:rsidRPr="007063BA" w:rsidR="007063BA" w:rsidP="007063BA" w:rsidRDefault="007063BA" w14:paraId="6F12E895" w14:textId="77777777">
      <w:pPr>
        <w:pStyle w:val="Heading4"/>
        <w:rPr>
          <w:rFonts w:ascii="Aptos" w:hAnsi="Aptos"/>
        </w:rPr>
      </w:pPr>
      <w:r w:rsidRPr="007063BA">
        <w:rPr>
          <w:rFonts w:ascii="Aptos" w:hAnsi="Aptos"/>
        </w:rPr>
        <w:t>Connections to Other Themes</w:t>
      </w:r>
    </w:p>
    <w:p w:rsidRPr="007063BA" w:rsidR="007063BA" w:rsidP="001F3B1B" w:rsidRDefault="007063BA" w14:paraId="43719B6F" w14:textId="77777777">
      <w:pPr>
        <w:numPr>
          <w:ilvl w:val="0"/>
          <w:numId w:val="77"/>
        </w:numPr>
        <w:spacing w:before="100" w:beforeAutospacing="1" w:after="100" w:afterAutospacing="1"/>
        <w:jc w:val="left"/>
        <w:rPr/>
      </w:pPr>
      <w:r w:rsidRPr="524D1DFC" w:rsidR="00BEB5B3">
        <w:rPr>
          <w:rStyle w:val="Strong"/>
        </w:rPr>
        <w:t>Interconnections:</w:t>
      </w:r>
    </w:p>
    <w:p w:rsidR="70F884A0" w:rsidP="524D1DFC" w:rsidRDefault="70F884A0" w14:paraId="0A691A8C" w14:textId="43F5D438">
      <w:pPr>
        <w:spacing w:before="240" w:beforeAutospacing="off" w:after="240" w:afterAutospacing="off"/>
      </w:pPr>
      <w:r w:rsidRPr="524D1DFC" w:rsidR="70F884A0">
        <w:rPr>
          <w:noProof w:val="0"/>
          <w:lang w:val="en-GB"/>
        </w:rPr>
        <w:t>This theme links closely with:</w:t>
      </w:r>
    </w:p>
    <w:p w:rsidR="70F884A0" w:rsidP="524D1DFC" w:rsidRDefault="70F884A0" w14:paraId="090840D5" w14:textId="6DE79259">
      <w:pPr>
        <w:pStyle w:val="ListParagraph"/>
        <w:numPr>
          <w:ilvl w:val="0"/>
          <w:numId w:val="106"/>
        </w:numPr>
        <w:spacing w:before="240" w:beforeAutospacing="off" w:after="240" w:afterAutospacing="off"/>
        <w:rPr>
          <w:noProof w:val="0"/>
          <w:lang w:val="en-GB"/>
        </w:rPr>
      </w:pPr>
      <w:r w:rsidRPr="524D1DFC" w:rsidR="70F884A0">
        <w:rPr>
          <w:b w:val="1"/>
          <w:bCs w:val="1"/>
          <w:noProof w:val="0"/>
          <w:lang w:val="en-GB"/>
        </w:rPr>
        <w:t>Theme 2 – Collaboration between Education and Healthcare</w:t>
      </w:r>
      <w:r w:rsidRPr="524D1DFC" w:rsidR="70F884A0">
        <w:rPr>
          <w:noProof w:val="0"/>
          <w:lang w:val="en-GB"/>
        </w:rPr>
        <w:t>: Inclusion relies on strong communication with medical professionals.</w:t>
      </w:r>
    </w:p>
    <w:p w:rsidR="70F884A0" w:rsidP="524D1DFC" w:rsidRDefault="70F884A0" w14:paraId="2C268661" w14:textId="71C83D58">
      <w:pPr>
        <w:pStyle w:val="ListParagraph"/>
        <w:numPr>
          <w:ilvl w:val="0"/>
          <w:numId w:val="106"/>
        </w:numPr>
        <w:spacing w:before="240" w:beforeAutospacing="off" w:after="240" w:afterAutospacing="off"/>
        <w:rPr>
          <w:noProof w:val="0"/>
          <w:lang w:val="en-GB"/>
        </w:rPr>
      </w:pPr>
      <w:r w:rsidRPr="524D1DFC" w:rsidR="70F884A0">
        <w:rPr>
          <w:b w:val="1"/>
          <w:bCs w:val="1"/>
          <w:noProof w:val="0"/>
          <w:lang w:val="en-GB"/>
        </w:rPr>
        <w:t>Theme 3 – Teacher Training and Confidence</w:t>
      </w:r>
      <w:r w:rsidRPr="524D1DFC" w:rsidR="70F884A0">
        <w:rPr>
          <w:noProof w:val="0"/>
          <w:lang w:val="en-GB"/>
        </w:rPr>
        <w:t>: Teachers’ understanding of chronic illness directly affects inclusive practice.</w:t>
      </w:r>
    </w:p>
    <w:p w:rsidR="70F884A0" w:rsidP="524D1DFC" w:rsidRDefault="70F884A0" w14:paraId="247EC88C" w14:textId="4F06EF65">
      <w:pPr>
        <w:pStyle w:val="ListParagraph"/>
        <w:numPr>
          <w:ilvl w:val="0"/>
          <w:numId w:val="106"/>
        </w:numPr>
        <w:spacing w:before="240" w:beforeAutospacing="off" w:after="240" w:afterAutospacing="off"/>
        <w:rPr>
          <w:noProof w:val="0"/>
          <w:lang w:val="en-GB"/>
        </w:rPr>
      </w:pPr>
      <w:r w:rsidRPr="524D1DFC" w:rsidR="70F884A0">
        <w:rPr>
          <w:b w:val="1"/>
          <w:bCs w:val="1"/>
          <w:noProof w:val="0"/>
          <w:lang w:val="en-GB"/>
        </w:rPr>
        <w:t>Theme 4 – Environmental and Curriculum Adaptations</w:t>
      </w:r>
      <w:r w:rsidRPr="524D1DFC" w:rsidR="70F884A0">
        <w:rPr>
          <w:noProof w:val="0"/>
          <w:lang w:val="en-GB"/>
        </w:rPr>
        <w:t>: Adjustments are practical expressions of inclusion.</w:t>
      </w:r>
    </w:p>
    <w:p w:rsidR="70F884A0" w:rsidP="524D1DFC" w:rsidRDefault="70F884A0" w14:paraId="18716789" w14:textId="6F8F3D7C">
      <w:pPr>
        <w:spacing w:before="240" w:beforeAutospacing="off" w:after="240" w:afterAutospacing="off"/>
      </w:pPr>
      <w:r w:rsidRPr="524D1DFC" w:rsidR="70F884A0">
        <w:rPr>
          <w:noProof w:val="0"/>
          <w:lang w:val="en-GB"/>
        </w:rPr>
        <w:t>Together, these themes build a comprehensive picture of how schools support children with chronic illnesses.</w:t>
      </w:r>
    </w:p>
    <w:p w:rsidR="524D1DFC" w:rsidP="524D1DFC" w:rsidRDefault="524D1DFC" w14:paraId="645FA591" w14:textId="4B504C12">
      <w:pPr>
        <w:pStyle w:val="Normal"/>
      </w:pPr>
    </w:p>
    <w:p w:rsidR="001C3AF6" w:rsidP="003B1E32" w:rsidRDefault="001C3AF6" w14:paraId="620F671D" w14:textId="09129F01">
      <w:pPr>
        <w:pStyle w:val="Heading2"/>
      </w:pPr>
      <w:bookmarkStart w:name="_Toc213058159" w:id="17"/>
      <w:r w:rsidR="676686AE">
        <w:rPr/>
        <w:t>4.4 – Theme 2</w:t>
      </w:r>
      <w:r w:rsidR="4714EBDC">
        <w:rPr/>
        <w:t xml:space="preserve"> – Digital Inequity and Barr</w:t>
      </w:r>
      <w:bookmarkEnd w:id="17"/>
      <w:r w:rsidR="4714EBDC">
        <w:rPr/>
        <w:t>iers to Access</w:t>
      </w:r>
    </w:p>
    <w:p w:rsidRPr="00636D9A" w:rsidR="00636D9A" w:rsidP="001C3AF6" w:rsidRDefault="00636D9A" w14:paraId="35C7BB28" w14:textId="77777777">
      <w:pPr>
        <w:pStyle w:val="Heading1"/>
        <w:rPr>
          <w:rFonts w:ascii="Aptos" w:hAnsi="Aptos"/>
          <w:sz w:val="28"/>
          <w:szCs w:val="28"/>
        </w:rPr>
      </w:pPr>
    </w:p>
    <w:p w:rsidRPr="007063BA" w:rsidR="002865F5" w:rsidP="002865F5" w:rsidRDefault="002865F5" w14:paraId="1B877AEB" w14:textId="77777777">
      <w:pPr>
        <w:pStyle w:val="Heading4"/>
        <w:rPr>
          <w:rFonts w:ascii="Aptos" w:hAnsi="Aptos"/>
        </w:rPr>
      </w:pPr>
      <w:r w:rsidRPr="007063BA">
        <w:rPr>
          <w:rFonts w:ascii="Aptos" w:hAnsi="Aptos"/>
        </w:rPr>
        <w:t xml:space="preserve">Definition </w:t>
      </w:r>
    </w:p>
    <w:p w:rsidRPr="007063BA" w:rsidR="002865F5" w:rsidP="001F3B1B" w:rsidRDefault="002865F5" w14:paraId="378351AE" w14:textId="77777777">
      <w:pPr>
        <w:numPr>
          <w:ilvl w:val="0"/>
          <w:numId w:val="70"/>
        </w:numPr>
        <w:spacing w:before="100" w:beforeAutospacing="1" w:after="100" w:afterAutospacing="1"/>
        <w:jc w:val="left"/>
        <w:rPr/>
      </w:pPr>
      <w:r w:rsidRPr="524D1DFC" w:rsidR="63A362F4">
        <w:rPr>
          <w:rStyle w:val="Strong"/>
        </w:rPr>
        <w:t>Definition:</w:t>
      </w:r>
    </w:p>
    <w:p w:rsidR="40BF6023" w:rsidP="524D1DFC" w:rsidRDefault="40BF6023" w14:paraId="0356F150" w14:textId="7F35EC54">
      <w:pPr>
        <w:pStyle w:val="Normal"/>
      </w:pPr>
      <w:r w:rsidRPr="524D1DFC" w:rsidR="40BF6023">
        <w:rPr>
          <w:noProof w:val="0"/>
          <w:lang w:val="en-GB"/>
        </w:rPr>
        <w:t>Digital inequality refers to the uneven distribution of access, skills, and opportunities associated with digital technologies (Gunkel, 2021). It extends beyond simple device ownership to include disparities in broadband connectivity, digital literacy, and the ability to meaningfully engage with online resources. In the context of contemporary research, the term also captures structural issues such as socioeconomic disadvantage, geographical limitations, and institutional underinvestment (Robinson et al., 2020). These elements collectively shape individuals’ online participation, influencing how effectively they can access information, public services, or educational content.</w:t>
      </w:r>
    </w:p>
    <w:p w:rsidRPr="007063BA" w:rsidR="002865F5" w:rsidP="002865F5" w:rsidRDefault="002865F5" w14:paraId="5B010C35" w14:textId="77777777">
      <w:pPr>
        <w:pStyle w:val="Heading4"/>
        <w:rPr>
          <w:rFonts w:ascii="Aptos" w:hAnsi="Aptos"/>
        </w:rPr>
      </w:pPr>
      <w:r w:rsidRPr="007063BA">
        <w:rPr>
          <w:rFonts w:ascii="Aptos" w:hAnsi="Aptos"/>
        </w:rPr>
        <w:t>Background Information</w:t>
      </w:r>
    </w:p>
    <w:p w:rsidRPr="007063BA" w:rsidR="002865F5" w:rsidP="001F3B1B" w:rsidRDefault="002865F5" w14:paraId="523E2B70" w14:textId="77777777">
      <w:pPr>
        <w:numPr>
          <w:ilvl w:val="0"/>
          <w:numId w:val="71"/>
        </w:numPr>
        <w:spacing w:before="100" w:beforeAutospacing="1" w:after="100" w:afterAutospacing="1"/>
        <w:jc w:val="left"/>
        <w:rPr/>
      </w:pPr>
      <w:r w:rsidRPr="524D1DFC" w:rsidR="63A362F4">
        <w:rPr>
          <w:rStyle w:val="Strong"/>
        </w:rPr>
        <w:t>Historical/Contextual Background:</w:t>
      </w:r>
    </w:p>
    <w:p w:rsidR="13EBFC07" w:rsidP="524D1DFC" w:rsidRDefault="13EBFC07" w14:paraId="3B4B709B" w14:textId="6B8500CF">
      <w:pPr>
        <w:pStyle w:val="Normal"/>
      </w:pPr>
      <w:r w:rsidRPr="524D1DFC" w:rsidR="13EBFC07">
        <w:rPr>
          <w:noProof w:val="0"/>
          <w:lang w:val="en-GB"/>
        </w:rPr>
        <w:t xml:space="preserve">The concept of digital inequality </w:t>
      </w:r>
      <w:r w:rsidRPr="524D1DFC" w:rsidR="13EBFC07">
        <w:rPr>
          <w:noProof w:val="0"/>
          <w:lang w:val="en-GB"/>
        </w:rPr>
        <w:t>emerged</w:t>
      </w:r>
      <w:r w:rsidRPr="524D1DFC" w:rsidR="13EBFC07">
        <w:rPr>
          <w:noProof w:val="0"/>
          <w:lang w:val="en-GB"/>
        </w:rPr>
        <w:t xml:space="preserve"> during the late 1990s as governments and scholars began recognising the social divide created by rapid technological advancement (Warschauer, 2004). Early debates centred on the “digital divide,” primarily understood as a gap in device ownership. Over time, researchers emphasised that access alone was insufficient; users also needed relevant skills and contexts to benefit (van Dijk, 2020). The evolution of public services into online platforms</w:t>
      </w:r>
      <w:r w:rsidRPr="524D1DFC" w:rsidR="15D6F7DC">
        <w:rPr>
          <w:noProof w:val="0"/>
          <w:lang w:val="en-GB"/>
        </w:rPr>
        <w:t xml:space="preserve"> </w:t>
      </w:r>
      <w:r w:rsidRPr="524D1DFC" w:rsidR="13EBFC07">
        <w:rPr>
          <w:noProof w:val="0"/>
          <w:lang w:val="en-GB"/>
        </w:rPr>
        <w:t>such as healthcare portals, education systems, and welfare applications</w:t>
      </w:r>
      <w:r w:rsidRPr="524D1DFC" w:rsidR="0954D606">
        <w:rPr>
          <w:noProof w:val="0"/>
          <w:lang w:val="en-GB"/>
        </w:rPr>
        <w:t xml:space="preserve"> </w:t>
      </w:r>
      <w:r w:rsidRPr="524D1DFC" w:rsidR="13EBFC07">
        <w:rPr>
          <w:noProof w:val="0"/>
          <w:lang w:val="en-GB"/>
        </w:rPr>
        <w:t>has intensified the impact of digital inequality, making digital participation increasingly essential for everyday life (Helsper, 2021).</w:t>
      </w:r>
    </w:p>
    <w:p w:rsidRPr="007063BA" w:rsidR="002865F5" w:rsidP="002865F5" w:rsidRDefault="002865F5" w14:paraId="1800EAD5" w14:textId="77777777">
      <w:pPr>
        <w:pStyle w:val="Heading4"/>
        <w:rPr>
          <w:rFonts w:ascii="Aptos" w:hAnsi="Aptos"/>
        </w:rPr>
      </w:pPr>
      <w:r w:rsidRPr="007063BA">
        <w:rPr>
          <w:rFonts w:ascii="Aptos" w:hAnsi="Aptos"/>
        </w:rPr>
        <w:t>Impact on Research Question</w:t>
      </w:r>
    </w:p>
    <w:p w:rsidRPr="007063BA" w:rsidR="002865F5" w:rsidP="001F3B1B" w:rsidRDefault="002865F5" w14:paraId="763DACB1" w14:textId="77777777">
      <w:pPr>
        <w:numPr>
          <w:ilvl w:val="0"/>
          <w:numId w:val="72"/>
        </w:numPr>
        <w:spacing w:before="100" w:beforeAutospacing="1" w:after="100" w:afterAutospacing="1"/>
        <w:jc w:val="left"/>
        <w:rPr/>
      </w:pPr>
      <w:r w:rsidRPr="524D1DFC" w:rsidR="63A362F4">
        <w:rPr>
          <w:rStyle w:val="Strong"/>
        </w:rPr>
        <w:t>Relevance to Title/Research Question:</w:t>
      </w:r>
    </w:p>
    <w:p w:rsidR="52DD4550" w:rsidP="524D1DFC" w:rsidRDefault="52DD4550" w14:paraId="52850B84" w14:textId="4DC20E44">
      <w:pPr>
        <w:pStyle w:val="Normal"/>
      </w:pPr>
      <w:r w:rsidRPr="524D1DFC" w:rsidR="52DD4550">
        <w:rPr>
          <w:noProof w:val="0"/>
          <w:lang w:val="en-GB"/>
        </w:rPr>
        <w:t>This theme has direct relevance to the research question because digital inequality affects individuals’ ability to engage with the phenomenon being studied. Whether the topic concerns young people, health users, vulnerable adults, or service access, unequal digital engagement shapes outcomes, behaviours, and experiences (Seifert et al., 2021). If the research question focuses on perceptions, barriers, or effectiveness of digital interventions, this theme is central in explaining why outcomes differ across demographic groups. Understanding digital barriers therefore helps clarify whether challenges arise from technology itself or from broader social and economic disparities.</w:t>
      </w:r>
    </w:p>
    <w:p w:rsidRPr="007063BA" w:rsidR="002865F5" w:rsidP="002865F5" w:rsidRDefault="002865F5" w14:paraId="2CA6F7EB" w14:textId="77777777">
      <w:pPr>
        <w:pStyle w:val="Heading4"/>
        <w:rPr>
          <w:rFonts w:ascii="Aptos" w:hAnsi="Aptos"/>
        </w:rPr>
      </w:pPr>
      <w:r w:rsidRPr="007063BA">
        <w:rPr>
          <w:rFonts w:ascii="Aptos" w:hAnsi="Aptos"/>
        </w:rPr>
        <w:t>Statistical Information</w:t>
      </w:r>
    </w:p>
    <w:p w:rsidRPr="007063BA" w:rsidR="002865F5" w:rsidP="001F3B1B" w:rsidRDefault="002865F5" w14:paraId="1C81AACB" w14:textId="77777777">
      <w:pPr>
        <w:numPr>
          <w:ilvl w:val="0"/>
          <w:numId w:val="73"/>
        </w:numPr>
        <w:spacing w:before="100" w:beforeAutospacing="1" w:after="100" w:afterAutospacing="1"/>
        <w:jc w:val="left"/>
        <w:rPr/>
      </w:pPr>
      <w:r w:rsidRPr="524D1DFC" w:rsidR="63A362F4">
        <w:rPr>
          <w:rStyle w:val="Strong"/>
        </w:rPr>
        <w:t>Data and Statistics:</w:t>
      </w:r>
    </w:p>
    <w:p w:rsidR="182753FF" w:rsidP="524D1DFC" w:rsidRDefault="182753FF" w14:paraId="3728E84D" w14:textId="28B426E9">
      <w:pPr>
        <w:pStyle w:val="Normal"/>
      </w:pPr>
      <w:r w:rsidRPr="524D1DFC" w:rsidR="182753FF">
        <w:rPr>
          <w:noProof w:val="0"/>
          <w:lang w:val="en-GB"/>
        </w:rPr>
        <w:t xml:space="preserve">Recent statistics continue to demonstrate the significance of digital inequality. For example, the UK Office for National Statistics reported that approximately </w:t>
      </w:r>
      <w:r w:rsidRPr="524D1DFC" w:rsidR="182753FF">
        <w:rPr>
          <w:b w:val="0"/>
          <w:bCs w:val="0"/>
          <w:noProof w:val="0"/>
          <w:lang w:val="en-GB"/>
        </w:rPr>
        <w:t>6% of UK adults remain non-internet users</w:t>
      </w:r>
      <w:r w:rsidRPr="524D1DFC" w:rsidR="182753FF">
        <w:rPr>
          <w:b w:val="0"/>
          <w:bCs w:val="0"/>
          <w:noProof w:val="0"/>
          <w:lang w:val="en-GB"/>
        </w:rPr>
        <w:t>,</w:t>
      </w:r>
      <w:r w:rsidRPr="524D1DFC" w:rsidR="182753FF">
        <w:rPr>
          <w:noProof w:val="0"/>
          <w:lang w:val="en-GB"/>
        </w:rPr>
        <w:t xml:space="preserve"> with higher rates found among low-income, older, or disabled groups (ONS, 2023). Additionally, households in the lowest income bracket are </w:t>
      </w:r>
      <w:r w:rsidRPr="524D1DFC" w:rsidR="182753FF">
        <w:rPr>
          <w:b w:val="0"/>
          <w:bCs w:val="0"/>
          <w:noProof w:val="0"/>
          <w:lang w:val="en-GB"/>
        </w:rPr>
        <w:t>four times more likely</w:t>
      </w:r>
      <w:r w:rsidRPr="524D1DFC" w:rsidR="182753FF">
        <w:rPr>
          <w:noProof w:val="0"/>
          <w:lang w:val="en-GB"/>
        </w:rPr>
        <w:t xml:space="preserve"> to experience digital exclusion compared to high-income households (Good Things Foundation, 2022). These figures highlight the persistence of structural inequality despite widespread digitalisation. Controversies arise around whether digital exclusion is a temporary generational issue or a long-term socioeconomic divide, with growing evidence supporting the latter view (Hargittai et al., 2022).</w:t>
      </w:r>
    </w:p>
    <w:p w:rsidRPr="007063BA" w:rsidR="002865F5" w:rsidP="002865F5" w:rsidRDefault="002865F5" w14:paraId="65CEAE38" w14:textId="77777777">
      <w:pPr>
        <w:pStyle w:val="Heading4"/>
        <w:rPr>
          <w:rFonts w:ascii="Aptos" w:hAnsi="Aptos"/>
        </w:rPr>
      </w:pPr>
      <w:r w:rsidRPr="007063BA">
        <w:rPr>
          <w:rFonts w:ascii="Aptos" w:hAnsi="Aptos"/>
        </w:rPr>
        <w:t>Theories, Policies, and Legislation</w:t>
      </w:r>
    </w:p>
    <w:p w:rsidRPr="007063BA" w:rsidR="002865F5" w:rsidP="001F3B1B" w:rsidRDefault="002865F5" w14:paraId="44FE8A36" w14:textId="77777777">
      <w:pPr>
        <w:pStyle w:val="NormalWeb"/>
        <w:numPr>
          <w:ilvl w:val="0"/>
          <w:numId w:val="74"/>
        </w:numPr>
        <w:spacing w:line="360" w:lineRule="auto"/>
        <w:rPr>
          <w:rFonts w:ascii="Aptos" w:hAnsi="Aptos"/>
          <w:sz w:val="22"/>
          <w:szCs w:val="22"/>
        </w:rPr>
      </w:pPr>
      <w:r w:rsidRPr="524D1DFC" w:rsidR="63A362F4">
        <w:rPr>
          <w:rStyle w:val="Strong"/>
          <w:rFonts w:ascii="Aptos" w:hAnsi="Aptos" w:eastAsia="Calibri Light"/>
          <w:sz w:val="22"/>
          <w:szCs w:val="22"/>
        </w:rPr>
        <w:t>Theoretical Framework:</w:t>
      </w:r>
    </w:p>
    <w:p w:rsidR="03D3D132" w:rsidP="524D1DFC" w:rsidRDefault="03D3D132" w14:paraId="21C5D246" w14:textId="5C4136C6">
      <w:pPr>
        <w:pStyle w:val="NormalWeb"/>
        <w:spacing w:line="360" w:lineRule="auto"/>
        <w:ind w:left="0"/>
      </w:pPr>
      <w:r w:rsidRPr="524D1DFC" w:rsidR="03D3D132">
        <w:rPr>
          <w:noProof w:val="0"/>
          <w:lang w:val="en-GB"/>
        </w:rPr>
        <w:t xml:space="preserve">Van Dijk’s (2020) </w:t>
      </w:r>
      <w:r w:rsidRPr="524D1DFC" w:rsidR="03D3D132">
        <w:rPr>
          <w:b w:val="0"/>
          <w:bCs w:val="0"/>
          <w:noProof w:val="0"/>
          <w:lang w:val="en-GB"/>
        </w:rPr>
        <w:t>Resources and Appropriation Theory</w:t>
      </w:r>
      <w:r w:rsidRPr="524D1DFC" w:rsidR="03D3D132">
        <w:rPr>
          <w:b w:val="0"/>
          <w:bCs w:val="0"/>
          <w:noProof w:val="0"/>
          <w:lang w:val="en-GB"/>
        </w:rPr>
        <w:t xml:space="preserve"> </w:t>
      </w:r>
      <w:r w:rsidRPr="524D1DFC" w:rsidR="03D3D132">
        <w:rPr>
          <w:noProof w:val="0"/>
          <w:lang w:val="en-GB"/>
        </w:rPr>
        <w:t>is highly relevant to this theme; it argues that digital inequality results from differences in personal, social, and positional resources. This theory helps explain how structural disadvantages intersect with digital access. Additionally</w:t>
      </w:r>
      <w:r w:rsidRPr="524D1DFC" w:rsidR="03D3D132">
        <w:rPr>
          <w:b w:val="0"/>
          <w:bCs w:val="0"/>
          <w:noProof w:val="0"/>
          <w:lang w:val="en-GB"/>
        </w:rPr>
        <w:t xml:space="preserve">, </w:t>
      </w:r>
      <w:r w:rsidRPr="524D1DFC" w:rsidR="03D3D132">
        <w:rPr>
          <w:b w:val="0"/>
          <w:bCs w:val="0"/>
          <w:noProof w:val="0"/>
          <w:lang w:val="en-GB"/>
        </w:rPr>
        <w:t>Social Capital Theory</w:t>
      </w:r>
      <w:r w:rsidRPr="524D1DFC" w:rsidR="03D3D132">
        <w:rPr>
          <w:noProof w:val="0"/>
          <w:lang w:val="en-GB"/>
        </w:rPr>
        <w:t xml:space="preserve"> suggests that insufficient digital engagement restricts individuals’ ability to build networks, access information, and participate in civic life (Putnam, 2000). These theories support the argument that digital inequality is deeply embedded in broader social structures, rather than being a purely technological issue.</w:t>
      </w:r>
    </w:p>
    <w:p w:rsidRPr="007063BA" w:rsidR="002865F5" w:rsidP="001F3B1B" w:rsidRDefault="002865F5" w14:paraId="3A4B5435" w14:textId="77777777">
      <w:pPr>
        <w:pStyle w:val="NormalWeb"/>
        <w:numPr>
          <w:ilvl w:val="0"/>
          <w:numId w:val="74"/>
        </w:numPr>
        <w:spacing w:line="360" w:lineRule="auto"/>
        <w:rPr>
          <w:rFonts w:ascii="Aptos" w:hAnsi="Aptos"/>
          <w:sz w:val="22"/>
          <w:szCs w:val="22"/>
        </w:rPr>
      </w:pPr>
      <w:r w:rsidRPr="524D1DFC" w:rsidR="63A362F4">
        <w:rPr>
          <w:rStyle w:val="Strong"/>
          <w:rFonts w:ascii="Aptos" w:hAnsi="Aptos" w:eastAsia="Calibri Light"/>
          <w:sz w:val="22"/>
          <w:szCs w:val="22"/>
        </w:rPr>
        <w:t>Policy and Legislation:</w:t>
      </w:r>
    </w:p>
    <w:p w:rsidR="13FBBC93" w:rsidP="524D1DFC" w:rsidRDefault="13FBBC93" w14:paraId="2499ACFB" w14:textId="14A91CED">
      <w:pPr>
        <w:pStyle w:val="Normal"/>
      </w:pPr>
      <w:r w:rsidRPr="524D1DFC" w:rsidR="13FBBC93">
        <w:rPr>
          <w:noProof w:val="0"/>
          <w:lang w:val="en-GB"/>
        </w:rPr>
        <w:t xml:space="preserve">In the UK, policies such as the </w:t>
      </w:r>
      <w:r w:rsidRPr="524D1DFC" w:rsidR="13FBBC93">
        <w:rPr>
          <w:b w:val="0"/>
          <w:bCs w:val="0"/>
          <w:noProof w:val="0"/>
          <w:lang w:val="en-GB"/>
        </w:rPr>
        <w:t>Digital Skills Partnership (2017)</w:t>
      </w:r>
      <w:r w:rsidRPr="524D1DFC" w:rsidR="13FBBC93">
        <w:rPr>
          <w:b w:val="0"/>
          <w:bCs w:val="0"/>
          <w:noProof w:val="0"/>
          <w:lang w:val="en-GB"/>
        </w:rPr>
        <w:t xml:space="preserve"> and the </w:t>
      </w:r>
      <w:r w:rsidRPr="524D1DFC" w:rsidR="13FBBC93">
        <w:rPr>
          <w:b w:val="0"/>
          <w:bCs w:val="0"/>
          <w:noProof w:val="0"/>
          <w:lang w:val="en-GB"/>
        </w:rPr>
        <w:t>UK Digital Strategy (2021</w:t>
      </w:r>
      <w:r w:rsidRPr="524D1DFC" w:rsidR="13FBBC93">
        <w:rPr>
          <w:b w:val="1"/>
          <w:bCs w:val="1"/>
          <w:noProof w:val="0"/>
          <w:lang w:val="en-GB"/>
        </w:rPr>
        <w:t>)</w:t>
      </w:r>
      <w:r w:rsidRPr="524D1DFC" w:rsidR="13FBBC93">
        <w:rPr>
          <w:noProof w:val="0"/>
          <w:lang w:val="en-GB"/>
        </w:rPr>
        <w:t xml:space="preserve"> aim to reduce inequalities by improving broadband access and promoting essential digital skills. Legislation such as the </w:t>
      </w:r>
      <w:r w:rsidRPr="524D1DFC" w:rsidR="13FBBC93">
        <w:rPr>
          <w:b w:val="0"/>
          <w:bCs w:val="0"/>
          <w:noProof w:val="0"/>
          <w:lang w:val="en-GB"/>
        </w:rPr>
        <w:t>Online Safety Act</w:t>
      </w:r>
      <w:r w:rsidRPr="524D1DFC" w:rsidR="13FBBC93">
        <w:rPr>
          <w:b w:val="0"/>
          <w:bCs w:val="0"/>
          <w:noProof w:val="0"/>
          <w:lang w:val="en-GB"/>
        </w:rPr>
        <w:t xml:space="preserve"> and </w:t>
      </w:r>
      <w:r w:rsidRPr="524D1DFC" w:rsidR="13FBBC93">
        <w:rPr>
          <w:b w:val="0"/>
          <w:bCs w:val="0"/>
          <w:noProof w:val="0"/>
          <w:lang w:val="en-GB"/>
        </w:rPr>
        <w:t>Equality Act 2010</w:t>
      </w:r>
      <w:r w:rsidRPr="524D1DFC" w:rsidR="13FBBC93">
        <w:rPr>
          <w:b w:val="0"/>
          <w:bCs w:val="0"/>
          <w:noProof w:val="0"/>
          <w:lang w:val="en-GB"/>
        </w:rPr>
        <w:t xml:space="preserve"> i</w:t>
      </w:r>
      <w:r w:rsidRPr="524D1DFC" w:rsidR="13FBBC93">
        <w:rPr>
          <w:noProof w:val="0"/>
          <w:lang w:val="en-GB"/>
        </w:rPr>
        <w:t>ndirectly affects digital participation by ensuring safer and more equitable access to digital environments. However, critics argue that policy interventions often prioritise infrastructure over addressing deeper socioeconomic barriers, limiting their effectiveness (Lloyds Bank, 2023). This creates a policy gap where increased provision does not automatically translate into equal participation.</w:t>
      </w:r>
    </w:p>
    <w:p w:rsidRPr="007063BA" w:rsidR="002865F5" w:rsidP="002865F5" w:rsidRDefault="002865F5" w14:paraId="549E8E86" w14:textId="77777777">
      <w:pPr>
        <w:pStyle w:val="Heading4"/>
        <w:rPr>
          <w:rFonts w:ascii="Aptos" w:hAnsi="Aptos"/>
        </w:rPr>
      </w:pPr>
      <w:r w:rsidRPr="007063BA">
        <w:rPr>
          <w:rFonts w:ascii="Aptos" w:hAnsi="Aptos"/>
        </w:rPr>
        <w:t>Implications</w:t>
      </w:r>
    </w:p>
    <w:p w:rsidRPr="007063BA" w:rsidR="002865F5" w:rsidP="524D1DFC" w:rsidRDefault="002865F5" w14:paraId="61CE84E4" w14:textId="77777777">
      <w:pPr>
        <w:numPr>
          <w:ilvl w:val="0"/>
          <w:numId w:val="75"/>
        </w:numPr>
        <w:spacing w:before="100" w:beforeAutospacing="on" w:after="100" w:afterAutospacing="on"/>
        <w:jc w:val="left"/>
        <w:rPr>
          <w:rStyle w:val="Strong"/>
        </w:rPr>
      </w:pPr>
      <w:r w:rsidRPr="524D1DFC" w:rsidR="63A362F4">
        <w:rPr>
          <w:rStyle w:val="Strong"/>
        </w:rPr>
        <w:t>Positive and Negative Implications:</w:t>
      </w:r>
    </w:p>
    <w:p w:rsidR="2F5CEEAF" w:rsidP="524D1DFC" w:rsidRDefault="2F5CEEAF" w14:paraId="4A7388CD" w14:textId="2B097D09">
      <w:pPr>
        <w:pStyle w:val="Normal"/>
        <w:spacing w:beforeAutospacing="on" w:afterAutospacing="on"/>
        <w:ind w:left="0"/>
        <w:jc w:val="left"/>
      </w:pPr>
      <w:r w:rsidRPr="524D1DFC" w:rsidR="2F5CEEAF">
        <w:rPr>
          <w:rFonts w:ascii="Aptos" w:hAnsi="Aptos" w:eastAsia="Aptos" w:cs="Aptos"/>
          <w:noProof w:val="0"/>
          <w:sz w:val="22"/>
          <w:szCs w:val="22"/>
          <w:lang w:val="en-GB"/>
        </w:rPr>
        <w:t>Reducing digital inequality can improve access to education, public services, employment opportunities, and social participation (Helsper, 2021). When individuals gain digital skills and reliable access, they are better able to navigate online systems, engage with digital platforms, and improve personal outcomes. In research contexts, understanding digital barriers allows for the development of more inclusive strategies and service interventions.</w:t>
      </w:r>
    </w:p>
    <w:p w:rsidR="524D1DFC" w:rsidP="524D1DFC" w:rsidRDefault="524D1DFC" w14:paraId="6A06F065" w14:textId="1F0BA1A2">
      <w:pPr>
        <w:pStyle w:val="Normal"/>
        <w:spacing w:beforeAutospacing="on" w:afterAutospacing="on"/>
        <w:ind w:left="0"/>
        <w:jc w:val="left"/>
        <w:rPr>
          <w:rFonts w:ascii="Aptos" w:hAnsi="Aptos" w:eastAsia="Aptos" w:cs="Aptos"/>
          <w:noProof w:val="0"/>
          <w:sz w:val="22"/>
          <w:szCs w:val="22"/>
          <w:lang w:val="en-GB"/>
        </w:rPr>
      </w:pPr>
    </w:p>
    <w:p w:rsidR="2F5CEEAF" w:rsidP="524D1DFC" w:rsidRDefault="2F5CEEAF" w14:paraId="2A6DA54C" w14:textId="121C7367">
      <w:pPr>
        <w:pStyle w:val="Normal"/>
        <w:spacing w:beforeAutospacing="on" w:afterAutospacing="on"/>
        <w:ind w:left="0"/>
        <w:jc w:val="left"/>
      </w:pPr>
      <w:r w:rsidRPr="524D1DFC" w:rsidR="2F5CEEAF">
        <w:rPr>
          <w:rFonts w:ascii="Aptos" w:hAnsi="Aptos" w:eastAsia="Aptos" w:cs="Aptos"/>
          <w:noProof w:val="0"/>
          <w:sz w:val="22"/>
          <w:szCs w:val="22"/>
          <w:lang w:val="en-GB"/>
        </w:rPr>
        <w:t>On the other hand, persistent digital inequality can reinforce existing societal disadvantages. Those without adequate access or skills may face increased difficulty in accessing essential services, leading to poorer outcomes (Seifert et al., 2021). In research, failure to consider digital barriers could result in a skewed interpretation of findings, as digitally engaged populations may be overrepresented. This has implications for policy recommendations and intervention design.</w:t>
      </w:r>
    </w:p>
    <w:p w:rsidRPr="007063BA" w:rsidR="002865F5" w:rsidP="002865F5" w:rsidRDefault="002865F5" w14:paraId="1CDA4B37" w14:textId="77777777">
      <w:pPr>
        <w:pStyle w:val="Heading4"/>
        <w:rPr>
          <w:rFonts w:ascii="Aptos" w:hAnsi="Aptos"/>
        </w:rPr>
      </w:pPr>
      <w:r w:rsidRPr="007063BA">
        <w:rPr>
          <w:rFonts w:ascii="Aptos" w:hAnsi="Aptos"/>
        </w:rPr>
        <w:t>Examples and Case Studies</w:t>
      </w:r>
    </w:p>
    <w:p w:rsidRPr="007063BA" w:rsidR="002865F5" w:rsidP="001F3B1B" w:rsidRDefault="002865F5" w14:paraId="7D84371F" w14:textId="77777777">
      <w:pPr>
        <w:numPr>
          <w:ilvl w:val="0"/>
          <w:numId w:val="76"/>
        </w:numPr>
        <w:spacing w:before="100" w:beforeAutospacing="1" w:after="100" w:afterAutospacing="1"/>
        <w:jc w:val="left"/>
        <w:rPr/>
      </w:pPr>
      <w:r w:rsidRPr="524D1DFC" w:rsidR="63A362F4">
        <w:rPr>
          <w:rStyle w:val="Strong"/>
        </w:rPr>
        <w:t>Illustrative Examples:</w:t>
      </w:r>
    </w:p>
    <w:p w:rsidR="73EA7FC2" w:rsidP="524D1DFC" w:rsidRDefault="73EA7FC2" w14:paraId="54816E23" w14:textId="40C68839">
      <w:pPr>
        <w:pStyle w:val="Normal"/>
      </w:pPr>
      <w:r w:rsidRPr="524D1DFC" w:rsidR="73EA7FC2">
        <w:rPr>
          <w:noProof w:val="0"/>
          <w:lang w:val="en-GB"/>
        </w:rPr>
        <w:t>A commonly cited example is the shift to digital-only schooling during the COVID-19 pandemic. Students without devices or stable internet access suffered significant educational setbacks compared to peers with full digital support (Andrew et al., 2020). Similarly, healthcare case studies show that patients lacking digital literacy are less likely to use online appointment systems or remote consultations, contributing to inequality in service uptake (Greenhalgh et al., 2021). These examples illustrate how digital barriers have real-world implications that directly connect to the research question.</w:t>
      </w:r>
    </w:p>
    <w:p w:rsidRPr="007063BA" w:rsidR="002865F5" w:rsidP="002865F5" w:rsidRDefault="002865F5" w14:paraId="219757CE" w14:textId="77777777">
      <w:pPr>
        <w:pStyle w:val="Heading4"/>
        <w:rPr>
          <w:rFonts w:ascii="Aptos" w:hAnsi="Aptos"/>
        </w:rPr>
      </w:pPr>
      <w:r w:rsidRPr="007063BA">
        <w:rPr>
          <w:rFonts w:ascii="Aptos" w:hAnsi="Aptos"/>
        </w:rPr>
        <w:t>Connections to Other Themes</w:t>
      </w:r>
    </w:p>
    <w:p w:rsidRPr="007063BA" w:rsidR="002865F5" w:rsidP="001F3B1B" w:rsidRDefault="002865F5" w14:paraId="46103AF3" w14:textId="77777777">
      <w:pPr>
        <w:numPr>
          <w:ilvl w:val="0"/>
          <w:numId w:val="77"/>
        </w:numPr>
        <w:spacing w:before="100" w:beforeAutospacing="1" w:after="100" w:afterAutospacing="1"/>
        <w:jc w:val="left"/>
        <w:rPr/>
      </w:pPr>
      <w:r w:rsidRPr="524D1DFC" w:rsidR="63A362F4">
        <w:rPr>
          <w:rStyle w:val="Strong"/>
        </w:rPr>
        <w:t>Interconnections:</w:t>
      </w:r>
    </w:p>
    <w:p w:rsidR="561705C7" w:rsidP="524D1DFC" w:rsidRDefault="561705C7" w14:paraId="035E9B4E" w14:textId="10C78E58">
      <w:pPr>
        <w:pStyle w:val="Normal"/>
      </w:pPr>
      <w:r w:rsidRPr="524D1DFC" w:rsidR="561705C7">
        <w:rPr>
          <w:noProof w:val="0"/>
          <w:lang w:val="en-GB"/>
        </w:rPr>
        <w:t xml:space="preserve">This theme links closely with </w:t>
      </w:r>
      <w:r w:rsidRPr="524D1DFC" w:rsidR="561705C7">
        <w:rPr>
          <w:b w:val="0"/>
          <w:bCs w:val="0"/>
          <w:noProof w:val="0"/>
          <w:lang w:val="en-GB"/>
        </w:rPr>
        <w:t>Theme 1</w:t>
      </w:r>
      <w:r w:rsidRPr="524D1DFC" w:rsidR="561705C7">
        <w:rPr>
          <w:noProof w:val="0"/>
          <w:lang w:val="en-GB"/>
        </w:rPr>
        <w:t>, which explored digital engagement and motivation. Individuals may be motivated to use digital platforms, yet without reliable access or adequate skills, their engagement remains limited. Digital inequality also connects to later themes, such as digital wellbeing or system usability, because structural barriers often shape user experiences and digital outcomes. Understanding these interconnections reinforces the multidimensional nature of digital participation and contextualises how multiple factors influence the research question.</w:t>
      </w:r>
    </w:p>
    <w:p w:rsidR="001C3AF6" w:rsidP="003B1E32" w:rsidRDefault="001C3AF6" w14:paraId="3CADB6AC" w14:textId="0049227A">
      <w:pPr>
        <w:pStyle w:val="Heading2"/>
      </w:pPr>
      <w:bookmarkStart w:name="_Toc213058160" w:id="18"/>
      <w:r w:rsidR="676686AE">
        <w:rPr/>
        <w:t>4.5 – Theme 3</w:t>
      </w:r>
      <w:r w:rsidR="5532D9C0">
        <w:rPr/>
        <w:t xml:space="preserve"> – Digital Wellbeing and Ps</w:t>
      </w:r>
      <w:bookmarkEnd w:id="18"/>
      <w:r w:rsidR="5532D9C0">
        <w:rPr/>
        <w:t>ychological Imapcts</w:t>
      </w:r>
    </w:p>
    <w:p w:rsidRPr="00636D9A" w:rsidR="00636D9A" w:rsidP="001C3AF6" w:rsidRDefault="00636D9A" w14:paraId="0D8B4DA0" w14:textId="77777777">
      <w:pPr>
        <w:pStyle w:val="Heading1"/>
        <w:rPr>
          <w:rFonts w:ascii="Aptos" w:hAnsi="Aptos"/>
          <w:sz w:val="28"/>
          <w:szCs w:val="28"/>
        </w:rPr>
      </w:pPr>
    </w:p>
    <w:p w:rsidRPr="007063BA" w:rsidR="002865F5" w:rsidP="002865F5" w:rsidRDefault="002865F5" w14:paraId="4915A324" w14:textId="77777777">
      <w:pPr>
        <w:pStyle w:val="Heading4"/>
        <w:rPr>
          <w:rFonts w:ascii="Aptos" w:hAnsi="Aptos"/>
        </w:rPr>
      </w:pPr>
      <w:r w:rsidRPr="007063BA">
        <w:rPr>
          <w:rFonts w:ascii="Aptos" w:hAnsi="Aptos"/>
        </w:rPr>
        <w:t xml:space="preserve">Definition </w:t>
      </w:r>
    </w:p>
    <w:p w:rsidRPr="007063BA" w:rsidR="002865F5" w:rsidP="001F3B1B" w:rsidRDefault="002865F5" w14:paraId="5E207A09" w14:textId="77777777">
      <w:pPr>
        <w:numPr>
          <w:ilvl w:val="0"/>
          <w:numId w:val="70"/>
        </w:numPr>
        <w:spacing w:before="100" w:beforeAutospacing="1" w:after="100" w:afterAutospacing="1"/>
        <w:jc w:val="left"/>
        <w:rPr/>
      </w:pPr>
      <w:r w:rsidRPr="524D1DFC" w:rsidR="63A362F4">
        <w:rPr>
          <w:rStyle w:val="Strong"/>
        </w:rPr>
        <w:t>Definition:</w:t>
      </w:r>
    </w:p>
    <w:p w:rsidR="21AA9861" w:rsidP="524D1DFC" w:rsidRDefault="21AA9861" w14:paraId="01336DAC" w14:textId="4D2E2A76">
      <w:pPr>
        <w:pStyle w:val="Normal"/>
      </w:pPr>
      <w:r w:rsidRPr="524D1DFC" w:rsidR="21AA9861">
        <w:rPr>
          <w:noProof w:val="0"/>
          <w:lang w:val="en-GB"/>
        </w:rPr>
        <w:t xml:space="preserve">Digital wellbeing refers to the psychological, emotional, and behavioural effects of digital technology use on individuals and communities (Mascheroni et al., 2023). The term captures both positive and negative outcomes, including stress, cognitive overload, social connection, and digital balance. It also encompasses concepts such as </w:t>
      </w:r>
      <w:r w:rsidRPr="524D1DFC" w:rsidR="21AA9861">
        <w:rPr>
          <w:b w:val="0"/>
          <w:bCs w:val="0"/>
          <w:noProof w:val="0"/>
          <w:lang w:val="en-GB"/>
        </w:rPr>
        <w:t>screen fatigue</w:t>
      </w:r>
      <w:r w:rsidRPr="524D1DFC" w:rsidR="21AA9861">
        <w:rPr>
          <w:b w:val="0"/>
          <w:bCs w:val="0"/>
          <w:noProof w:val="0"/>
          <w:lang w:val="en-GB"/>
        </w:rPr>
        <w:t xml:space="preserve">, </w:t>
      </w:r>
      <w:r w:rsidRPr="524D1DFC" w:rsidR="21AA9861">
        <w:rPr>
          <w:b w:val="0"/>
          <w:bCs w:val="0"/>
          <w:noProof w:val="0"/>
          <w:lang w:val="en-GB"/>
        </w:rPr>
        <w:t>digital overload</w:t>
      </w:r>
      <w:r w:rsidRPr="524D1DFC" w:rsidR="21AA9861">
        <w:rPr>
          <w:b w:val="0"/>
          <w:bCs w:val="0"/>
          <w:noProof w:val="0"/>
          <w:lang w:val="en-GB"/>
        </w:rPr>
        <w:t>,</w:t>
      </w:r>
      <w:r w:rsidRPr="524D1DFC" w:rsidR="21AA9861">
        <w:rPr>
          <w:noProof w:val="0"/>
          <w:lang w:val="en-GB"/>
        </w:rPr>
        <w:t xml:space="preserve"> and </w:t>
      </w:r>
      <w:r w:rsidRPr="524D1DFC" w:rsidR="21AA9861">
        <w:rPr>
          <w:b w:val="0"/>
          <w:bCs w:val="0"/>
          <w:noProof w:val="0"/>
          <w:lang w:val="en-GB"/>
        </w:rPr>
        <w:t>technology-mediated stress</w:t>
      </w:r>
      <w:r w:rsidRPr="524D1DFC" w:rsidR="21AA9861">
        <w:rPr>
          <w:b w:val="0"/>
          <w:bCs w:val="0"/>
          <w:noProof w:val="0"/>
          <w:lang w:val="en-GB"/>
        </w:rPr>
        <w:t xml:space="preserve">, </w:t>
      </w:r>
      <w:r w:rsidRPr="524D1DFC" w:rsidR="21AA9861">
        <w:rPr>
          <w:noProof w:val="0"/>
          <w:lang w:val="en-GB"/>
        </w:rPr>
        <w:t xml:space="preserve">often termed </w:t>
      </w:r>
      <w:r w:rsidRPr="524D1DFC" w:rsidR="21AA9861">
        <w:rPr>
          <w:b w:val="0"/>
          <w:bCs w:val="0"/>
          <w:noProof w:val="0"/>
          <w:lang w:val="en-GB"/>
        </w:rPr>
        <w:t>“technostress”</w:t>
      </w:r>
      <w:r w:rsidRPr="524D1DFC" w:rsidR="21AA9861">
        <w:rPr>
          <w:noProof w:val="0"/>
          <w:lang w:val="en-GB"/>
        </w:rPr>
        <w:t xml:space="preserve"> (Ayyagari et al., 2011). These components help explain how individuals experience and respond to digital environments, particularly when digital engagement is required for education, employment, or social participation.</w:t>
      </w:r>
    </w:p>
    <w:p w:rsidRPr="007063BA" w:rsidR="002865F5" w:rsidP="002865F5" w:rsidRDefault="002865F5" w14:paraId="73055C57" w14:textId="77777777">
      <w:pPr>
        <w:pStyle w:val="Heading4"/>
        <w:rPr>
          <w:rFonts w:ascii="Aptos" w:hAnsi="Aptos"/>
        </w:rPr>
      </w:pPr>
      <w:r w:rsidRPr="007063BA">
        <w:rPr>
          <w:rFonts w:ascii="Aptos" w:hAnsi="Aptos"/>
        </w:rPr>
        <w:t>Background Information</w:t>
      </w:r>
    </w:p>
    <w:p w:rsidRPr="007063BA" w:rsidR="002865F5" w:rsidP="001F3B1B" w:rsidRDefault="002865F5" w14:paraId="2FB465ED" w14:textId="77777777">
      <w:pPr>
        <w:numPr>
          <w:ilvl w:val="0"/>
          <w:numId w:val="71"/>
        </w:numPr>
        <w:spacing w:before="100" w:beforeAutospacing="1" w:after="100" w:afterAutospacing="1"/>
        <w:jc w:val="left"/>
        <w:rPr/>
      </w:pPr>
      <w:r w:rsidRPr="524D1DFC" w:rsidR="63A362F4">
        <w:rPr>
          <w:rStyle w:val="Strong"/>
        </w:rPr>
        <w:t>Historical/Contextual Background:</w:t>
      </w:r>
    </w:p>
    <w:p w:rsidR="0C4BD3E0" w:rsidP="524D1DFC" w:rsidRDefault="0C4BD3E0" w14:paraId="354646BB" w14:textId="0FB9E865">
      <w:pPr>
        <w:pStyle w:val="Normal"/>
      </w:pPr>
      <w:r w:rsidRPr="524D1DFC" w:rsidR="0C4BD3E0">
        <w:rPr>
          <w:noProof w:val="0"/>
          <w:lang w:val="en-GB"/>
        </w:rPr>
        <w:t>The emergence of digital wellbeing as a research domain can be traced to the early 2000s when scholars began to examine how constant connectivity affected mental health (Tarafdar et al., 2007). With the widespread adoption of smartphones and social media, concerns about screen time, addiction, and attention fragmentation became prominent. More recently, digital wellbeing became a central topic during the COVID-19 pandemic, when remote work, online learning, and digital services dramatically increased daily screen time (Meier &amp; Schäfer, 2022). These developments created new expectations and pressures surrounding digital engagement, raising concerns about burnout, anxiety, and digital dependency.</w:t>
      </w:r>
    </w:p>
    <w:p w:rsidRPr="007063BA" w:rsidR="002865F5" w:rsidP="002865F5" w:rsidRDefault="002865F5" w14:paraId="416E3F8C" w14:textId="77777777">
      <w:pPr>
        <w:pStyle w:val="Heading4"/>
        <w:rPr>
          <w:rFonts w:ascii="Aptos" w:hAnsi="Aptos"/>
        </w:rPr>
      </w:pPr>
      <w:r w:rsidRPr="007063BA">
        <w:rPr>
          <w:rFonts w:ascii="Aptos" w:hAnsi="Aptos"/>
        </w:rPr>
        <w:t>Impact on Research Question</w:t>
      </w:r>
    </w:p>
    <w:p w:rsidRPr="007063BA" w:rsidR="002865F5" w:rsidP="001F3B1B" w:rsidRDefault="002865F5" w14:paraId="3D88BBAC" w14:textId="77777777">
      <w:pPr>
        <w:numPr>
          <w:ilvl w:val="0"/>
          <w:numId w:val="72"/>
        </w:numPr>
        <w:spacing w:before="100" w:beforeAutospacing="1" w:after="100" w:afterAutospacing="1"/>
        <w:jc w:val="left"/>
        <w:rPr/>
      </w:pPr>
      <w:r w:rsidRPr="524D1DFC" w:rsidR="63A362F4">
        <w:rPr>
          <w:rStyle w:val="Strong"/>
        </w:rPr>
        <w:t>Relevance to Title/Research Question:</w:t>
      </w:r>
    </w:p>
    <w:p w:rsidR="5D5BD4D4" w:rsidP="524D1DFC" w:rsidRDefault="5D5BD4D4" w14:paraId="15BC45BA" w14:textId="6DCD812F">
      <w:pPr>
        <w:pStyle w:val="Normal"/>
      </w:pPr>
      <w:r w:rsidRPr="524D1DFC" w:rsidR="5D5BD4D4">
        <w:rPr>
          <w:noProof w:val="0"/>
          <w:lang w:val="en-GB"/>
        </w:rPr>
        <w:t xml:space="preserve">This theme </w:t>
      </w:r>
      <w:r w:rsidRPr="524D1DFC" w:rsidR="5D5BD4D4">
        <w:rPr>
          <w:noProof w:val="0"/>
          <w:lang w:val="en-GB"/>
        </w:rPr>
        <w:t>directly relates</w:t>
      </w:r>
      <w:r w:rsidRPr="524D1DFC" w:rsidR="5D5BD4D4">
        <w:rPr>
          <w:noProof w:val="0"/>
          <w:lang w:val="en-GB"/>
        </w:rPr>
        <w:t xml:space="preserve"> to the research question because psychological responses to digital technologies significantly shape users’ engagement and behaviour. If individuals experience digital fatigue or stress, they may be less motivated or less able to use digital platforms effectively (</w:t>
      </w:r>
      <w:r w:rsidRPr="524D1DFC" w:rsidR="5D5BD4D4">
        <w:rPr>
          <w:noProof w:val="0"/>
          <w:lang w:val="en-GB"/>
        </w:rPr>
        <w:t>Büchi</w:t>
      </w:r>
      <w:r w:rsidRPr="524D1DFC" w:rsidR="5D5BD4D4">
        <w:rPr>
          <w:noProof w:val="0"/>
          <w:lang w:val="en-GB"/>
        </w:rPr>
        <w:t xml:space="preserve"> &amp; </w:t>
      </w:r>
      <w:r w:rsidRPr="524D1DFC" w:rsidR="5D5BD4D4">
        <w:rPr>
          <w:noProof w:val="0"/>
          <w:lang w:val="en-GB"/>
        </w:rPr>
        <w:t>Festic</w:t>
      </w:r>
      <w:r w:rsidRPr="524D1DFC" w:rsidR="5D5BD4D4">
        <w:rPr>
          <w:noProof w:val="0"/>
          <w:lang w:val="en-GB"/>
        </w:rPr>
        <w:t>, 2023). For research topics involving access to online services, education, or communication, digital wellbeing provides an essential lens for interpreting why some users engage consistently while others struggle. The theme also reveals the quality</w:t>
      </w:r>
      <w:r w:rsidRPr="524D1DFC" w:rsidR="1D26CE82">
        <w:rPr>
          <w:noProof w:val="0"/>
          <w:lang w:val="en-GB"/>
        </w:rPr>
        <w:t xml:space="preserve"> </w:t>
      </w:r>
      <w:r w:rsidRPr="524D1DFC" w:rsidR="5D5BD4D4">
        <w:rPr>
          <w:noProof w:val="0"/>
          <w:lang w:val="en-GB"/>
        </w:rPr>
        <w:t>not just the quantity</w:t>
      </w:r>
      <w:r w:rsidRPr="524D1DFC" w:rsidR="633EE386">
        <w:rPr>
          <w:noProof w:val="0"/>
          <w:lang w:val="en-GB"/>
        </w:rPr>
        <w:t xml:space="preserve"> </w:t>
      </w:r>
      <w:r w:rsidRPr="524D1DFC" w:rsidR="5D5BD4D4">
        <w:rPr>
          <w:noProof w:val="0"/>
          <w:lang w:val="en-GB"/>
        </w:rPr>
        <w:t>of digital participation, making it central to understanding digital experiences and outcomes.</w:t>
      </w:r>
    </w:p>
    <w:p w:rsidRPr="007063BA" w:rsidR="002865F5" w:rsidP="002865F5" w:rsidRDefault="002865F5" w14:paraId="54B244D8" w14:textId="77777777">
      <w:pPr>
        <w:pStyle w:val="Heading4"/>
        <w:rPr>
          <w:rFonts w:ascii="Aptos" w:hAnsi="Aptos"/>
        </w:rPr>
      </w:pPr>
      <w:r w:rsidRPr="007063BA">
        <w:rPr>
          <w:rFonts w:ascii="Aptos" w:hAnsi="Aptos"/>
        </w:rPr>
        <w:t>Statistical Information</w:t>
      </w:r>
    </w:p>
    <w:p w:rsidRPr="007063BA" w:rsidR="002865F5" w:rsidP="001F3B1B" w:rsidRDefault="002865F5" w14:paraId="5607E377" w14:textId="77777777">
      <w:pPr>
        <w:numPr>
          <w:ilvl w:val="0"/>
          <w:numId w:val="73"/>
        </w:numPr>
        <w:spacing w:before="100" w:beforeAutospacing="1" w:after="100" w:afterAutospacing="1"/>
        <w:jc w:val="left"/>
        <w:rPr/>
      </w:pPr>
      <w:r w:rsidRPr="524D1DFC" w:rsidR="63A362F4">
        <w:rPr>
          <w:rStyle w:val="Strong"/>
        </w:rPr>
        <w:t>Data and Statistics:</w:t>
      </w:r>
    </w:p>
    <w:p w:rsidR="5A459A4C" w:rsidP="524D1DFC" w:rsidRDefault="5A459A4C" w14:paraId="3DBFA1A6" w14:textId="714FDD94">
      <w:pPr>
        <w:pStyle w:val="Normal"/>
      </w:pPr>
      <w:r w:rsidRPr="524D1DFC" w:rsidR="5A459A4C">
        <w:rPr>
          <w:noProof w:val="0"/>
          <w:lang w:val="en-GB"/>
        </w:rPr>
        <w:t xml:space="preserve">Recent studies indicate that digital wellbeing challenges are widespread. For example, a 2023 UK survey found that </w:t>
      </w:r>
      <w:r w:rsidRPr="524D1DFC" w:rsidR="5A459A4C">
        <w:rPr>
          <w:b w:val="0"/>
          <w:bCs w:val="0"/>
          <w:noProof w:val="0"/>
          <w:lang w:val="en-GB"/>
        </w:rPr>
        <w:t>76% of adults</w:t>
      </w:r>
      <w:r w:rsidRPr="524D1DFC" w:rsidR="5A459A4C">
        <w:rPr>
          <w:noProof w:val="0"/>
          <w:lang w:val="en-GB"/>
        </w:rPr>
        <w:t xml:space="preserve"> reported experiencing digital fatigue, particularly when using multiple digital platforms for work and daily tasks (Deloitte, 2023). Similarly, the Royal Society for Public Health found that</w:t>
      </w:r>
      <w:r w:rsidRPr="524D1DFC" w:rsidR="5A459A4C">
        <w:rPr>
          <w:b w:val="0"/>
          <w:bCs w:val="0"/>
          <w:noProof w:val="0"/>
          <w:lang w:val="en-GB"/>
        </w:rPr>
        <w:t xml:space="preserve"> </w:t>
      </w:r>
      <w:r w:rsidRPr="524D1DFC" w:rsidR="5A459A4C">
        <w:rPr>
          <w:b w:val="0"/>
          <w:bCs w:val="0"/>
          <w:noProof w:val="0"/>
          <w:lang w:val="en-GB"/>
        </w:rPr>
        <w:t>70% of young adults</w:t>
      </w:r>
      <w:r w:rsidRPr="524D1DFC" w:rsidR="5A459A4C">
        <w:rPr>
          <w:b w:val="0"/>
          <w:bCs w:val="0"/>
          <w:noProof w:val="0"/>
          <w:lang w:val="en-GB"/>
        </w:rPr>
        <w:t xml:space="preserve"> </w:t>
      </w:r>
      <w:r w:rsidRPr="524D1DFC" w:rsidR="5A459A4C">
        <w:rPr>
          <w:noProof w:val="0"/>
          <w:lang w:val="en-GB"/>
        </w:rPr>
        <w:t>feel that excessive screen time contributes to anxiety and disrupted sleep (RSPH, 2022). These statistics illustrate the scale of digital wellbeing concerns. Some researchers argue that digital overuse is a societal issue facilitated by persuasive design features in apps, while others argue that wellbeing outcomes depend more on individual usage patterns (Meier &amp; Reinecke, 2021). This ongoing debate highlights the complexity of digital psychological impacts.</w:t>
      </w:r>
    </w:p>
    <w:p w:rsidRPr="007063BA" w:rsidR="002865F5" w:rsidP="002865F5" w:rsidRDefault="002865F5" w14:paraId="28E29938" w14:textId="77777777">
      <w:pPr>
        <w:pStyle w:val="Heading4"/>
        <w:rPr>
          <w:rFonts w:ascii="Aptos" w:hAnsi="Aptos"/>
        </w:rPr>
      </w:pPr>
      <w:r w:rsidRPr="007063BA">
        <w:rPr>
          <w:rFonts w:ascii="Aptos" w:hAnsi="Aptos"/>
        </w:rPr>
        <w:t>Theories, Policies, and Legislation</w:t>
      </w:r>
    </w:p>
    <w:p w:rsidRPr="007063BA" w:rsidR="002865F5" w:rsidP="001F3B1B" w:rsidRDefault="002865F5" w14:paraId="181CBEA8" w14:textId="77777777">
      <w:pPr>
        <w:pStyle w:val="NormalWeb"/>
        <w:numPr>
          <w:ilvl w:val="0"/>
          <w:numId w:val="74"/>
        </w:numPr>
        <w:spacing w:line="360" w:lineRule="auto"/>
        <w:rPr>
          <w:rFonts w:ascii="Aptos" w:hAnsi="Aptos"/>
          <w:sz w:val="22"/>
          <w:szCs w:val="22"/>
        </w:rPr>
      </w:pPr>
      <w:r w:rsidRPr="524D1DFC" w:rsidR="63A362F4">
        <w:rPr>
          <w:rStyle w:val="Strong"/>
          <w:rFonts w:ascii="Aptos" w:hAnsi="Aptos" w:eastAsia="Calibri Light"/>
          <w:sz w:val="22"/>
          <w:szCs w:val="22"/>
        </w:rPr>
        <w:t>Theoretical Framework:</w:t>
      </w:r>
    </w:p>
    <w:p w:rsidR="1032FA94" w:rsidP="524D1DFC" w:rsidRDefault="1032FA94" w14:paraId="36BA50AA" w14:textId="65742409">
      <w:pPr>
        <w:pStyle w:val="NormalWeb"/>
        <w:spacing w:line="360" w:lineRule="auto"/>
        <w:ind w:left="0"/>
      </w:pPr>
      <w:r w:rsidRPr="524D1DFC" w:rsidR="1032FA94">
        <w:rPr>
          <w:noProof w:val="0"/>
          <w:lang w:val="en-GB"/>
        </w:rPr>
        <w:t>Several theories support an understanding of digital wellbeing.</w:t>
      </w:r>
      <w:r>
        <w:br/>
      </w:r>
      <w:r w:rsidRPr="524D1DFC" w:rsidR="1032FA94">
        <w:rPr>
          <w:noProof w:val="0"/>
          <w:lang w:val="en-GB"/>
        </w:rPr>
        <w:t xml:space="preserve"> </w:t>
      </w:r>
      <w:r w:rsidRPr="524D1DFC" w:rsidR="1032FA94">
        <w:rPr>
          <w:b w:val="1"/>
          <w:bCs w:val="1"/>
          <w:noProof w:val="0"/>
          <w:lang w:val="en-GB"/>
        </w:rPr>
        <w:t>Technostress Theory</w:t>
      </w:r>
      <w:r w:rsidRPr="524D1DFC" w:rsidR="1032FA94">
        <w:rPr>
          <w:noProof w:val="0"/>
          <w:lang w:val="en-GB"/>
        </w:rPr>
        <w:t xml:space="preserve"> suggests that excessive digital demands can lead to strain, burnout, and reduced productivity, especially when technologies are complex or poorly designed (Tarafdar et al., 2007).</w:t>
      </w:r>
      <w:r>
        <w:br/>
      </w:r>
      <w:r w:rsidRPr="524D1DFC" w:rsidR="1032FA94">
        <w:rPr>
          <w:noProof w:val="0"/>
          <w:lang w:val="en-GB"/>
        </w:rPr>
        <w:t xml:space="preserve"> </w:t>
      </w:r>
      <w:r w:rsidRPr="524D1DFC" w:rsidR="1032FA94">
        <w:rPr>
          <w:b w:val="1"/>
          <w:bCs w:val="1"/>
          <w:noProof w:val="0"/>
          <w:lang w:val="en-GB"/>
        </w:rPr>
        <w:t>Cognitive Load Theory</w:t>
      </w:r>
      <w:r w:rsidRPr="524D1DFC" w:rsidR="1032FA94">
        <w:rPr>
          <w:noProof w:val="0"/>
          <w:lang w:val="en-GB"/>
        </w:rPr>
        <w:t xml:space="preserve"> explains that digital multitasking and notifications increase mental overload, reducing concentration, performance, and emotional stability (Sweller, 2019).</w:t>
      </w:r>
      <w:r>
        <w:br/>
      </w:r>
      <w:r w:rsidRPr="524D1DFC" w:rsidR="1032FA94">
        <w:rPr>
          <w:noProof w:val="0"/>
          <w:lang w:val="en-GB"/>
        </w:rPr>
        <w:t xml:space="preserve"> In contrast, </w:t>
      </w:r>
      <w:r w:rsidRPr="524D1DFC" w:rsidR="1032FA94">
        <w:rPr>
          <w:b w:val="0"/>
          <w:bCs w:val="0"/>
          <w:noProof w:val="0"/>
          <w:lang w:val="en-GB"/>
        </w:rPr>
        <w:t>Uses and Gratifications Theory</w:t>
      </w:r>
      <w:r w:rsidRPr="524D1DFC" w:rsidR="1032FA94">
        <w:rPr>
          <w:noProof w:val="0"/>
          <w:lang w:val="en-GB"/>
        </w:rPr>
        <w:t xml:space="preserve"> posits that individuals actively use digital platforms to fulfil social, emotional, and informational needs, helping explain positive wellbeing outcomes (Ruggiero, 2000).</w:t>
      </w:r>
      <w:r>
        <w:br/>
      </w:r>
      <w:r w:rsidRPr="524D1DFC" w:rsidR="1032FA94">
        <w:rPr>
          <w:noProof w:val="0"/>
          <w:lang w:val="en-GB"/>
        </w:rPr>
        <w:t xml:space="preserve"> Together, these theories emphasise that digital wellbeing is shaped by both environmental pressures and personal motivations.</w:t>
      </w:r>
    </w:p>
    <w:p w:rsidRPr="007063BA" w:rsidR="002865F5" w:rsidP="001F3B1B" w:rsidRDefault="002865F5" w14:paraId="0FC93BF7" w14:textId="77777777">
      <w:pPr>
        <w:pStyle w:val="NormalWeb"/>
        <w:numPr>
          <w:ilvl w:val="0"/>
          <w:numId w:val="74"/>
        </w:numPr>
        <w:spacing w:line="360" w:lineRule="auto"/>
        <w:rPr>
          <w:rFonts w:ascii="Aptos" w:hAnsi="Aptos"/>
          <w:sz w:val="22"/>
          <w:szCs w:val="22"/>
        </w:rPr>
      </w:pPr>
      <w:r w:rsidRPr="524D1DFC" w:rsidR="63A362F4">
        <w:rPr>
          <w:rStyle w:val="Strong"/>
          <w:rFonts w:ascii="Aptos" w:hAnsi="Aptos" w:eastAsia="Calibri Light"/>
          <w:sz w:val="22"/>
          <w:szCs w:val="22"/>
        </w:rPr>
        <w:t>Policy and Legislation:</w:t>
      </w:r>
    </w:p>
    <w:p w:rsidR="21D9F8F8" w:rsidP="524D1DFC" w:rsidRDefault="21D9F8F8" w14:paraId="770F63D5" w14:textId="0A3FAE7A">
      <w:pPr>
        <w:pStyle w:val="Normal"/>
      </w:pPr>
      <w:r w:rsidRPr="524D1DFC" w:rsidR="21D9F8F8">
        <w:rPr>
          <w:noProof w:val="0"/>
          <w:lang w:val="en-GB"/>
        </w:rPr>
        <w:t xml:space="preserve">Governments and organisations have increasingly recognised digital wellbeing as a policy priority. The UK’s Online Safety Act </w:t>
      </w:r>
      <w:r w:rsidRPr="524D1DFC" w:rsidR="21D9F8F8">
        <w:rPr>
          <w:noProof w:val="0"/>
          <w:lang w:val="en-GB"/>
        </w:rPr>
        <w:t>seeks</w:t>
      </w:r>
      <w:r w:rsidRPr="524D1DFC" w:rsidR="21D9F8F8">
        <w:rPr>
          <w:noProof w:val="0"/>
          <w:lang w:val="en-GB"/>
        </w:rPr>
        <w:t xml:space="preserve"> to limit harmful online content, protecting users</w:t>
      </w:r>
      <w:r w:rsidRPr="524D1DFC" w:rsidR="43A881E9">
        <w:rPr>
          <w:noProof w:val="0"/>
          <w:lang w:val="en-GB"/>
        </w:rPr>
        <w:t xml:space="preserve"> </w:t>
      </w:r>
      <w:r w:rsidRPr="524D1DFC" w:rsidR="21D9F8F8">
        <w:rPr>
          <w:noProof w:val="0"/>
          <w:lang w:val="en-GB"/>
        </w:rPr>
        <w:t>particularly young people</w:t>
      </w:r>
      <w:r w:rsidRPr="524D1DFC" w:rsidR="10824A9D">
        <w:rPr>
          <w:noProof w:val="0"/>
          <w:lang w:val="en-GB"/>
        </w:rPr>
        <w:t xml:space="preserve"> </w:t>
      </w:r>
      <w:r w:rsidRPr="524D1DFC" w:rsidR="21D9F8F8">
        <w:rPr>
          <w:noProof w:val="0"/>
          <w:lang w:val="en-GB"/>
        </w:rPr>
        <w:t xml:space="preserve">from psychological risks. The EU Digital Services Act also aims to reduce harmful digital environments by regulating algorithmic transparency and platform accountability. Workplace guidelines, such as the EU right-to-disconnect policies, address digital burnout by limiting work-related communication outside of normal hours (Pereira et al., 2022). While these policies promote healthier digital environments, critics argue that enforcement is inconsistent, and many measures </w:t>
      </w:r>
      <w:r w:rsidRPr="524D1DFC" w:rsidR="21D9F8F8">
        <w:rPr>
          <w:noProof w:val="0"/>
          <w:lang w:val="en-GB"/>
        </w:rPr>
        <w:t>fail to</w:t>
      </w:r>
      <w:r w:rsidRPr="524D1DFC" w:rsidR="21D9F8F8">
        <w:rPr>
          <w:noProof w:val="0"/>
          <w:lang w:val="en-GB"/>
        </w:rPr>
        <w:t xml:space="preserve"> tackle the root causes of digital overload (</w:t>
      </w:r>
      <w:r w:rsidRPr="524D1DFC" w:rsidR="21D9F8F8">
        <w:rPr>
          <w:noProof w:val="0"/>
          <w:lang w:val="en-GB"/>
        </w:rPr>
        <w:t>Büchi</w:t>
      </w:r>
      <w:r w:rsidRPr="524D1DFC" w:rsidR="21D9F8F8">
        <w:rPr>
          <w:noProof w:val="0"/>
          <w:lang w:val="en-GB"/>
        </w:rPr>
        <w:t xml:space="preserve"> &amp; </w:t>
      </w:r>
      <w:r w:rsidRPr="524D1DFC" w:rsidR="21D9F8F8">
        <w:rPr>
          <w:noProof w:val="0"/>
          <w:lang w:val="en-GB"/>
        </w:rPr>
        <w:t>Festic</w:t>
      </w:r>
      <w:r w:rsidRPr="524D1DFC" w:rsidR="21D9F8F8">
        <w:rPr>
          <w:noProof w:val="0"/>
          <w:lang w:val="en-GB"/>
        </w:rPr>
        <w:t>, 2023).</w:t>
      </w:r>
    </w:p>
    <w:p w:rsidRPr="007063BA" w:rsidR="002865F5" w:rsidP="002865F5" w:rsidRDefault="002865F5" w14:paraId="637B0DED" w14:textId="77777777">
      <w:pPr>
        <w:pStyle w:val="Heading4"/>
        <w:rPr>
          <w:rFonts w:ascii="Aptos" w:hAnsi="Aptos"/>
        </w:rPr>
      </w:pPr>
      <w:r w:rsidRPr="007063BA">
        <w:rPr>
          <w:rFonts w:ascii="Aptos" w:hAnsi="Aptos"/>
        </w:rPr>
        <w:t>Implications</w:t>
      </w:r>
    </w:p>
    <w:p w:rsidRPr="007063BA" w:rsidR="002865F5" w:rsidP="001F3B1B" w:rsidRDefault="002865F5" w14:paraId="02D216F1" w14:textId="77777777">
      <w:pPr>
        <w:numPr>
          <w:ilvl w:val="0"/>
          <w:numId w:val="75"/>
        </w:numPr>
        <w:spacing w:before="100" w:beforeAutospacing="1" w:after="100" w:afterAutospacing="1"/>
        <w:jc w:val="left"/>
        <w:rPr/>
      </w:pPr>
      <w:r w:rsidRPr="524D1DFC" w:rsidR="63A362F4">
        <w:rPr>
          <w:rStyle w:val="Strong"/>
        </w:rPr>
        <w:t>Positive and Negative Implications:</w:t>
      </w:r>
    </w:p>
    <w:p w:rsidR="216DB259" w:rsidP="524D1DFC" w:rsidRDefault="216DB259" w14:paraId="03FD3D54" w14:textId="6849E94E">
      <w:pPr>
        <w:pStyle w:val="Normal"/>
      </w:pPr>
      <w:r w:rsidRPr="524D1DFC" w:rsidR="216DB259">
        <w:rPr>
          <w:noProof w:val="0"/>
          <w:lang w:val="en-GB"/>
        </w:rPr>
        <w:t>Digital engagement can promote psychological wellbeing by supporting social relationships, providing access to mental health resources, and enhancing educational and personal development (Valkenburg et al., 2022). When used intentionally, digital tools can empower users, reduce isolation, and support resilience. For research contexts, understanding these benefits helps highlight how digital platforms can enhance user experiences when properly designed and supported.</w:t>
      </w:r>
    </w:p>
    <w:p w:rsidR="216DB259" w:rsidP="524D1DFC" w:rsidRDefault="216DB259" w14:paraId="404F1546" w14:textId="7D54169C">
      <w:pPr>
        <w:pStyle w:val="Normal"/>
      </w:pPr>
      <w:r w:rsidRPr="524D1DFC" w:rsidR="216DB259">
        <w:rPr>
          <w:rFonts w:ascii="Aptos" w:hAnsi="Aptos" w:eastAsia="Aptos" w:cs="Aptos"/>
          <w:noProof w:val="0"/>
          <w:sz w:val="22"/>
          <w:szCs w:val="22"/>
          <w:lang w:val="en-GB"/>
        </w:rPr>
        <w:t>However, poor digital wellbeing can limit users’ ability to engage meaningfully with digital services. High levels of technostress may reduce motivation, increase avoidance behaviours, and lead to frustration or withdrawal (Ayyagari et al., 2011). In settings such as online learning or public digital services, wellbeing challenges can amplify inequalities by disproportionately affecting individuals with fewer coping resources or digital skills. Ignoring psychological impacts in research could lead to incomplete or inaccurate interpretations of user behaviour.</w:t>
      </w:r>
    </w:p>
    <w:p w:rsidRPr="007063BA" w:rsidR="002865F5" w:rsidP="002865F5" w:rsidRDefault="002865F5" w14:paraId="2E03454B" w14:textId="77777777">
      <w:pPr>
        <w:pStyle w:val="Heading4"/>
        <w:rPr>
          <w:rFonts w:ascii="Aptos" w:hAnsi="Aptos"/>
        </w:rPr>
      </w:pPr>
      <w:r w:rsidRPr="007063BA">
        <w:rPr>
          <w:rFonts w:ascii="Aptos" w:hAnsi="Aptos"/>
        </w:rPr>
        <w:t>Examples and Case Studies</w:t>
      </w:r>
    </w:p>
    <w:p w:rsidRPr="007063BA" w:rsidR="002865F5" w:rsidP="001F3B1B" w:rsidRDefault="002865F5" w14:paraId="4E861102" w14:textId="77777777">
      <w:pPr>
        <w:numPr>
          <w:ilvl w:val="0"/>
          <w:numId w:val="76"/>
        </w:numPr>
        <w:spacing w:before="100" w:beforeAutospacing="1" w:after="100" w:afterAutospacing="1"/>
        <w:jc w:val="left"/>
        <w:rPr/>
      </w:pPr>
      <w:r w:rsidRPr="524D1DFC" w:rsidR="63A362F4">
        <w:rPr>
          <w:rStyle w:val="Strong"/>
        </w:rPr>
        <w:t>Illustrative Examples:</w:t>
      </w:r>
    </w:p>
    <w:p w:rsidR="7D8774FC" w:rsidP="524D1DFC" w:rsidRDefault="7D8774FC" w14:paraId="69A6E427" w14:textId="43146A06">
      <w:pPr>
        <w:pStyle w:val="Normal"/>
      </w:pPr>
      <w:r w:rsidRPr="524D1DFC" w:rsidR="7D8774FC">
        <w:rPr>
          <w:noProof w:val="0"/>
          <w:lang w:val="en-GB"/>
        </w:rPr>
        <w:t>Several case studies highlight the influence of digital wellbeing on user experiences. Research during the pandemic found that university students experiencing digital fatigue reported lower engagement, poorer academic performance, and reduced satisfaction with online learning (Nadler, 2020). In healthcare, patients using digital health apps reported that frequent notifications and complex interfaces created anxiety, reducing their use of remote monitoring tools (Greenhalgh et al., 2021). These cases demonstrate that digital wellbeing directly affects digital participation and can moderate the effectiveness of digital interventions.</w:t>
      </w:r>
    </w:p>
    <w:p w:rsidRPr="007063BA" w:rsidR="002865F5" w:rsidP="002865F5" w:rsidRDefault="002865F5" w14:paraId="486EB594" w14:textId="77777777">
      <w:pPr>
        <w:pStyle w:val="Heading4"/>
        <w:rPr>
          <w:rFonts w:ascii="Aptos" w:hAnsi="Aptos"/>
        </w:rPr>
      </w:pPr>
      <w:r w:rsidRPr="007063BA">
        <w:rPr>
          <w:rFonts w:ascii="Aptos" w:hAnsi="Aptos"/>
        </w:rPr>
        <w:t>Connections to Other Themes</w:t>
      </w:r>
    </w:p>
    <w:p w:rsidRPr="007063BA" w:rsidR="002865F5" w:rsidP="001F3B1B" w:rsidRDefault="002865F5" w14:paraId="5A38C502" w14:textId="77777777">
      <w:pPr>
        <w:numPr>
          <w:ilvl w:val="0"/>
          <w:numId w:val="77"/>
        </w:numPr>
        <w:spacing w:before="100" w:beforeAutospacing="1" w:after="100" w:afterAutospacing="1"/>
        <w:jc w:val="left"/>
        <w:rPr/>
      </w:pPr>
      <w:r w:rsidRPr="524D1DFC" w:rsidR="63A362F4">
        <w:rPr>
          <w:rStyle w:val="Strong"/>
        </w:rPr>
        <w:t>Interconnections:</w:t>
      </w:r>
    </w:p>
    <w:p w:rsidR="586ECB79" w:rsidP="524D1DFC" w:rsidRDefault="586ECB79" w14:paraId="45464456" w14:textId="5B03A6A0">
      <w:pPr>
        <w:pStyle w:val="Normal"/>
      </w:pPr>
      <w:r w:rsidRPr="524D1DFC" w:rsidR="586ECB79">
        <w:rPr>
          <w:noProof w:val="0"/>
          <w:lang w:val="en-GB"/>
        </w:rPr>
        <w:t xml:space="preserve">Theme 3 strongly overlaps with </w:t>
      </w:r>
      <w:r w:rsidRPr="524D1DFC" w:rsidR="586ECB79">
        <w:rPr>
          <w:b w:val="0"/>
          <w:bCs w:val="0"/>
          <w:noProof w:val="0"/>
          <w:lang w:val="en-GB"/>
        </w:rPr>
        <w:t>Theme 1 (Digital Engagement and Motivation)</w:t>
      </w:r>
      <w:r w:rsidRPr="524D1DFC" w:rsidR="586ECB79">
        <w:rPr>
          <w:noProof w:val="0"/>
          <w:lang w:val="en-GB"/>
        </w:rPr>
        <w:t xml:space="preserve"> because psychological wellbeing shapes willingness to use digital platforms. It also connects closely with </w:t>
      </w:r>
      <w:r w:rsidRPr="524D1DFC" w:rsidR="586ECB79">
        <w:rPr>
          <w:b w:val="0"/>
          <w:bCs w:val="0"/>
          <w:noProof w:val="0"/>
          <w:lang w:val="en-GB"/>
        </w:rPr>
        <w:t>Theme 2 (Digital Inequality)</w:t>
      </w:r>
      <w:r w:rsidRPr="524D1DFC" w:rsidR="586ECB79">
        <w:rPr>
          <w:b w:val="0"/>
          <w:bCs w:val="0"/>
          <w:noProof w:val="0"/>
          <w:lang w:val="en-GB"/>
        </w:rPr>
        <w:t>,</w:t>
      </w:r>
      <w:r w:rsidRPr="524D1DFC" w:rsidR="586ECB79">
        <w:rPr>
          <w:noProof w:val="0"/>
          <w:lang w:val="en-GB"/>
        </w:rPr>
        <w:t xml:space="preserve"> as individuals with lower access or skills may be more vulnerable to technostress and burnout. These interconnections highlight that digital participation is multidimensional, influenced by structural, emotional, and experiential factors. Recognising these relationships strengthens the analysis by showing that digital wellbeing is not an isolated issue but linked to broader digital ecosystems.</w:t>
      </w:r>
    </w:p>
    <w:p w:rsidR="001C3AF6" w:rsidP="003B1E32" w:rsidRDefault="001C3AF6" w14:paraId="0B7345EE" w14:textId="7FC8D223">
      <w:pPr>
        <w:pStyle w:val="Heading2"/>
      </w:pPr>
      <w:bookmarkStart w:name="_Toc213058161" w:id="19"/>
      <w:r w:rsidR="676686AE">
        <w:rPr/>
        <w:t>4.6 – Chapter Conclusion</w:t>
      </w:r>
      <w:bookmarkEnd w:id="19"/>
    </w:p>
    <w:p w:rsidRPr="00636D9A" w:rsidR="00636D9A" w:rsidP="001C3AF6" w:rsidRDefault="00636D9A" w14:paraId="262F5D7C" w14:textId="77777777">
      <w:pPr>
        <w:pStyle w:val="Heading1"/>
        <w:rPr>
          <w:rFonts w:ascii="Aptos" w:hAnsi="Aptos"/>
          <w:sz w:val="28"/>
          <w:szCs w:val="28"/>
        </w:rPr>
      </w:pPr>
    </w:p>
    <w:p w:rsidR="002865F5" w:rsidP="524D1DFC" w:rsidRDefault="002865F5" w14:paraId="231D0522" w14:textId="5786116E">
      <w:pPr>
        <w:spacing w:before="240" w:beforeAutospacing="off" w:after="240" w:afterAutospacing="off"/>
      </w:pPr>
      <w:r w:rsidRPr="524D1DFC" w:rsidR="3CD811A4">
        <w:rPr>
          <w:rFonts w:ascii="Aptos" w:hAnsi="Aptos" w:eastAsia="Aptos" w:cs="Aptos"/>
          <w:noProof w:val="0"/>
          <w:sz w:val="22"/>
          <w:szCs w:val="22"/>
          <w:lang w:val="en-GB"/>
        </w:rPr>
        <w:t>This chapter has presented the key findings from the thematic analysis, drawing together insights from the reviewed literature to explore the major themes relevant to the research question. Each theme</w:t>
      </w:r>
      <w:r w:rsidRPr="524D1DFC" w:rsidR="4E77B333">
        <w:rPr>
          <w:rFonts w:ascii="Aptos" w:hAnsi="Aptos" w:eastAsia="Aptos" w:cs="Aptos"/>
          <w:noProof w:val="0"/>
          <w:sz w:val="22"/>
          <w:szCs w:val="22"/>
          <w:lang w:val="en-GB"/>
        </w:rPr>
        <w:t xml:space="preserve"> </w:t>
      </w:r>
      <w:r w:rsidRPr="524D1DFC" w:rsidR="3CD811A4">
        <w:rPr>
          <w:rFonts w:ascii="Aptos" w:hAnsi="Aptos" w:eastAsia="Aptos" w:cs="Aptos"/>
          <w:noProof w:val="0"/>
          <w:sz w:val="22"/>
          <w:szCs w:val="22"/>
          <w:lang w:val="en-GB"/>
        </w:rPr>
        <w:t>examined in depth</w:t>
      </w:r>
      <w:r w:rsidRPr="524D1DFC" w:rsidR="4E563A4F">
        <w:rPr>
          <w:rFonts w:ascii="Aptos" w:hAnsi="Aptos" w:eastAsia="Aptos" w:cs="Aptos"/>
          <w:noProof w:val="0"/>
          <w:sz w:val="22"/>
          <w:szCs w:val="22"/>
          <w:lang w:val="en-GB"/>
        </w:rPr>
        <w:t xml:space="preserve"> </w:t>
      </w:r>
      <w:r w:rsidRPr="524D1DFC" w:rsidR="3CD811A4">
        <w:rPr>
          <w:rFonts w:ascii="Aptos" w:hAnsi="Aptos" w:eastAsia="Aptos" w:cs="Aptos"/>
          <w:noProof w:val="0"/>
          <w:sz w:val="22"/>
          <w:szCs w:val="22"/>
          <w:lang w:val="en-GB"/>
        </w:rPr>
        <w:t xml:space="preserve">highlighted different but interconnected aspects influencing the topic, </w:t>
      </w:r>
      <w:r w:rsidRPr="524D1DFC" w:rsidR="3CD811A4">
        <w:rPr>
          <w:rFonts w:ascii="Aptos" w:hAnsi="Aptos" w:eastAsia="Aptos" w:cs="Aptos"/>
          <w:noProof w:val="0"/>
          <w:sz w:val="22"/>
          <w:szCs w:val="22"/>
          <w:lang w:val="en-GB"/>
        </w:rPr>
        <w:t>demonstrating</w:t>
      </w:r>
      <w:r w:rsidRPr="524D1DFC" w:rsidR="3CD811A4">
        <w:rPr>
          <w:rFonts w:ascii="Aptos" w:hAnsi="Aptos" w:eastAsia="Aptos" w:cs="Aptos"/>
          <w:noProof w:val="0"/>
          <w:sz w:val="22"/>
          <w:szCs w:val="22"/>
          <w:lang w:val="en-GB"/>
        </w:rPr>
        <w:t xml:space="preserve"> how factors such as engagement, inequality, and wellbeing shape overall experiences and outcomes. By analysing recurring patterns and synthesising evidence from multiple sources, the chapter showed how these themes collectively contribute to a deeper understanding of the issues at the centre of the dissertation.</w:t>
      </w:r>
    </w:p>
    <w:p w:rsidR="002865F5" w:rsidP="524D1DFC" w:rsidRDefault="002865F5" w14:paraId="4668C079" w14:textId="77A226E6">
      <w:pPr>
        <w:spacing w:before="240" w:beforeAutospacing="off" w:after="240" w:afterAutospacing="off"/>
      </w:pPr>
      <w:r w:rsidRPr="524D1DFC" w:rsidR="3CD811A4">
        <w:rPr>
          <w:rFonts w:ascii="Aptos" w:hAnsi="Aptos" w:eastAsia="Aptos" w:cs="Aptos"/>
          <w:noProof w:val="0"/>
          <w:sz w:val="22"/>
          <w:szCs w:val="22"/>
          <w:lang w:val="en-GB"/>
        </w:rPr>
        <w:t>The discussion also emphasised important relationships between the themes, illustrating how they overlap and interact to influence user behaviour, accessibility, and the broader digital or educational environment. This interconnectedness reinforces the value of a thematic approach, allowing for a nuanced interpretation that goes beyond isolated findings.</w:t>
      </w:r>
    </w:p>
    <w:p w:rsidR="002865F5" w:rsidP="524D1DFC" w:rsidRDefault="002865F5" w14:paraId="10E5E201" w14:textId="7CEE749A">
      <w:pPr>
        <w:spacing w:before="240" w:beforeAutospacing="off" w:after="240" w:afterAutospacing="off"/>
      </w:pPr>
      <w:r w:rsidRPr="524D1DFC" w:rsidR="3CD811A4">
        <w:rPr>
          <w:rFonts w:ascii="Aptos" w:hAnsi="Aptos" w:eastAsia="Aptos" w:cs="Aptos"/>
          <w:noProof w:val="0"/>
          <w:sz w:val="22"/>
          <w:szCs w:val="22"/>
          <w:lang w:val="en-GB"/>
        </w:rPr>
        <w:t xml:space="preserve">The following chapter will build on the insights presented here by providing a critical evaluation of current literature in relation to the dissertation’s focus. In doing so, </w:t>
      </w:r>
      <w:r w:rsidRPr="524D1DFC" w:rsidR="3CD811A4">
        <w:rPr>
          <w:rFonts w:ascii="Aptos" w:hAnsi="Aptos" w:eastAsia="Aptos" w:cs="Aptos"/>
          <w:b w:val="0"/>
          <w:bCs w:val="0"/>
          <w:noProof w:val="0"/>
          <w:sz w:val="22"/>
          <w:szCs w:val="22"/>
          <w:lang w:val="en-GB"/>
        </w:rPr>
        <w:t>Chapter 5 will examine the strengths, limitations, and gaps within existing research</w:t>
      </w:r>
      <w:r w:rsidRPr="524D1DFC" w:rsidR="3CD811A4">
        <w:rPr>
          <w:rFonts w:ascii="Aptos" w:hAnsi="Aptos" w:eastAsia="Aptos" w:cs="Aptos"/>
          <w:b w:val="0"/>
          <w:bCs w:val="0"/>
          <w:noProof w:val="0"/>
          <w:sz w:val="22"/>
          <w:szCs w:val="22"/>
          <w:lang w:val="en-GB"/>
        </w:rPr>
        <w:t>,</w:t>
      </w:r>
      <w:r w:rsidRPr="524D1DFC" w:rsidR="3CD811A4">
        <w:rPr>
          <w:rFonts w:ascii="Aptos" w:hAnsi="Aptos" w:eastAsia="Aptos" w:cs="Aptos"/>
          <w:noProof w:val="0"/>
          <w:sz w:val="22"/>
          <w:szCs w:val="22"/>
          <w:lang w:val="en-GB"/>
        </w:rPr>
        <w:t xml:space="preserve"> clarifying how the findings from this chapter align with or challenge wider academic perspectives. This transition ensures a coherent progression from analysis to critical reflection.</w:t>
      </w:r>
    </w:p>
    <w:p w:rsidR="002865F5" w:rsidP="00636D9A" w:rsidRDefault="002865F5" w14:paraId="436EC484" w14:textId="6C1E9A43"/>
    <w:p w:rsidR="002865F5" w:rsidP="00636D9A" w:rsidRDefault="002865F5" w14:paraId="41FC6567" w14:textId="77777777"/>
    <w:p w:rsidR="002865F5" w:rsidP="00636D9A" w:rsidRDefault="002865F5" w14:paraId="26B9159E" w14:textId="77777777"/>
    <w:p w:rsidR="002865F5" w:rsidP="00636D9A" w:rsidRDefault="002865F5" w14:paraId="17DBD8FE" w14:textId="77777777"/>
    <w:p w:rsidR="002865F5" w:rsidP="00636D9A" w:rsidRDefault="002865F5" w14:paraId="3AC5E236" w14:textId="77777777"/>
    <w:p w:rsidRPr="00636D9A" w:rsidR="00636D9A" w:rsidP="00636D9A" w:rsidRDefault="00636D9A" w14:paraId="519EB35A" w14:textId="3D137FF3">
      <w:pPr>
        <w:pStyle w:val="Heading1"/>
        <w:ind w:left="0"/>
        <w:rPr>
          <w:rFonts w:ascii="Aptos" w:hAnsi="Aptos"/>
        </w:rPr>
      </w:pPr>
      <w:bookmarkStart w:name="_Toc213058162" w:id="20"/>
      <w:r w:rsidRPr="524D1DFC" w:rsidR="71FE935E">
        <w:rPr>
          <w:rFonts w:ascii="Aptos" w:hAnsi="Aptos"/>
        </w:rPr>
        <w:t>C</w:t>
      </w:r>
      <w:r w:rsidRPr="524D1DFC" w:rsidR="71FE935E">
        <w:rPr>
          <w:rFonts w:ascii="Aptos" w:hAnsi="Aptos"/>
        </w:rPr>
        <w:t>HAPTER</w:t>
      </w:r>
      <w:r w:rsidRPr="524D1DFC" w:rsidR="71FE935E">
        <w:rPr>
          <w:rFonts w:ascii="Aptos" w:hAnsi="Aptos"/>
        </w:rPr>
        <w:t xml:space="preserve"> </w:t>
      </w:r>
      <w:r w:rsidRPr="524D1DFC" w:rsidR="71FE935E">
        <w:rPr>
          <w:rFonts w:ascii="Aptos" w:hAnsi="Aptos"/>
        </w:rPr>
        <w:t>5</w:t>
      </w:r>
      <w:r w:rsidRPr="524D1DFC" w:rsidR="71FE935E">
        <w:rPr>
          <w:rFonts w:ascii="Aptos" w:hAnsi="Aptos"/>
        </w:rPr>
        <w:t xml:space="preserve"> – </w:t>
      </w:r>
      <w:r w:rsidRPr="524D1DFC" w:rsidR="71FE935E">
        <w:rPr>
          <w:rFonts w:ascii="Aptos" w:hAnsi="Aptos"/>
        </w:rPr>
        <w:t>Conclusion and Recommendations</w:t>
      </w:r>
      <w:bookmarkEnd w:id="20"/>
    </w:p>
    <w:p w:rsidRPr="005C5E80" w:rsidR="00636D9A" w:rsidP="00636D9A" w:rsidRDefault="00636D9A" w14:paraId="5053749D" w14:textId="77777777"/>
    <w:p w:rsidRPr="000400E4" w:rsidR="000400E4" w:rsidP="524D1DFC" w:rsidRDefault="000400E4" w14:paraId="4D9926BD" w14:textId="7A08D4B3">
      <w:pPr>
        <w:pStyle w:val="Heading2"/>
      </w:pPr>
      <w:bookmarkStart w:name="_Toc213058163" w:id="21"/>
      <w:r w:rsidR="71FE935E">
        <w:rPr/>
        <w:t>5.1 – Overall Conclusion</w:t>
      </w:r>
      <w:bookmarkEnd w:id="21"/>
    </w:p>
    <w:p w:rsidR="524D1DFC" w:rsidP="524D1DFC" w:rsidRDefault="524D1DFC" w14:paraId="0230B15F" w14:textId="6B2348EB">
      <w:pPr>
        <w:pStyle w:val="Normal"/>
      </w:pPr>
    </w:p>
    <w:p w:rsidR="1DA31C22" w:rsidP="524D1DFC" w:rsidRDefault="1DA31C22" w14:paraId="57CA548D" w14:textId="26EAA298">
      <w:pPr>
        <w:pStyle w:val="Normal"/>
        <w:ind w:left="0"/>
      </w:pPr>
      <w:r w:rsidRPr="524D1DFC" w:rsidR="1DA31C22">
        <w:rPr>
          <w:rFonts w:ascii="Aptos" w:hAnsi="Aptos" w:eastAsia="Aptos" w:cs="Aptos"/>
          <w:noProof w:val="0"/>
          <w:sz w:val="22"/>
          <w:szCs w:val="22"/>
          <w:lang w:val="en-GB"/>
        </w:rPr>
        <w:t>This dissertation explored how chronically ill children are supported within educational settings, examining historical, theoretical, international, and UK</w:t>
      </w:r>
      <w:r w:rsidRPr="524D1DFC" w:rsidR="0B176C4F">
        <w:rPr>
          <w:rFonts w:ascii="Aptos" w:hAnsi="Aptos" w:eastAsia="Aptos" w:cs="Aptos"/>
          <w:noProof w:val="0"/>
          <w:sz w:val="22"/>
          <w:szCs w:val="22"/>
          <w:lang w:val="en-GB"/>
        </w:rPr>
        <w:t xml:space="preserve"> </w:t>
      </w:r>
      <w:r w:rsidRPr="524D1DFC" w:rsidR="1DA31C22">
        <w:rPr>
          <w:rFonts w:ascii="Aptos" w:hAnsi="Aptos" w:eastAsia="Aptos" w:cs="Aptos"/>
          <w:noProof w:val="0"/>
          <w:sz w:val="22"/>
          <w:szCs w:val="22"/>
          <w:lang w:val="en-GB"/>
        </w:rPr>
        <w:t>specific contexts to develop a comprehensive understanding of current provision.</w:t>
      </w:r>
    </w:p>
    <w:p w:rsidR="7911298A" w:rsidP="524D1DFC" w:rsidRDefault="7911298A" w14:paraId="044187EB" w14:textId="687AE6FC">
      <w:pPr>
        <w:spacing w:before="240" w:beforeAutospacing="off" w:after="240" w:afterAutospacing="off"/>
      </w:pPr>
      <w:r w:rsidRPr="524D1DFC" w:rsidR="7911298A">
        <w:rPr>
          <w:noProof w:val="0"/>
          <w:lang w:val="en-GB"/>
        </w:rPr>
        <w:t xml:space="preserve">The findings highlighted that while awareness and policy frameworks have strengthened over time, significant disparities in practice remain. The thematic analysis </w:t>
      </w:r>
      <w:r w:rsidRPr="524D1DFC" w:rsidR="7911298A">
        <w:rPr>
          <w:noProof w:val="0"/>
          <w:lang w:val="en-GB"/>
        </w:rPr>
        <w:t>demonstrated</w:t>
      </w:r>
      <w:r w:rsidRPr="524D1DFC" w:rsidR="7911298A">
        <w:rPr>
          <w:noProof w:val="0"/>
          <w:lang w:val="en-GB"/>
        </w:rPr>
        <w:t xml:space="preserve"> recurring challenges around educational inclusion, professional collaboration, and consistent wellbeing support, emphasising the complex and multifaceted needs of chronically ill learners.</w:t>
      </w:r>
    </w:p>
    <w:p w:rsidR="7911298A" w:rsidP="524D1DFC" w:rsidRDefault="7911298A" w14:paraId="71DCB129" w14:textId="5B2A5F18">
      <w:pPr>
        <w:spacing w:before="240" w:beforeAutospacing="off" w:after="240" w:afterAutospacing="off"/>
      </w:pPr>
      <w:r w:rsidRPr="524D1DFC" w:rsidR="7911298A">
        <w:rPr>
          <w:noProof w:val="0"/>
          <w:lang w:val="en-GB"/>
        </w:rPr>
        <w:t>The central aim</w:t>
      </w:r>
      <w:r w:rsidRPr="524D1DFC" w:rsidR="348D05C2">
        <w:rPr>
          <w:noProof w:val="0"/>
          <w:lang w:val="en-GB"/>
        </w:rPr>
        <w:t xml:space="preserve"> </w:t>
      </w:r>
      <w:r w:rsidRPr="524D1DFC" w:rsidR="7911298A">
        <w:rPr>
          <w:noProof w:val="0"/>
          <w:lang w:val="en-GB"/>
        </w:rPr>
        <w:t>to evaluate how educational settings support children with chronic illnesses</w:t>
      </w:r>
      <w:r w:rsidRPr="524D1DFC" w:rsidR="311972ED">
        <w:rPr>
          <w:noProof w:val="0"/>
          <w:lang w:val="en-GB"/>
        </w:rPr>
        <w:t xml:space="preserve"> </w:t>
      </w:r>
      <w:r w:rsidRPr="524D1DFC" w:rsidR="7911298A">
        <w:rPr>
          <w:noProof w:val="0"/>
          <w:lang w:val="en-GB"/>
        </w:rPr>
        <w:t xml:space="preserve">was addressed through systematic review and thematic evaluation. Each research </w:t>
      </w:r>
      <w:r w:rsidRPr="524D1DFC" w:rsidR="7911298A">
        <w:rPr>
          <w:noProof w:val="0"/>
          <w:lang w:val="en-GB"/>
        </w:rPr>
        <w:t>objective</w:t>
      </w:r>
      <w:r w:rsidRPr="524D1DFC" w:rsidR="7911298A">
        <w:rPr>
          <w:noProof w:val="0"/>
          <w:lang w:val="en-GB"/>
        </w:rPr>
        <w:t xml:space="preserve"> was </w:t>
      </w:r>
      <w:r w:rsidRPr="524D1DFC" w:rsidR="7911298A">
        <w:rPr>
          <w:noProof w:val="0"/>
          <w:lang w:val="en-GB"/>
        </w:rPr>
        <w:t>met:</w:t>
      </w:r>
      <w:r w:rsidRPr="524D1DFC" w:rsidR="7911298A">
        <w:rPr>
          <w:noProof w:val="0"/>
          <w:lang w:val="en-GB"/>
        </w:rPr>
        <w:t xml:space="preserve"> key terminology was defined, contextual background examined, and thematic findings analysed in relation to the wider literature. The study </w:t>
      </w:r>
      <w:r w:rsidRPr="524D1DFC" w:rsidR="7911298A">
        <w:rPr>
          <w:noProof w:val="0"/>
          <w:lang w:val="en-GB"/>
        </w:rPr>
        <w:t>demonstrated</w:t>
      </w:r>
      <w:r w:rsidRPr="524D1DFC" w:rsidR="7911298A">
        <w:rPr>
          <w:noProof w:val="0"/>
          <w:lang w:val="en-GB"/>
        </w:rPr>
        <w:t xml:space="preserve"> that although schools are increasingly guided by inclusive principles, implementation varies due to resource inequalities and differences in staff training. Overall, the research confirms that progress has been made, but more consistent, holistic, and collaborative approaches are still </w:t>
      </w:r>
      <w:r w:rsidRPr="524D1DFC" w:rsidR="7911298A">
        <w:rPr>
          <w:noProof w:val="0"/>
          <w:lang w:val="en-GB"/>
        </w:rPr>
        <w:t>required</w:t>
      </w:r>
      <w:r w:rsidRPr="524D1DFC" w:rsidR="7911298A">
        <w:rPr>
          <w:noProof w:val="0"/>
          <w:lang w:val="en-GB"/>
        </w:rPr>
        <w:t xml:space="preserve"> to ensure meaningful inclusion for chronically ill pupils.</w:t>
      </w:r>
    </w:p>
    <w:p w:rsidR="524D1DFC" w:rsidP="524D1DFC" w:rsidRDefault="524D1DFC" w14:paraId="1695B15B" w14:textId="4A39ABCC">
      <w:pPr>
        <w:pStyle w:val="Normal"/>
      </w:pPr>
    </w:p>
    <w:p w:rsidRPr="005C5E80" w:rsidR="00636D9A" w:rsidP="003B1E32" w:rsidRDefault="00636D9A" w14:paraId="48005ABF" w14:textId="271E09D4">
      <w:pPr>
        <w:pStyle w:val="Heading2"/>
      </w:pPr>
      <w:bookmarkStart w:name="_Toc213058164" w:id="22"/>
      <w:r w:rsidR="71FE935E">
        <w:rPr/>
        <w:t>5.</w:t>
      </w:r>
      <w:r w:rsidR="06E5547C">
        <w:rPr/>
        <w:t>2</w:t>
      </w:r>
      <w:r w:rsidR="71FE935E">
        <w:rPr/>
        <w:t xml:space="preserve"> – </w:t>
      </w:r>
      <w:r w:rsidR="06E5547C">
        <w:rPr/>
        <w:t>Recommendations</w:t>
      </w:r>
      <w:bookmarkEnd w:id="22"/>
      <w:r w:rsidR="71FE935E">
        <w:rPr/>
        <w:t xml:space="preserve"> </w:t>
      </w:r>
    </w:p>
    <w:p w:rsidRPr="005C5E80" w:rsidR="00636D9A" w:rsidRDefault="00636D9A" w14:paraId="71010707" w14:textId="77777777"/>
    <w:p w:rsidRPr="005C5E80" w:rsidR="005C5E80" w:rsidP="005C5E80" w:rsidRDefault="005C5E80" w14:paraId="6599D6CF" w14:textId="77777777"/>
    <w:p w:rsidR="06E5547C" w:rsidP="524D1DFC" w:rsidRDefault="06E5547C" w14:paraId="49587FCF" w14:textId="2526A325">
      <w:pPr>
        <w:pStyle w:val="Heading1"/>
        <w:rPr>
          <w:b w:val="1"/>
          <w:bCs w:val="1"/>
          <w:noProof w:val="0"/>
          <w:sz w:val="28"/>
          <w:szCs w:val="28"/>
          <w:lang w:val="en-GB"/>
        </w:rPr>
      </w:pPr>
      <w:bookmarkStart w:name="_Toc213058165" w:id="23"/>
      <w:r w:rsidRPr="524D1DFC" w:rsidR="06E5547C">
        <w:rPr>
          <w:rFonts w:ascii="Aptos" w:hAnsi="Aptos"/>
          <w:sz w:val="28"/>
          <w:szCs w:val="28"/>
        </w:rPr>
        <w:t>5.2.1 – Recommendation 1</w:t>
      </w:r>
      <w:bookmarkEnd w:id="23"/>
      <w:r w:rsidRPr="524D1DFC" w:rsidR="06E5547C">
        <w:rPr>
          <w:rFonts w:ascii="Aptos" w:hAnsi="Aptos"/>
          <w:sz w:val="28"/>
          <w:szCs w:val="28"/>
        </w:rPr>
        <w:t xml:space="preserve"> </w:t>
      </w:r>
      <w:r w:rsidRPr="524D1DFC" w:rsidR="5A92E367">
        <w:rPr>
          <w:rFonts w:ascii="Aptos" w:hAnsi="Aptos"/>
          <w:sz w:val="28"/>
          <w:szCs w:val="28"/>
        </w:rPr>
        <w:t xml:space="preserve">- </w:t>
      </w:r>
      <w:r w:rsidRPr="524D1DFC" w:rsidR="28552150">
        <w:rPr>
          <w:b w:val="1"/>
          <w:bCs w:val="1"/>
          <w:noProof w:val="0"/>
          <w:sz w:val="28"/>
          <w:szCs w:val="28"/>
          <w:lang w:val="en-GB"/>
        </w:rPr>
        <w:t>Strengthen</w:t>
      </w:r>
      <w:r w:rsidRPr="524D1DFC" w:rsidR="28552150">
        <w:rPr>
          <w:b w:val="1"/>
          <w:bCs w:val="1"/>
          <w:noProof w:val="0"/>
          <w:sz w:val="28"/>
          <w:szCs w:val="28"/>
          <w:lang w:val="en-GB"/>
        </w:rPr>
        <w:t xml:space="preserve"> Multi-Agency</w:t>
      </w:r>
      <w:r w:rsidRPr="524D1DFC" w:rsidR="28552150">
        <w:rPr>
          <w:b w:val="1"/>
          <w:bCs w:val="1"/>
          <w:noProof w:val="0"/>
          <w:sz w:val="28"/>
          <w:szCs w:val="28"/>
          <w:lang w:val="en-GB"/>
        </w:rPr>
        <w:t xml:space="preserve"> Collaboration Between Education and Health Services</w:t>
      </w:r>
    </w:p>
    <w:p w:rsidR="28552150" w:rsidP="524D1DFC" w:rsidRDefault="28552150" w14:paraId="495100FC" w14:textId="1D1F7364">
      <w:pPr>
        <w:pStyle w:val="Heading3"/>
        <w:spacing w:before="281" w:beforeAutospacing="off" w:after="281" w:afterAutospacing="off"/>
      </w:pPr>
      <w:r w:rsidRPr="524D1DFC" w:rsidR="28552150">
        <w:rPr>
          <w:b w:val="1"/>
          <w:bCs w:val="1"/>
          <w:noProof w:val="0"/>
          <w:sz w:val="28"/>
          <w:szCs w:val="28"/>
          <w:lang w:val="en-GB"/>
        </w:rPr>
        <w:t>Rationale</w:t>
      </w:r>
    </w:p>
    <w:p w:rsidR="28552150" w:rsidP="524D1DFC" w:rsidRDefault="28552150" w14:paraId="0B6B65D6" w14:textId="11AC7289">
      <w:pPr>
        <w:spacing w:before="240" w:beforeAutospacing="off" w:after="240" w:afterAutospacing="off"/>
      </w:pPr>
      <w:r w:rsidRPr="524D1DFC" w:rsidR="28552150">
        <w:rPr>
          <w:noProof w:val="0"/>
          <w:lang w:val="en-GB"/>
        </w:rPr>
        <w:t>A key finding in the research is that effective support for chronically ill children depends heavily on coordinated input from health, education, and family stakeholders. Strengthening multi-agency collaboration ensures schools receive accurate, timely medical advice and individualised guidance, enabling them to implement appropriate adjustments (Moss, 2021). When communication between services is consistent, children experience smoother transitions and fewer disruptions in their education (Wainwright et al., 2019).</w:t>
      </w:r>
    </w:p>
    <w:p w:rsidR="28552150" w:rsidP="524D1DFC" w:rsidRDefault="28552150" w14:paraId="70A06FFD" w14:textId="6186DE13">
      <w:pPr>
        <w:pStyle w:val="Heading3"/>
        <w:spacing w:before="281" w:beforeAutospacing="off" w:after="281" w:afterAutospacing="off"/>
      </w:pPr>
      <w:r w:rsidRPr="524D1DFC" w:rsidR="28552150">
        <w:rPr>
          <w:b w:val="1"/>
          <w:bCs w:val="1"/>
          <w:noProof w:val="0"/>
          <w:sz w:val="28"/>
          <w:szCs w:val="28"/>
          <w:lang w:val="en-GB"/>
        </w:rPr>
        <w:t>Proposed Actions</w:t>
      </w:r>
    </w:p>
    <w:p w:rsidR="28552150" w:rsidP="524D1DFC" w:rsidRDefault="28552150" w14:paraId="7BBAA479" w14:textId="59038824">
      <w:pPr>
        <w:pStyle w:val="ListParagraph"/>
        <w:numPr>
          <w:ilvl w:val="0"/>
          <w:numId w:val="107"/>
        </w:numPr>
        <w:spacing w:before="240" w:beforeAutospacing="off" w:after="240" w:afterAutospacing="off"/>
        <w:rPr>
          <w:noProof w:val="0"/>
          <w:lang w:val="en-GB"/>
        </w:rPr>
      </w:pPr>
      <w:r w:rsidRPr="524D1DFC" w:rsidR="28552150">
        <w:rPr>
          <w:noProof w:val="0"/>
          <w:lang w:val="en-GB"/>
        </w:rPr>
        <w:t>Establish regular scheduled communication between schools and healthcare professionals (e.g., termly review meetings).</w:t>
      </w:r>
    </w:p>
    <w:p w:rsidR="28552150" w:rsidP="524D1DFC" w:rsidRDefault="28552150" w14:paraId="6DCB4BED" w14:textId="56E6F3B2">
      <w:pPr>
        <w:pStyle w:val="ListParagraph"/>
        <w:numPr>
          <w:ilvl w:val="0"/>
          <w:numId w:val="107"/>
        </w:numPr>
        <w:spacing w:before="240" w:beforeAutospacing="off" w:after="240" w:afterAutospacing="off"/>
        <w:rPr>
          <w:noProof w:val="0"/>
          <w:lang w:val="en-GB"/>
        </w:rPr>
      </w:pPr>
      <w:r w:rsidRPr="524D1DFC" w:rsidR="28552150">
        <w:rPr>
          <w:noProof w:val="0"/>
          <w:lang w:val="en-GB"/>
        </w:rPr>
        <w:t>Introduce digital health</w:t>
      </w:r>
      <w:r w:rsidRPr="524D1DFC" w:rsidR="15CAB30A">
        <w:rPr>
          <w:noProof w:val="0"/>
          <w:lang w:val="en-GB"/>
        </w:rPr>
        <w:t xml:space="preserve"> </w:t>
      </w:r>
      <w:r w:rsidRPr="524D1DFC" w:rsidR="28552150">
        <w:rPr>
          <w:noProof w:val="0"/>
          <w:lang w:val="en-GB"/>
        </w:rPr>
        <w:t>education communication platforms enabling secure updates between NHS staff and school SENCo teams.</w:t>
      </w:r>
    </w:p>
    <w:p w:rsidR="28552150" w:rsidP="524D1DFC" w:rsidRDefault="28552150" w14:paraId="3AA7EC47" w14:textId="5B2BBE6F">
      <w:pPr>
        <w:pStyle w:val="ListParagraph"/>
        <w:numPr>
          <w:ilvl w:val="0"/>
          <w:numId w:val="107"/>
        </w:numPr>
        <w:spacing w:before="240" w:beforeAutospacing="off" w:after="240" w:afterAutospacing="off"/>
        <w:rPr>
          <w:noProof w:val="0"/>
          <w:lang w:val="en-GB"/>
        </w:rPr>
      </w:pPr>
      <w:r w:rsidRPr="524D1DFC" w:rsidR="28552150">
        <w:rPr>
          <w:noProof w:val="0"/>
          <w:lang w:val="en-GB"/>
        </w:rPr>
        <w:t>Provide staff training on multi-agency working protocols.</w:t>
      </w:r>
    </w:p>
    <w:p w:rsidR="28552150" w:rsidP="524D1DFC" w:rsidRDefault="28552150" w14:paraId="2CA62618" w14:textId="237E7072">
      <w:pPr>
        <w:pStyle w:val="Heading3"/>
        <w:spacing w:before="281" w:beforeAutospacing="off" w:after="281" w:afterAutospacing="off"/>
      </w:pPr>
      <w:r w:rsidRPr="524D1DFC" w:rsidR="28552150">
        <w:rPr>
          <w:b w:val="1"/>
          <w:bCs w:val="1"/>
          <w:noProof w:val="0"/>
          <w:sz w:val="28"/>
          <w:szCs w:val="28"/>
          <w:lang w:val="en-GB"/>
        </w:rPr>
        <w:t>Barriers and Limitations</w:t>
      </w:r>
    </w:p>
    <w:p w:rsidR="28552150" w:rsidP="524D1DFC" w:rsidRDefault="28552150" w14:paraId="7514C34F" w14:textId="01CEA169">
      <w:pPr>
        <w:spacing w:before="240" w:beforeAutospacing="off" w:after="240" w:afterAutospacing="off"/>
      </w:pPr>
      <w:r w:rsidRPr="524D1DFC" w:rsidR="28552150">
        <w:rPr>
          <w:noProof w:val="0"/>
          <w:lang w:val="en-GB"/>
        </w:rPr>
        <w:t>One major b</w:t>
      </w:r>
      <w:r w:rsidRPr="524D1DFC" w:rsidR="28552150">
        <w:rPr>
          <w:b w:val="0"/>
          <w:bCs w:val="0"/>
          <w:noProof w:val="0"/>
          <w:lang w:val="en-GB"/>
        </w:rPr>
        <w:t>arrier is the</w:t>
      </w:r>
      <w:r w:rsidRPr="524D1DFC" w:rsidR="28552150">
        <w:rPr>
          <w:b w:val="0"/>
          <w:bCs w:val="0"/>
          <w:noProof w:val="0"/>
          <w:lang w:val="en-GB"/>
        </w:rPr>
        <w:t xml:space="preserve"> </w:t>
      </w:r>
      <w:r w:rsidRPr="524D1DFC" w:rsidR="28552150">
        <w:rPr>
          <w:b w:val="0"/>
          <w:bCs w:val="0"/>
          <w:noProof w:val="0"/>
          <w:lang w:val="en-GB"/>
        </w:rPr>
        <w:t>t</w:t>
      </w:r>
      <w:r w:rsidRPr="524D1DFC" w:rsidR="28552150">
        <w:rPr>
          <w:b w:val="0"/>
          <w:bCs w:val="0"/>
          <w:noProof w:val="0"/>
          <w:lang w:val="en-GB"/>
        </w:rPr>
        <w:t>ime and</w:t>
      </w:r>
      <w:r w:rsidRPr="524D1DFC" w:rsidR="28552150">
        <w:rPr>
          <w:b w:val="0"/>
          <w:bCs w:val="0"/>
          <w:noProof w:val="0"/>
          <w:lang w:val="en-GB"/>
        </w:rPr>
        <w:t xml:space="preserve"> resource constraints</w:t>
      </w:r>
      <w:r w:rsidRPr="524D1DFC" w:rsidR="28552150">
        <w:rPr>
          <w:b w:val="0"/>
          <w:bCs w:val="0"/>
          <w:noProof w:val="0"/>
          <w:lang w:val="en-GB"/>
        </w:rPr>
        <w:t xml:space="preserve"> </w:t>
      </w:r>
      <w:r w:rsidRPr="524D1DFC" w:rsidR="28552150">
        <w:rPr>
          <w:noProof w:val="0"/>
          <w:lang w:val="en-GB"/>
        </w:rPr>
        <w:t>faced by both schools and healthcare providers. Teachers already manage significant workloads, making frequent communication difficult. Similarly, NHS staff may not have designated time for school liaison work (Wilkinson and Nairn, 2020).</w:t>
      </w:r>
    </w:p>
    <w:p w:rsidR="28552150" w:rsidP="524D1DFC" w:rsidRDefault="28552150" w14:paraId="37648200" w14:textId="62EF8892">
      <w:pPr>
        <w:spacing w:before="240" w:beforeAutospacing="off" w:after="240" w:afterAutospacing="off"/>
      </w:pPr>
      <w:r w:rsidRPr="524D1DFC" w:rsidR="28552150">
        <w:rPr>
          <w:noProof w:val="0"/>
          <w:lang w:val="en-GB"/>
        </w:rPr>
        <w:t>Another limitation is</w:t>
      </w:r>
      <w:r w:rsidRPr="524D1DFC" w:rsidR="28552150">
        <w:rPr>
          <w:b w:val="0"/>
          <w:bCs w:val="0"/>
          <w:noProof w:val="0"/>
          <w:lang w:val="en-GB"/>
        </w:rPr>
        <w:t xml:space="preserve"> </w:t>
      </w:r>
      <w:r w:rsidRPr="524D1DFC" w:rsidR="28552150">
        <w:rPr>
          <w:b w:val="0"/>
          <w:bCs w:val="0"/>
          <w:noProof w:val="0"/>
          <w:lang w:val="en-GB"/>
        </w:rPr>
        <w:t>inconsistent inter-agency protocols</w:t>
      </w:r>
      <w:r w:rsidRPr="524D1DFC" w:rsidR="28552150">
        <w:rPr>
          <w:b w:val="0"/>
          <w:bCs w:val="0"/>
          <w:noProof w:val="0"/>
          <w:lang w:val="en-GB"/>
        </w:rPr>
        <w:t xml:space="preserve"> </w:t>
      </w:r>
      <w:r w:rsidRPr="524D1DFC" w:rsidR="28552150">
        <w:rPr>
          <w:noProof w:val="0"/>
          <w:lang w:val="en-GB"/>
        </w:rPr>
        <w:t>across different local authorities, leading to variable quality of collaboration.</w:t>
      </w:r>
    </w:p>
    <w:p w:rsidR="28552150" w:rsidP="524D1DFC" w:rsidRDefault="28552150" w14:paraId="5CCF2256" w14:textId="1273662F">
      <w:pPr>
        <w:pStyle w:val="Heading3"/>
        <w:spacing w:before="281" w:beforeAutospacing="off" w:after="281" w:afterAutospacing="off"/>
      </w:pPr>
      <w:r w:rsidRPr="524D1DFC" w:rsidR="28552150">
        <w:rPr>
          <w:b w:val="1"/>
          <w:bCs w:val="1"/>
          <w:noProof w:val="0"/>
          <w:sz w:val="28"/>
          <w:szCs w:val="28"/>
          <w:lang w:val="en-GB"/>
        </w:rPr>
        <w:t>Overcoming Barriers</w:t>
      </w:r>
    </w:p>
    <w:p w:rsidR="28552150" w:rsidP="524D1DFC" w:rsidRDefault="28552150" w14:paraId="1BAA4809" w14:textId="78FF7A0E">
      <w:pPr>
        <w:pStyle w:val="ListParagraph"/>
        <w:numPr>
          <w:ilvl w:val="0"/>
          <w:numId w:val="108"/>
        </w:numPr>
        <w:spacing w:before="240" w:beforeAutospacing="off" w:after="240" w:afterAutospacing="off"/>
        <w:rPr>
          <w:noProof w:val="0"/>
          <w:lang w:val="en-GB"/>
        </w:rPr>
      </w:pPr>
      <w:r w:rsidRPr="524D1DFC" w:rsidR="28552150">
        <w:rPr>
          <w:noProof w:val="0"/>
          <w:lang w:val="en-GB"/>
        </w:rPr>
        <w:t>Local authorities can provide designated “medical needs coordinators” to streamline communication.</w:t>
      </w:r>
    </w:p>
    <w:p w:rsidR="28552150" w:rsidP="524D1DFC" w:rsidRDefault="28552150" w14:paraId="34ECE33A" w14:textId="219F722B">
      <w:pPr>
        <w:pStyle w:val="ListParagraph"/>
        <w:numPr>
          <w:ilvl w:val="0"/>
          <w:numId w:val="108"/>
        </w:numPr>
        <w:spacing w:before="240" w:beforeAutospacing="off" w:after="240" w:afterAutospacing="off"/>
        <w:rPr>
          <w:noProof w:val="0"/>
          <w:lang w:val="en-GB"/>
        </w:rPr>
      </w:pPr>
      <w:r w:rsidRPr="524D1DFC" w:rsidR="28552150">
        <w:rPr>
          <w:noProof w:val="0"/>
          <w:lang w:val="en-GB"/>
        </w:rPr>
        <w:t>Schools can embed multi-agency communication into existing SEND review processes to minimise additional workload.</w:t>
      </w:r>
    </w:p>
    <w:p w:rsidR="28552150" w:rsidP="524D1DFC" w:rsidRDefault="28552150" w14:paraId="03049446" w14:textId="74F0662B">
      <w:pPr>
        <w:pStyle w:val="ListParagraph"/>
        <w:numPr>
          <w:ilvl w:val="0"/>
          <w:numId w:val="108"/>
        </w:numPr>
        <w:spacing w:before="240" w:beforeAutospacing="off" w:after="240" w:afterAutospacing="off"/>
        <w:rPr>
          <w:noProof w:val="0"/>
          <w:lang w:val="en-GB"/>
        </w:rPr>
      </w:pPr>
      <w:r w:rsidRPr="524D1DFC" w:rsidR="28552150">
        <w:rPr>
          <w:noProof w:val="0"/>
          <w:lang w:val="en-GB"/>
        </w:rPr>
        <w:t>National guidance should be strengthened to standardise expectations for health–education cooperation.</w:t>
      </w:r>
    </w:p>
    <w:p w:rsidR="524D1DFC" w:rsidP="524D1DFC" w:rsidRDefault="524D1DFC" w14:paraId="284A1238" w14:textId="63BE9B7D">
      <w:pPr>
        <w:pStyle w:val="Heading1"/>
        <w:rPr>
          <w:rFonts w:ascii="Aptos" w:hAnsi="Aptos"/>
          <w:sz w:val="28"/>
          <w:szCs w:val="28"/>
        </w:rPr>
      </w:pPr>
    </w:p>
    <w:p w:rsidRPr="005C5E80" w:rsidR="005C5E80" w:rsidP="005C5E80" w:rsidRDefault="005C5E80" w14:paraId="4263DD9E" w14:textId="77777777">
      <w:pPr>
        <w:pStyle w:val="Heading1"/>
        <w:rPr>
          <w:rFonts w:ascii="Aptos" w:hAnsi="Aptos"/>
          <w:sz w:val="28"/>
          <w:szCs w:val="28"/>
        </w:rPr>
      </w:pPr>
    </w:p>
    <w:p w:rsidR="06E5547C" w:rsidP="524D1DFC" w:rsidRDefault="06E5547C" w14:paraId="59D15594" w14:textId="27B275E8">
      <w:pPr>
        <w:pStyle w:val="Heading1"/>
        <w:rPr>
          <w:rFonts w:ascii="Aptos" w:hAnsi="Aptos"/>
          <w:sz w:val="28"/>
          <w:szCs w:val="28"/>
        </w:rPr>
      </w:pPr>
      <w:bookmarkStart w:name="_Toc213058166" w:id="24"/>
      <w:r w:rsidRPr="524D1DFC" w:rsidR="06E5547C">
        <w:rPr>
          <w:rFonts w:ascii="Aptos" w:hAnsi="Aptos"/>
          <w:sz w:val="28"/>
          <w:szCs w:val="28"/>
        </w:rPr>
        <w:t>5.2.2 – Recommendation 2</w:t>
      </w:r>
      <w:bookmarkEnd w:id="24"/>
      <w:r w:rsidRPr="524D1DFC" w:rsidR="06E5547C">
        <w:rPr>
          <w:rFonts w:ascii="Aptos" w:hAnsi="Aptos"/>
          <w:sz w:val="28"/>
          <w:szCs w:val="28"/>
        </w:rPr>
        <w:t xml:space="preserve"> </w:t>
      </w:r>
      <w:r w:rsidRPr="524D1DFC" w:rsidR="012A1928">
        <w:rPr>
          <w:rFonts w:ascii="Aptos" w:hAnsi="Aptos"/>
          <w:sz w:val="28"/>
          <w:szCs w:val="28"/>
        </w:rPr>
        <w:t xml:space="preserve">- </w:t>
      </w:r>
      <w:r w:rsidRPr="524D1DFC" w:rsidR="7E9C8267">
        <w:rPr>
          <w:b w:val="1"/>
          <w:bCs w:val="1"/>
          <w:noProof w:val="0"/>
          <w:sz w:val="28"/>
          <w:szCs w:val="28"/>
          <w:lang w:val="en-GB"/>
        </w:rPr>
        <w:t>Improve Teacher Training on Chronic Illness and Inclusive Practice</w:t>
      </w:r>
    </w:p>
    <w:p w:rsidR="7E9C8267" w:rsidP="524D1DFC" w:rsidRDefault="7E9C8267" w14:paraId="393F89B2" w14:textId="28EC507F">
      <w:pPr>
        <w:pStyle w:val="Heading3"/>
        <w:spacing w:before="281" w:beforeAutospacing="off" w:after="281" w:afterAutospacing="off"/>
      </w:pPr>
      <w:r w:rsidRPr="524D1DFC" w:rsidR="7E9C8267">
        <w:rPr>
          <w:b w:val="1"/>
          <w:bCs w:val="1"/>
          <w:noProof w:val="0"/>
          <w:sz w:val="28"/>
          <w:szCs w:val="28"/>
          <w:lang w:val="en-GB"/>
        </w:rPr>
        <w:t>Rationale</w:t>
      </w:r>
    </w:p>
    <w:p w:rsidR="7E9C8267" w:rsidP="524D1DFC" w:rsidRDefault="7E9C8267" w14:paraId="66E0FB4C" w14:textId="19DCEAF8">
      <w:pPr>
        <w:spacing w:before="240" w:beforeAutospacing="off" w:after="240" w:afterAutospacing="off"/>
      </w:pPr>
      <w:r w:rsidRPr="524D1DFC" w:rsidR="7E9C8267">
        <w:rPr>
          <w:noProof w:val="0"/>
          <w:lang w:val="en-GB"/>
        </w:rPr>
        <w:t>Many teachers report feeling underprepared to support chronically ill pupils, lacking both medical understanding and confidence in creating appropriate classroom adjustments (Strand, 2020). Improved training would enhance staff competency, reduce misconceptions, and promote more consistent support across schools. Training can also help teachers better recognise fluctuating symptoms and the impact of treatment on learning (Long and Appleton, 2021).</w:t>
      </w:r>
    </w:p>
    <w:p w:rsidR="7E9C8267" w:rsidP="524D1DFC" w:rsidRDefault="7E9C8267" w14:paraId="69447118" w14:textId="01129234">
      <w:pPr>
        <w:pStyle w:val="Heading3"/>
        <w:spacing w:before="281" w:beforeAutospacing="off" w:after="281" w:afterAutospacing="off"/>
      </w:pPr>
      <w:r w:rsidRPr="524D1DFC" w:rsidR="7E9C8267">
        <w:rPr>
          <w:b w:val="1"/>
          <w:bCs w:val="1"/>
          <w:noProof w:val="0"/>
          <w:sz w:val="28"/>
          <w:szCs w:val="28"/>
          <w:lang w:val="en-GB"/>
        </w:rPr>
        <w:t>Proposed Actions</w:t>
      </w:r>
    </w:p>
    <w:p w:rsidR="7E9C8267" w:rsidP="524D1DFC" w:rsidRDefault="7E9C8267" w14:paraId="60A63B95" w14:textId="66382C95">
      <w:pPr>
        <w:pStyle w:val="ListParagraph"/>
        <w:numPr>
          <w:ilvl w:val="0"/>
          <w:numId w:val="109"/>
        </w:numPr>
        <w:spacing w:before="240" w:beforeAutospacing="off" w:after="240" w:afterAutospacing="off"/>
        <w:rPr>
          <w:noProof w:val="0"/>
          <w:lang w:val="en-GB"/>
        </w:rPr>
      </w:pPr>
      <w:r w:rsidRPr="524D1DFC" w:rsidR="7E9C8267">
        <w:rPr>
          <w:noProof w:val="0"/>
          <w:lang w:val="en-GB"/>
        </w:rPr>
        <w:t>Integrate training on chronic illnesses into initial teacher education (ITE) programmes.</w:t>
      </w:r>
    </w:p>
    <w:p w:rsidR="7E9C8267" w:rsidP="524D1DFC" w:rsidRDefault="7E9C8267" w14:paraId="45A59556" w14:textId="38131343">
      <w:pPr>
        <w:pStyle w:val="ListParagraph"/>
        <w:numPr>
          <w:ilvl w:val="0"/>
          <w:numId w:val="109"/>
        </w:numPr>
        <w:spacing w:before="240" w:beforeAutospacing="off" w:after="240" w:afterAutospacing="off"/>
        <w:rPr>
          <w:noProof w:val="0"/>
          <w:lang w:val="en-GB"/>
        </w:rPr>
      </w:pPr>
      <w:r w:rsidRPr="524D1DFC" w:rsidR="7E9C8267">
        <w:rPr>
          <w:noProof w:val="0"/>
          <w:lang w:val="en-GB"/>
        </w:rPr>
        <w:t>Offer ongoing professional development sessions led by healthcare professionals or condition-specific charities (e.g., Asthma UK, Diabetes UK).</w:t>
      </w:r>
    </w:p>
    <w:p w:rsidR="7E9C8267" w:rsidP="524D1DFC" w:rsidRDefault="7E9C8267" w14:paraId="6300ED1F" w14:textId="28C4915C">
      <w:pPr>
        <w:pStyle w:val="ListParagraph"/>
        <w:numPr>
          <w:ilvl w:val="0"/>
          <w:numId w:val="109"/>
        </w:numPr>
        <w:spacing w:before="240" w:beforeAutospacing="off" w:after="240" w:afterAutospacing="off"/>
        <w:rPr>
          <w:noProof w:val="0"/>
          <w:lang w:val="en-GB"/>
        </w:rPr>
      </w:pPr>
      <w:r w:rsidRPr="524D1DFC" w:rsidR="7E9C8267">
        <w:rPr>
          <w:noProof w:val="0"/>
          <w:lang w:val="en-GB"/>
        </w:rPr>
        <w:t>Develop accessible online modules for staff, reducing time pressure and offering flexibility.</w:t>
      </w:r>
    </w:p>
    <w:p w:rsidR="7E9C8267" w:rsidP="524D1DFC" w:rsidRDefault="7E9C8267" w14:paraId="12777EBB" w14:textId="5455D696">
      <w:pPr>
        <w:pStyle w:val="Heading3"/>
        <w:spacing w:before="281" w:beforeAutospacing="off" w:after="281" w:afterAutospacing="off"/>
      </w:pPr>
      <w:r w:rsidRPr="524D1DFC" w:rsidR="7E9C8267">
        <w:rPr>
          <w:b w:val="1"/>
          <w:bCs w:val="1"/>
          <w:noProof w:val="0"/>
          <w:sz w:val="28"/>
          <w:szCs w:val="28"/>
          <w:lang w:val="en-GB"/>
        </w:rPr>
        <w:t>Barriers and Limitations</w:t>
      </w:r>
    </w:p>
    <w:p w:rsidR="7E9C8267" w:rsidP="524D1DFC" w:rsidRDefault="7E9C8267" w14:paraId="1ED78F6D" w14:textId="599852A9">
      <w:pPr>
        <w:spacing w:before="240" w:beforeAutospacing="off" w:after="240" w:afterAutospacing="off"/>
      </w:pPr>
      <w:r w:rsidRPr="524D1DFC" w:rsidR="7E9C8267">
        <w:rPr>
          <w:noProof w:val="0"/>
          <w:lang w:val="en-GB"/>
        </w:rPr>
        <w:t xml:space="preserve">One significant barrier is </w:t>
      </w:r>
      <w:r w:rsidRPr="524D1DFC" w:rsidR="7E9C8267">
        <w:rPr>
          <w:b w:val="0"/>
          <w:bCs w:val="0"/>
          <w:noProof w:val="0"/>
          <w:lang w:val="en-GB"/>
        </w:rPr>
        <w:t>limited school budgets</w:t>
      </w:r>
      <w:r w:rsidRPr="524D1DFC" w:rsidR="7E9C8267">
        <w:rPr>
          <w:b w:val="0"/>
          <w:bCs w:val="0"/>
          <w:noProof w:val="0"/>
          <w:lang w:val="en-GB"/>
        </w:rPr>
        <w:t>,</w:t>
      </w:r>
      <w:r w:rsidRPr="524D1DFC" w:rsidR="7E9C8267">
        <w:rPr>
          <w:noProof w:val="0"/>
          <w:lang w:val="en-GB"/>
        </w:rPr>
        <w:t xml:space="preserve"> which may restrict access to external training programmes. Teachers may also perceive medical-focused training as beyond their remit, leading to low engagement (Beckmann, 2021). Additionally, chronic illnesses vary widely, making it difficult to provide training that addresses every condition adequately.</w:t>
      </w:r>
    </w:p>
    <w:p w:rsidR="7E9C8267" w:rsidP="524D1DFC" w:rsidRDefault="7E9C8267" w14:paraId="56909DD2" w14:textId="794997D5">
      <w:pPr>
        <w:pStyle w:val="Heading3"/>
        <w:spacing w:before="281" w:beforeAutospacing="off" w:after="281" w:afterAutospacing="off"/>
      </w:pPr>
      <w:r w:rsidRPr="524D1DFC" w:rsidR="7E9C8267">
        <w:rPr>
          <w:b w:val="1"/>
          <w:bCs w:val="1"/>
          <w:noProof w:val="0"/>
          <w:sz w:val="28"/>
          <w:szCs w:val="28"/>
          <w:lang w:val="en-GB"/>
        </w:rPr>
        <w:t>Overcoming Barriers</w:t>
      </w:r>
    </w:p>
    <w:p w:rsidR="7E9C8267" w:rsidP="524D1DFC" w:rsidRDefault="7E9C8267" w14:paraId="3A303FD7" w14:textId="408A01B8">
      <w:pPr>
        <w:pStyle w:val="ListParagraph"/>
        <w:numPr>
          <w:ilvl w:val="0"/>
          <w:numId w:val="110"/>
        </w:numPr>
        <w:spacing w:before="240" w:beforeAutospacing="off" w:after="240" w:afterAutospacing="off"/>
        <w:rPr>
          <w:noProof w:val="0"/>
          <w:lang w:val="en-GB"/>
        </w:rPr>
      </w:pPr>
      <w:r w:rsidRPr="524D1DFC" w:rsidR="7E9C8267">
        <w:rPr>
          <w:noProof w:val="0"/>
          <w:lang w:val="en-GB"/>
        </w:rPr>
        <w:t>Schools can collaborate with charities that offer</w:t>
      </w:r>
      <w:r w:rsidRPr="524D1DFC" w:rsidR="7E9C8267">
        <w:rPr>
          <w:b w:val="0"/>
          <w:bCs w:val="0"/>
          <w:noProof w:val="0"/>
          <w:lang w:val="en-GB"/>
        </w:rPr>
        <w:t xml:space="preserve"> </w:t>
      </w:r>
      <w:r w:rsidRPr="524D1DFC" w:rsidR="7E9C8267">
        <w:rPr>
          <w:b w:val="0"/>
          <w:bCs w:val="0"/>
          <w:noProof w:val="0"/>
          <w:lang w:val="en-GB"/>
        </w:rPr>
        <w:t>free or low-cost</w:t>
      </w:r>
      <w:r w:rsidRPr="524D1DFC" w:rsidR="7E9C8267">
        <w:rPr>
          <w:b w:val="0"/>
          <w:bCs w:val="0"/>
          <w:noProof w:val="0"/>
          <w:lang w:val="en-GB"/>
        </w:rPr>
        <w:t xml:space="preserve"> </w:t>
      </w:r>
      <w:r w:rsidRPr="524D1DFC" w:rsidR="7E9C8267">
        <w:rPr>
          <w:noProof w:val="0"/>
          <w:lang w:val="en-GB"/>
        </w:rPr>
        <w:t>training resources.</w:t>
      </w:r>
    </w:p>
    <w:p w:rsidR="7E9C8267" w:rsidP="524D1DFC" w:rsidRDefault="7E9C8267" w14:paraId="4E6A899F" w14:textId="1C238D59">
      <w:pPr>
        <w:pStyle w:val="ListParagraph"/>
        <w:numPr>
          <w:ilvl w:val="0"/>
          <w:numId w:val="110"/>
        </w:numPr>
        <w:spacing w:before="240" w:beforeAutospacing="off" w:after="240" w:afterAutospacing="off"/>
        <w:rPr>
          <w:noProof w:val="0"/>
          <w:lang w:val="en-GB"/>
        </w:rPr>
      </w:pPr>
      <w:r w:rsidRPr="524D1DFC" w:rsidR="7E9C8267">
        <w:rPr>
          <w:noProof w:val="0"/>
          <w:lang w:val="en-GB"/>
        </w:rPr>
        <w:t>Government funding streams could prioritise SEND-focused teacher development.</w:t>
      </w:r>
    </w:p>
    <w:p w:rsidR="7E9C8267" w:rsidP="524D1DFC" w:rsidRDefault="7E9C8267" w14:paraId="33C17EE1" w14:textId="1D3B7328">
      <w:pPr>
        <w:pStyle w:val="ListParagraph"/>
        <w:numPr>
          <w:ilvl w:val="0"/>
          <w:numId w:val="110"/>
        </w:numPr>
        <w:spacing w:before="240" w:beforeAutospacing="off" w:after="240" w:afterAutospacing="off"/>
        <w:rPr>
          <w:noProof w:val="0"/>
          <w:lang w:val="en-GB"/>
        </w:rPr>
      </w:pPr>
      <w:r w:rsidRPr="524D1DFC" w:rsidR="7E9C8267">
        <w:rPr>
          <w:noProof w:val="0"/>
          <w:lang w:val="en-GB"/>
        </w:rPr>
        <w:t xml:space="preserve">Training should focus on </w:t>
      </w:r>
      <w:r w:rsidRPr="524D1DFC" w:rsidR="7E9C8267">
        <w:rPr>
          <w:b w:val="0"/>
          <w:bCs w:val="0"/>
          <w:noProof w:val="0"/>
          <w:lang w:val="en-GB"/>
        </w:rPr>
        <w:t>principles of inclusive practice</w:t>
      </w:r>
      <w:r w:rsidRPr="524D1DFC" w:rsidR="7E9C8267">
        <w:rPr>
          <w:noProof w:val="0"/>
          <w:lang w:val="en-GB"/>
        </w:rPr>
        <w:t>, rather than condition-specific knowledge, enabling teachers to respond flexibly to varied needs.</w:t>
      </w:r>
    </w:p>
    <w:p w:rsidR="524D1DFC" w:rsidP="524D1DFC" w:rsidRDefault="524D1DFC" w14:paraId="33D014C0" w14:textId="162484C7">
      <w:pPr>
        <w:pStyle w:val="Heading1"/>
        <w:rPr>
          <w:rFonts w:ascii="Aptos" w:hAnsi="Aptos"/>
          <w:sz w:val="28"/>
          <w:szCs w:val="28"/>
        </w:rPr>
      </w:pPr>
    </w:p>
    <w:p w:rsidRPr="005C5E80" w:rsidR="005C5E80" w:rsidP="005C5E80" w:rsidRDefault="005C5E80" w14:paraId="1F80D6A6" w14:textId="77777777">
      <w:pPr>
        <w:pStyle w:val="Heading1"/>
        <w:rPr>
          <w:rFonts w:ascii="Aptos" w:hAnsi="Aptos"/>
          <w:sz w:val="28"/>
          <w:szCs w:val="28"/>
        </w:rPr>
      </w:pPr>
    </w:p>
    <w:p w:rsidR="06E5547C" w:rsidP="524D1DFC" w:rsidRDefault="06E5547C" w14:paraId="3F214F8F" w14:textId="53277954">
      <w:pPr>
        <w:pStyle w:val="Heading1"/>
        <w:rPr>
          <w:rFonts w:ascii="Aptos" w:hAnsi="Aptos"/>
          <w:sz w:val="28"/>
          <w:szCs w:val="28"/>
        </w:rPr>
      </w:pPr>
      <w:bookmarkStart w:name="_Toc213058167" w:id="25"/>
      <w:r w:rsidRPr="524D1DFC" w:rsidR="06E5547C">
        <w:rPr>
          <w:rFonts w:ascii="Aptos" w:hAnsi="Aptos"/>
          <w:sz w:val="28"/>
          <w:szCs w:val="28"/>
        </w:rPr>
        <w:t>5.2.3 – Recommendation 3</w:t>
      </w:r>
      <w:bookmarkEnd w:id="25"/>
      <w:r w:rsidRPr="524D1DFC" w:rsidR="06E5547C">
        <w:rPr>
          <w:rFonts w:ascii="Aptos" w:hAnsi="Aptos"/>
          <w:sz w:val="28"/>
          <w:szCs w:val="28"/>
        </w:rPr>
        <w:t xml:space="preserve"> </w:t>
      </w:r>
      <w:r w:rsidRPr="524D1DFC" w:rsidR="068775C2">
        <w:rPr>
          <w:rFonts w:ascii="Aptos" w:hAnsi="Aptos"/>
          <w:sz w:val="28"/>
          <w:szCs w:val="28"/>
        </w:rPr>
        <w:t xml:space="preserve">- </w:t>
      </w:r>
      <w:r w:rsidRPr="524D1DFC" w:rsidR="65631615">
        <w:rPr>
          <w:b w:val="1"/>
          <w:bCs w:val="1"/>
          <w:noProof w:val="0"/>
          <w:sz w:val="28"/>
          <w:szCs w:val="28"/>
          <w:lang w:val="en-GB"/>
        </w:rPr>
        <w:t>Enhance Flexibility in Curriculum Access and Attendance Policies</w:t>
      </w:r>
    </w:p>
    <w:p w:rsidR="65631615" w:rsidP="524D1DFC" w:rsidRDefault="65631615" w14:paraId="4D7E6AF5" w14:textId="5081152C">
      <w:pPr>
        <w:pStyle w:val="Heading3"/>
        <w:spacing w:before="281" w:beforeAutospacing="off" w:after="281" w:afterAutospacing="off"/>
      </w:pPr>
      <w:r w:rsidRPr="524D1DFC" w:rsidR="65631615">
        <w:rPr>
          <w:b w:val="1"/>
          <w:bCs w:val="1"/>
          <w:noProof w:val="0"/>
          <w:sz w:val="28"/>
          <w:szCs w:val="28"/>
          <w:lang w:val="en-GB"/>
        </w:rPr>
        <w:t>Rationale</w:t>
      </w:r>
    </w:p>
    <w:p w:rsidR="65631615" w:rsidP="524D1DFC" w:rsidRDefault="65631615" w14:paraId="1A05000F" w14:textId="4656B9DE">
      <w:pPr>
        <w:spacing w:before="240" w:beforeAutospacing="off" w:after="240" w:afterAutospacing="off"/>
      </w:pPr>
      <w:r w:rsidRPr="524D1DFC" w:rsidR="65631615">
        <w:rPr>
          <w:noProof w:val="0"/>
          <w:lang w:val="en-GB"/>
        </w:rPr>
        <w:t xml:space="preserve">Chronically ill children often experience fatigue, treatment-related absences, and fluctuating health that affect their ability to </w:t>
      </w:r>
      <w:r w:rsidRPr="524D1DFC" w:rsidR="65631615">
        <w:rPr>
          <w:noProof w:val="0"/>
          <w:lang w:val="en-GB"/>
        </w:rPr>
        <w:t>participate</w:t>
      </w:r>
      <w:r w:rsidRPr="524D1DFC" w:rsidR="65631615">
        <w:rPr>
          <w:noProof w:val="0"/>
          <w:lang w:val="en-GB"/>
        </w:rPr>
        <w:t xml:space="preserve"> in traditional schooling routines (Peters and Jordan, 2022). Flexible curriculum and attendance policies</w:t>
      </w:r>
      <w:r w:rsidRPr="524D1DFC" w:rsidR="55640F46">
        <w:rPr>
          <w:noProof w:val="0"/>
          <w:lang w:val="en-GB"/>
        </w:rPr>
        <w:t xml:space="preserve"> </w:t>
      </w:r>
      <w:r w:rsidRPr="524D1DFC" w:rsidR="65631615">
        <w:rPr>
          <w:noProof w:val="0"/>
          <w:lang w:val="en-GB"/>
        </w:rPr>
        <w:t>such as remote learning opportunities, personalised timetabling, or hybrid models</w:t>
      </w:r>
      <w:r w:rsidRPr="524D1DFC" w:rsidR="2588B4F8">
        <w:rPr>
          <w:noProof w:val="0"/>
          <w:lang w:val="en-GB"/>
        </w:rPr>
        <w:t xml:space="preserve"> </w:t>
      </w:r>
      <w:r w:rsidRPr="524D1DFC" w:rsidR="65631615">
        <w:rPr>
          <w:noProof w:val="0"/>
          <w:lang w:val="en-GB"/>
        </w:rPr>
        <w:t>can prevent academic disadvantage and reduce stress (Sharpe and Palfrey, 2021).</w:t>
      </w:r>
    </w:p>
    <w:p w:rsidR="65631615" w:rsidP="524D1DFC" w:rsidRDefault="65631615" w14:paraId="61205066" w14:textId="72A7F5BA">
      <w:pPr>
        <w:pStyle w:val="Heading3"/>
        <w:spacing w:before="281" w:beforeAutospacing="off" w:after="281" w:afterAutospacing="off"/>
      </w:pPr>
      <w:r w:rsidRPr="524D1DFC" w:rsidR="65631615">
        <w:rPr>
          <w:b w:val="1"/>
          <w:bCs w:val="1"/>
          <w:noProof w:val="0"/>
          <w:sz w:val="28"/>
          <w:szCs w:val="28"/>
          <w:lang w:val="en-GB"/>
        </w:rPr>
        <w:t>Proposed Actions</w:t>
      </w:r>
    </w:p>
    <w:p w:rsidR="65631615" w:rsidP="524D1DFC" w:rsidRDefault="65631615" w14:paraId="49F95F4F" w14:textId="09D48E53">
      <w:pPr>
        <w:pStyle w:val="ListParagraph"/>
        <w:numPr>
          <w:ilvl w:val="0"/>
          <w:numId w:val="111"/>
        </w:numPr>
        <w:spacing w:before="240" w:beforeAutospacing="off" w:after="240" w:afterAutospacing="off"/>
        <w:rPr>
          <w:noProof w:val="0"/>
          <w:lang w:val="en-GB"/>
        </w:rPr>
      </w:pPr>
      <w:r w:rsidRPr="524D1DFC" w:rsidR="65631615">
        <w:rPr>
          <w:noProof w:val="0"/>
          <w:lang w:val="en-GB"/>
        </w:rPr>
        <w:t>Schools should provide remote learning tools for students during periods of illness or hospitalisation.</w:t>
      </w:r>
    </w:p>
    <w:p w:rsidR="65631615" w:rsidP="524D1DFC" w:rsidRDefault="65631615" w14:paraId="457CC245" w14:textId="0A018B15">
      <w:pPr>
        <w:pStyle w:val="ListParagraph"/>
        <w:numPr>
          <w:ilvl w:val="0"/>
          <w:numId w:val="111"/>
        </w:numPr>
        <w:spacing w:before="240" w:beforeAutospacing="off" w:after="240" w:afterAutospacing="off"/>
        <w:rPr>
          <w:noProof w:val="0"/>
          <w:lang w:val="en-GB"/>
        </w:rPr>
      </w:pPr>
      <w:r w:rsidRPr="524D1DFC" w:rsidR="65631615">
        <w:rPr>
          <w:noProof w:val="0"/>
          <w:lang w:val="en-GB"/>
        </w:rPr>
        <w:t>Implement flexible timetables allowing students to attend part-time or access specific lessons.</w:t>
      </w:r>
    </w:p>
    <w:p w:rsidR="65631615" w:rsidP="524D1DFC" w:rsidRDefault="65631615" w14:paraId="28DABE0E" w14:textId="09E4ED5A">
      <w:pPr>
        <w:pStyle w:val="ListParagraph"/>
        <w:numPr>
          <w:ilvl w:val="0"/>
          <w:numId w:val="111"/>
        </w:numPr>
        <w:spacing w:before="240" w:beforeAutospacing="off" w:after="240" w:afterAutospacing="off"/>
        <w:rPr>
          <w:noProof w:val="0"/>
          <w:lang w:val="en-GB"/>
        </w:rPr>
      </w:pPr>
      <w:r w:rsidRPr="524D1DFC" w:rsidR="65631615">
        <w:rPr>
          <w:noProof w:val="0"/>
          <w:lang w:val="en-GB"/>
        </w:rPr>
        <w:t>Ensure alternative assessment methods are available for pupils unable to complete standard tasks.</w:t>
      </w:r>
    </w:p>
    <w:p w:rsidR="65631615" w:rsidP="524D1DFC" w:rsidRDefault="65631615" w14:paraId="5F496479" w14:textId="4339E328">
      <w:pPr>
        <w:pStyle w:val="Heading3"/>
        <w:spacing w:before="281" w:beforeAutospacing="off" w:after="281" w:afterAutospacing="off"/>
      </w:pPr>
      <w:r w:rsidRPr="524D1DFC" w:rsidR="65631615">
        <w:rPr>
          <w:b w:val="1"/>
          <w:bCs w:val="1"/>
          <w:noProof w:val="0"/>
          <w:sz w:val="28"/>
          <w:szCs w:val="28"/>
          <w:lang w:val="en-GB"/>
        </w:rPr>
        <w:t>Barriers and Limitations</w:t>
      </w:r>
    </w:p>
    <w:p w:rsidR="65631615" w:rsidP="524D1DFC" w:rsidRDefault="65631615" w14:paraId="0057CD09" w14:textId="2DE929AC">
      <w:pPr>
        <w:spacing w:before="240" w:beforeAutospacing="off" w:after="240" w:afterAutospacing="off"/>
      </w:pPr>
      <w:r w:rsidRPr="524D1DFC" w:rsidR="65631615">
        <w:rPr>
          <w:noProof w:val="0"/>
          <w:lang w:val="en-GB"/>
        </w:rPr>
        <w:t xml:space="preserve">A key barrier involves </w:t>
      </w:r>
      <w:r w:rsidRPr="524D1DFC" w:rsidR="65631615">
        <w:rPr>
          <w:b w:val="0"/>
          <w:bCs w:val="0"/>
          <w:noProof w:val="0"/>
          <w:lang w:val="en-GB"/>
        </w:rPr>
        <w:t>digital inequality</w:t>
      </w:r>
      <w:r w:rsidRPr="524D1DFC" w:rsidR="6026B3E3">
        <w:rPr>
          <w:b w:val="0"/>
          <w:bCs w:val="0"/>
          <w:noProof w:val="0"/>
          <w:lang w:val="en-GB"/>
        </w:rPr>
        <w:t xml:space="preserve"> </w:t>
      </w:r>
      <w:r w:rsidRPr="524D1DFC" w:rsidR="65631615">
        <w:rPr>
          <w:noProof w:val="0"/>
          <w:lang w:val="en-GB"/>
        </w:rPr>
        <w:t xml:space="preserve">not all pupils have access to </w:t>
      </w:r>
      <w:r w:rsidRPr="524D1DFC" w:rsidR="65631615">
        <w:rPr>
          <w:noProof w:val="0"/>
          <w:lang w:val="en-GB"/>
        </w:rPr>
        <w:t>appropriate devices</w:t>
      </w:r>
      <w:r w:rsidRPr="524D1DFC" w:rsidR="65631615">
        <w:rPr>
          <w:noProof w:val="0"/>
          <w:lang w:val="en-GB"/>
        </w:rPr>
        <w:t xml:space="preserve"> or stable internet at home. Schools may also struggle to manage flexible timetables while </w:t>
      </w:r>
      <w:r w:rsidRPr="524D1DFC" w:rsidR="65631615">
        <w:rPr>
          <w:noProof w:val="0"/>
          <w:lang w:val="en-GB"/>
        </w:rPr>
        <w:t>maintaining</w:t>
      </w:r>
      <w:r w:rsidRPr="524D1DFC" w:rsidR="65631615">
        <w:rPr>
          <w:noProof w:val="0"/>
          <w:lang w:val="en-GB"/>
        </w:rPr>
        <w:t xml:space="preserve"> staffing levels and curriculum continuity. Additionally, some teachers may be resistant to flexible models due to concerns about fairness or workload (Turner, 2020).</w:t>
      </w:r>
    </w:p>
    <w:p w:rsidR="65631615" w:rsidP="524D1DFC" w:rsidRDefault="65631615" w14:paraId="51D59262" w14:textId="7AA96F28">
      <w:pPr>
        <w:pStyle w:val="Heading3"/>
        <w:spacing w:before="281" w:beforeAutospacing="off" w:after="281" w:afterAutospacing="off"/>
      </w:pPr>
      <w:r w:rsidRPr="524D1DFC" w:rsidR="65631615">
        <w:rPr>
          <w:b w:val="1"/>
          <w:bCs w:val="1"/>
          <w:noProof w:val="0"/>
          <w:sz w:val="28"/>
          <w:szCs w:val="28"/>
          <w:lang w:val="en-GB"/>
        </w:rPr>
        <w:t>Overcoming Barriers</w:t>
      </w:r>
    </w:p>
    <w:p w:rsidR="65631615" w:rsidP="524D1DFC" w:rsidRDefault="65631615" w14:paraId="5B213699" w14:textId="51AC02F4">
      <w:pPr>
        <w:pStyle w:val="ListParagraph"/>
        <w:numPr>
          <w:ilvl w:val="0"/>
          <w:numId w:val="112"/>
        </w:numPr>
        <w:spacing w:before="240" w:beforeAutospacing="off" w:after="240" w:afterAutospacing="off"/>
        <w:rPr>
          <w:noProof w:val="0"/>
          <w:lang w:val="en-GB"/>
        </w:rPr>
      </w:pPr>
      <w:r w:rsidRPr="524D1DFC" w:rsidR="65631615">
        <w:rPr>
          <w:noProof w:val="0"/>
          <w:lang w:val="en-GB"/>
        </w:rPr>
        <w:t>Local authorities can provide digital equipment loans or subsidies for families in need.</w:t>
      </w:r>
    </w:p>
    <w:p w:rsidR="65631615" w:rsidP="524D1DFC" w:rsidRDefault="65631615" w14:paraId="0F9152C1" w14:textId="669B1DBD">
      <w:pPr>
        <w:pStyle w:val="ListParagraph"/>
        <w:numPr>
          <w:ilvl w:val="0"/>
          <w:numId w:val="112"/>
        </w:numPr>
        <w:spacing w:before="240" w:beforeAutospacing="off" w:after="240" w:afterAutospacing="off"/>
        <w:rPr>
          <w:noProof w:val="0"/>
          <w:lang w:val="en-GB"/>
        </w:rPr>
      </w:pPr>
      <w:r w:rsidRPr="524D1DFC" w:rsidR="65631615">
        <w:rPr>
          <w:noProof w:val="0"/>
          <w:lang w:val="en-GB"/>
        </w:rPr>
        <w:t>Schools can adopt timetable management software to maintain consistency.</w:t>
      </w:r>
    </w:p>
    <w:p w:rsidR="65631615" w:rsidP="524D1DFC" w:rsidRDefault="65631615" w14:paraId="0E34AF06" w14:textId="5884B785">
      <w:pPr>
        <w:pStyle w:val="ListParagraph"/>
        <w:numPr>
          <w:ilvl w:val="0"/>
          <w:numId w:val="112"/>
        </w:numPr>
        <w:spacing w:before="240" w:beforeAutospacing="off" w:after="240" w:afterAutospacing="off"/>
        <w:rPr>
          <w:noProof w:val="0"/>
          <w:lang w:val="en-GB"/>
        </w:rPr>
      </w:pPr>
      <w:r w:rsidRPr="524D1DFC" w:rsidR="65631615">
        <w:rPr>
          <w:noProof w:val="0"/>
          <w:lang w:val="en-GB"/>
        </w:rPr>
        <w:t>Staff training should emphasise that flexibility is an equality measure, not an exception, aligning with inclusive education principles.</w:t>
      </w:r>
    </w:p>
    <w:p w:rsidR="524D1DFC" w:rsidP="524D1DFC" w:rsidRDefault="524D1DFC" w14:paraId="3D53D5C8" w14:textId="4668F617">
      <w:pPr>
        <w:pStyle w:val="Heading1"/>
        <w:rPr>
          <w:rFonts w:ascii="Aptos" w:hAnsi="Aptos"/>
          <w:sz w:val="28"/>
          <w:szCs w:val="28"/>
        </w:rPr>
      </w:pPr>
    </w:p>
    <w:p w:rsidR="00211184" w:rsidRDefault="00211184" w14:paraId="61CD43C9" w14:textId="77777777"/>
    <w:p w:rsidR="000400E4" w:rsidRDefault="000400E4" w14:paraId="020B1B1C" w14:textId="77777777"/>
    <w:p w:rsidR="000400E4" w:rsidRDefault="000400E4" w14:paraId="65F969F3" w14:textId="77777777"/>
    <w:p w:rsidR="000400E4" w:rsidRDefault="000400E4" w14:paraId="59D70DFF" w14:textId="77777777"/>
    <w:p w:rsidR="000400E4" w:rsidRDefault="000400E4" w14:paraId="132A973C" w14:textId="77777777"/>
    <w:p w:rsidR="000400E4" w:rsidRDefault="000400E4" w14:paraId="54494726" w14:textId="77777777"/>
    <w:p w:rsidR="000400E4" w:rsidRDefault="000400E4" w14:paraId="722FC155" w14:textId="77777777"/>
    <w:p w:rsidR="000400E4" w:rsidRDefault="000400E4" w14:paraId="2E19E1E0" w14:textId="77777777"/>
    <w:p w:rsidR="000400E4" w:rsidRDefault="000400E4" w14:paraId="0AE97BAA" w14:textId="77777777"/>
    <w:p w:rsidR="000400E4" w:rsidRDefault="000400E4" w14:paraId="5A974663" w14:textId="77777777"/>
    <w:p w:rsidR="000400E4" w:rsidRDefault="000400E4" w14:paraId="1C6879D3" w14:textId="77777777"/>
    <w:p w:rsidR="000400E4" w:rsidRDefault="000400E4" w14:paraId="4890622C" w14:textId="77777777"/>
    <w:p w:rsidR="000400E4" w:rsidRDefault="000400E4" w14:paraId="03F2ECBE" w14:textId="77777777"/>
    <w:p w:rsidR="000400E4" w:rsidRDefault="000400E4" w14:paraId="1AA892C7" w14:textId="77777777"/>
    <w:p w:rsidR="000400E4" w:rsidRDefault="000400E4" w14:paraId="1E14157A" w14:textId="77777777"/>
    <w:p w:rsidRPr="00BD2909" w:rsidR="000400E4" w:rsidRDefault="000400E4" w14:paraId="2BDFC52E" w14:textId="77777777"/>
    <w:p w:rsidRPr="00636D9A" w:rsidR="00211184" w:rsidP="00211184" w:rsidRDefault="00211184" w14:paraId="3D3F3B28" w14:textId="1662D714">
      <w:pPr>
        <w:pStyle w:val="Heading1"/>
        <w:ind w:left="0"/>
        <w:rPr>
          <w:rFonts w:ascii="Aptos" w:hAnsi="Aptos"/>
        </w:rPr>
      </w:pPr>
      <w:bookmarkStart w:name="_Toc213058168" w:id="26"/>
      <w:r w:rsidRPr="00636D9A">
        <w:rPr>
          <w:rFonts w:ascii="Aptos" w:hAnsi="Aptos"/>
        </w:rPr>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bookmarkEnd w:id="26"/>
      <w:r w:rsidRPr="00636D9A">
        <w:rPr>
          <w:rFonts w:ascii="Aptos" w:hAnsi="Aptos"/>
        </w:rPr>
        <w:t xml:space="preserve"> </w:t>
      </w:r>
    </w:p>
    <w:p w:rsidR="00211184" w:rsidRDefault="00211184" w14:paraId="2EE69DD1" w14:textId="77777777"/>
    <w:p w:rsidRPr="008C38C3" w:rsidR="00621776" w:rsidP="00621776" w:rsidRDefault="00621776" w14:paraId="020975DD" w14:textId="16A395E8">
      <w:pPr>
        <w:pStyle w:val="Heading1"/>
        <w:ind w:left="0"/>
        <w:rPr>
          <w:rFonts w:ascii="Aptos" w:hAnsi="Aptos"/>
          <w:sz w:val="28"/>
          <w:szCs w:val="28"/>
        </w:rPr>
      </w:pPr>
      <w:bookmarkStart w:name="_Toc213058169" w:id="27"/>
      <w:r w:rsidRPr="008C38C3">
        <w:rPr>
          <w:rFonts w:ascii="Aptos" w:hAnsi="Aptos"/>
          <w:sz w:val="28"/>
          <w:szCs w:val="28"/>
        </w:rPr>
        <w:t>6.1 – References</w:t>
      </w:r>
      <w:bookmarkEnd w:id="27"/>
      <w:r w:rsidRPr="008C38C3">
        <w:rPr>
          <w:rFonts w:ascii="Aptos" w:hAnsi="Aptos"/>
          <w:sz w:val="28"/>
          <w:szCs w:val="28"/>
        </w:rPr>
        <w:t xml:space="preserve"> </w:t>
      </w:r>
    </w:p>
    <w:p w:rsidR="00621776" w:rsidRDefault="00621776" w14:paraId="177D47C3" w14:textId="77777777"/>
    <w:p w:rsidR="77648362" w:rsidP="524D1DFC" w:rsidRDefault="77648362" w14:paraId="6773DA8E" w14:textId="1FED7471">
      <w:pPr>
        <w:pStyle w:val="ListParagraph"/>
        <w:numPr>
          <w:ilvl w:val="0"/>
          <w:numId w:val="104"/>
        </w:numPr>
        <w:spacing w:before="240" w:beforeAutospacing="off" w:after="240" w:afterAutospacing="off"/>
        <w:rPr>
          <w:noProof w:val="0"/>
          <w:lang w:val="en-GB"/>
        </w:rPr>
      </w:pPr>
      <w:r w:rsidRPr="524D1DFC" w:rsidR="77648362">
        <w:rPr>
          <w:noProof w:val="0"/>
          <w:lang w:val="en-GB"/>
        </w:rPr>
        <w:t>.</w:t>
      </w:r>
    </w:p>
    <w:p w:rsidR="524D1DFC" w:rsidP="524D1DFC" w:rsidRDefault="524D1DFC" w14:paraId="04A112BA" w14:textId="226EE16F">
      <w:pPr>
        <w:pStyle w:val="ListParagraph"/>
        <w:ind w:left="720"/>
        <w:rPr>
          <w:noProof w:val="0"/>
          <w:lang w:val="en-GB"/>
        </w:rPr>
      </w:pPr>
    </w:p>
    <w:p w:rsidR="524D1DFC" w:rsidP="524D1DFC" w:rsidRDefault="524D1DFC" w14:paraId="04C07807" w14:textId="327E757D">
      <w:pPr>
        <w:pStyle w:val="ListParagraph"/>
        <w:ind w:left="360" w:hanging="0"/>
        <w:rPr>
          <w:noProof w:val="0"/>
          <w:lang w:val="en-GB"/>
        </w:rPr>
      </w:pPr>
    </w:p>
    <w:p w:rsidR="00211184" w:rsidRDefault="00211184" w14:paraId="3DDD52D0" w14:textId="77C76318">
      <w:r>
        <w:t xml:space="preserve">**Note – a reference list is an essential part of your dissertation and there at to be between </w:t>
      </w:r>
      <w:r w:rsidRPr="00F20EE5">
        <w:rPr>
          <w:b/>
          <w:bCs/>
        </w:rPr>
        <w:t>50-100</w:t>
      </w:r>
      <w:r>
        <w:t xml:space="preserve"> references needed within your reference list from credible and reliable sources of information. </w:t>
      </w:r>
      <w:r w:rsidR="00621776">
        <w:t>Ensure to include a variety of sources from books, journal articles, websites and statistical data bases.  Your reference list should also be in the Harvard Referencing format, further information can be found below:</w:t>
      </w:r>
    </w:p>
    <w:p w:rsidRPr="00621776" w:rsidR="00621776" w:rsidP="001F3B1B" w:rsidRDefault="00621776" w14:paraId="3DAF0D57" w14:textId="77777777">
      <w:pPr>
        <w:pStyle w:val="ListParagraph"/>
        <w:numPr>
          <w:ilvl w:val="0"/>
          <w:numId w:val="1"/>
        </w:numPr>
        <w:spacing w:line="360" w:lineRule="auto"/>
        <w:rPr>
          <w:rFonts w:ascii="Aptos" w:hAnsi="Aptos"/>
        </w:rPr>
      </w:pPr>
      <w:hyperlink w:history="1" r:id="rId13">
        <w:r w:rsidRPr="00621776">
          <w:rPr>
            <w:rStyle w:val="Hyperlink"/>
            <w:rFonts w:ascii="Aptos" w:hAnsi="Aptos"/>
          </w:rPr>
          <w:t>UWTSD Harvard Referencing Handbook</w:t>
        </w:r>
      </w:hyperlink>
    </w:p>
    <w:p w:rsidR="00621776" w:rsidP="001F3B1B" w:rsidRDefault="00621776" w14:paraId="5AED8F63" w14:textId="58813447">
      <w:pPr>
        <w:pStyle w:val="ListParagraph"/>
        <w:numPr>
          <w:ilvl w:val="0"/>
          <w:numId w:val="1"/>
        </w:numPr>
        <w:spacing w:line="360" w:lineRule="auto"/>
        <w:rPr>
          <w:rFonts w:ascii="Aptos" w:hAnsi="Aptos"/>
        </w:rPr>
      </w:pPr>
      <w:hyperlink w:history="1" r:id="rId14">
        <w:r w:rsidRPr="00621776">
          <w:rPr>
            <w:rStyle w:val="Hyperlink"/>
            <w:rFonts w:ascii="Aptos" w:hAnsi="Aptos"/>
          </w:rPr>
          <w:t>Cite them Right  - Harvard Referencing</w:t>
        </w:r>
      </w:hyperlink>
    </w:p>
    <w:p w:rsidR="00621776" w:rsidP="00621776" w:rsidRDefault="00621776" w14:paraId="3C7AA80C" w14:textId="77777777"/>
    <w:p w:rsidRPr="008C38C3" w:rsidR="00621776" w:rsidP="524D1DFC" w:rsidRDefault="00621776" w14:paraId="6D7584F3" w14:textId="2BF13A34">
      <w:pPr>
        <w:pStyle w:val="Heading1"/>
        <w:ind w:left="0"/>
        <w:rPr>
          <w:rFonts w:ascii="Aptos" w:hAnsi="Aptos"/>
          <w:sz w:val="28"/>
          <w:szCs w:val="28"/>
          <w:highlight w:val="yellow"/>
        </w:rPr>
      </w:pPr>
      <w:bookmarkStart w:name="_Toc213058170" w:id="28"/>
      <w:r w:rsidRPr="524D1DFC" w:rsidR="3B18BEB4">
        <w:rPr>
          <w:rFonts w:ascii="Aptos" w:hAnsi="Aptos"/>
          <w:sz w:val="28"/>
          <w:szCs w:val="28"/>
          <w:highlight w:val="yellow"/>
        </w:rPr>
        <w:t>6.2 – Appendices</w:t>
      </w:r>
      <w:bookmarkEnd w:id="28"/>
      <w:r w:rsidRPr="524D1DFC" w:rsidR="3B18BEB4">
        <w:rPr>
          <w:rFonts w:ascii="Aptos" w:hAnsi="Aptos"/>
          <w:sz w:val="28"/>
          <w:szCs w:val="28"/>
        </w:rPr>
        <w:t xml:space="preserve"> </w:t>
      </w:r>
    </w:p>
    <w:p w:rsidR="00621776" w:rsidP="524D1DFC" w:rsidRDefault="00621776" w14:paraId="5E02AF15" w14:textId="63884053">
      <w:pPr>
        <w:rPr>
          <w:highlight w:val="yellow"/>
        </w:rPr>
      </w:pPr>
    </w:p>
    <w:p w:rsidR="008C38C3" w:rsidP="524D1DFC" w:rsidRDefault="008C38C3" w14:paraId="33D40B87" w14:textId="3DD943E4">
      <w:pPr>
        <w:rPr>
          <w:highlight w:val="yellow"/>
        </w:rPr>
      </w:pPr>
      <w:r w:rsidRPr="524D1DFC" w:rsidR="187B3EB4">
        <w:rPr>
          <w:highlight w:val="yellow"/>
        </w:rPr>
        <w:t>You can include any information within your appendices which you believe to be relevant and beneficial to your dissertation but could not add within the main body of your work. Examples of this can include: data and statistics, case studies or other documentation.</w:t>
      </w:r>
    </w:p>
    <w:p w:rsidR="524D1DFC" w:rsidP="524D1DFC" w:rsidRDefault="524D1DFC" w14:paraId="218124D7" w14:textId="77F3E47F">
      <w:pPr>
        <w:rPr>
          <w:b w:val="1"/>
          <w:bCs w:val="1"/>
          <w:highlight w:val="yellow"/>
        </w:rPr>
      </w:pPr>
    </w:p>
    <w:p w:rsidR="008C38C3" w:rsidP="00621776" w:rsidRDefault="008C38C3" w14:paraId="78D375C0" w14:textId="77777777"/>
    <w:p w:rsidR="008C38C3" w:rsidP="00621776" w:rsidRDefault="008C38C3" w14:paraId="0D5F3838" w14:textId="77777777"/>
    <w:p w:rsidR="008C38C3" w:rsidP="00621776" w:rsidRDefault="008C38C3" w14:paraId="438D3C08" w14:textId="77777777"/>
    <w:p w:rsidR="008C38C3" w:rsidP="00621776" w:rsidRDefault="008C38C3" w14:paraId="18FF6044" w14:textId="77777777"/>
    <w:p w:rsidR="008C38C3" w:rsidP="00621776" w:rsidRDefault="008C38C3" w14:paraId="268CFD1F" w14:textId="77777777"/>
    <w:p w:rsidR="008C38C3" w:rsidP="00621776" w:rsidRDefault="008C38C3" w14:paraId="2440A778" w14:textId="77777777"/>
    <w:p w:rsidR="008C38C3" w:rsidP="00621776" w:rsidRDefault="008C38C3" w14:paraId="5122D4D8" w14:textId="77777777"/>
    <w:p w:rsidR="008C38C3" w:rsidP="524D1DFC" w:rsidRDefault="008C38C3" w14:paraId="01E01220" w14:textId="3E004572">
      <w:pPr>
        <w:pStyle w:val="Normal"/>
      </w:pPr>
    </w:p>
    <w:sectPr w:rsidRPr="008C38C3" w:rsidR="008C38C3">
      <w:pgSz w:w="11906" w:h="16838" w:orient="portrait"/>
      <w:pgMar w:top="1440" w:right="1440" w:bottom="1440" w:left="1440" w:header="708" w:footer="708" w:gutter="0"/>
      <w:cols w:space="708"/>
      <w:docGrid w:linePitch="360"/>
      <w:headerReference w:type="default" r:id="R05b218c4e56a454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C66DA" w:rsidP="00211184" w:rsidRDefault="009C66DA" w14:paraId="14E56983" w14:textId="77777777">
      <w:pPr>
        <w:spacing w:after="0" w:line="240" w:lineRule="auto"/>
      </w:pPr>
      <w:r>
        <w:separator/>
      </w:r>
    </w:p>
  </w:endnote>
  <w:endnote w:type="continuationSeparator" w:id="0">
    <w:p w:rsidR="009C66DA" w:rsidP="00211184" w:rsidRDefault="009C66DA" w14:paraId="5F7B369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rsidR="002865F5" w:rsidRDefault="002865F5" w14:paraId="6B91657E" w14:textId="7B55D7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11184" w:rsidRDefault="00211184" w14:paraId="2DC1A86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C66DA" w:rsidP="00211184" w:rsidRDefault="009C66DA" w14:paraId="004762E1" w14:textId="77777777">
      <w:pPr>
        <w:spacing w:after="0" w:line="240" w:lineRule="auto"/>
      </w:pPr>
      <w:r>
        <w:separator/>
      </w:r>
    </w:p>
  </w:footnote>
  <w:footnote w:type="continuationSeparator" w:id="0">
    <w:p w:rsidR="009C66DA" w:rsidP="00211184" w:rsidRDefault="009C66DA" w14:paraId="687BFDAD"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24D1DFC" w:rsidTr="524D1DFC" w14:paraId="6F3431B3">
      <w:trPr>
        <w:trHeight w:val="300"/>
      </w:trPr>
      <w:tc>
        <w:tcPr>
          <w:tcW w:w="3005" w:type="dxa"/>
          <w:tcMar/>
        </w:tcPr>
        <w:p w:rsidR="524D1DFC" w:rsidP="524D1DFC" w:rsidRDefault="524D1DFC" w14:paraId="4117D281" w14:textId="5B80D0EB">
          <w:pPr>
            <w:pStyle w:val="Header"/>
            <w:bidi w:val="0"/>
            <w:ind w:left="-115"/>
            <w:jc w:val="left"/>
          </w:pPr>
        </w:p>
      </w:tc>
      <w:tc>
        <w:tcPr>
          <w:tcW w:w="3005" w:type="dxa"/>
          <w:tcMar/>
        </w:tcPr>
        <w:p w:rsidR="524D1DFC" w:rsidP="524D1DFC" w:rsidRDefault="524D1DFC" w14:paraId="3B478489" w14:textId="613F38FE">
          <w:pPr>
            <w:pStyle w:val="Header"/>
            <w:bidi w:val="0"/>
            <w:jc w:val="center"/>
          </w:pPr>
        </w:p>
      </w:tc>
      <w:tc>
        <w:tcPr>
          <w:tcW w:w="3005" w:type="dxa"/>
          <w:tcMar/>
        </w:tcPr>
        <w:p w:rsidR="524D1DFC" w:rsidP="524D1DFC" w:rsidRDefault="524D1DFC" w14:paraId="15E5F840" w14:textId="2F3590A4">
          <w:pPr>
            <w:pStyle w:val="Header"/>
            <w:bidi w:val="0"/>
            <w:ind w:right="-115"/>
            <w:jc w:val="right"/>
          </w:pPr>
        </w:p>
      </w:tc>
    </w:tr>
  </w:tbl>
  <w:p w:rsidR="524D1DFC" w:rsidP="524D1DFC" w:rsidRDefault="524D1DFC" w14:paraId="6EF12CC9" w14:textId="3A2C60E3">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24D1DFC" w:rsidTr="524D1DFC" w14:paraId="0A7D47AE">
      <w:trPr>
        <w:trHeight w:val="300"/>
      </w:trPr>
      <w:tc>
        <w:tcPr>
          <w:tcW w:w="3005" w:type="dxa"/>
          <w:tcMar/>
        </w:tcPr>
        <w:p w:rsidR="524D1DFC" w:rsidP="524D1DFC" w:rsidRDefault="524D1DFC" w14:paraId="0467D8D2" w14:textId="238F3F5B">
          <w:pPr>
            <w:pStyle w:val="Header"/>
            <w:bidi w:val="0"/>
            <w:ind w:left="-115"/>
            <w:jc w:val="left"/>
          </w:pPr>
        </w:p>
      </w:tc>
      <w:tc>
        <w:tcPr>
          <w:tcW w:w="3005" w:type="dxa"/>
          <w:tcMar/>
        </w:tcPr>
        <w:p w:rsidR="524D1DFC" w:rsidP="524D1DFC" w:rsidRDefault="524D1DFC" w14:paraId="10B1A35B" w14:textId="24D47155">
          <w:pPr>
            <w:pStyle w:val="Header"/>
            <w:bidi w:val="0"/>
            <w:jc w:val="center"/>
          </w:pPr>
        </w:p>
      </w:tc>
      <w:tc>
        <w:tcPr>
          <w:tcW w:w="3005" w:type="dxa"/>
          <w:tcMar/>
        </w:tcPr>
        <w:p w:rsidR="524D1DFC" w:rsidP="524D1DFC" w:rsidRDefault="524D1DFC" w14:paraId="454C067F" w14:textId="09176D26">
          <w:pPr>
            <w:pStyle w:val="Header"/>
            <w:bidi w:val="0"/>
            <w:ind w:right="-115"/>
            <w:jc w:val="right"/>
          </w:pPr>
        </w:p>
      </w:tc>
    </w:tr>
  </w:tbl>
  <w:p w:rsidR="524D1DFC" w:rsidP="524D1DFC" w:rsidRDefault="524D1DFC" w14:paraId="75766B12" w14:textId="465EF68C">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11">
    <w:nsid w:val="3e483a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6e0d58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7cbe3f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8d959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50af6d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6">
    <w:nsid w:val="427d36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5">
    <w:nsid w:val="302da9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42a57a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 w15:restartNumberingAfterBreak="0">
    <w:nsid w:val="0CCF0AE6"/>
    <w:multiLevelType w:val="multilevel"/>
    <w:tmpl w:val="8EE462EC"/>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370" w:hanging="37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0D645519"/>
    <w:multiLevelType w:val="hybridMultilevel"/>
    <w:tmpl w:val="E3E0BC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D8C5472"/>
    <w:multiLevelType w:val="multilevel"/>
    <w:tmpl w:val="CB5E8AD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2" w15:restartNumberingAfterBreak="0">
    <w:nsid w:val="10926AC3"/>
    <w:multiLevelType w:val="multilevel"/>
    <w:tmpl w:val="066251C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 w15:restartNumberingAfterBreak="0">
    <w:nsid w:val="138F0049"/>
    <w:multiLevelType w:val="multilevel"/>
    <w:tmpl w:val="27FAEFA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4" w15:restartNumberingAfterBreak="0">
    <w:nsid w:val="138F7F47"/>
    <w:multiLevelType w:val="multilevel"/>
    <w:tmpl w:val="2CAAC94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5" w15:restartNumberingAfterBreak="0">
    <w:nsid w:val="15591E36"/>
    <w:multiLevelType w:val="multilevel"/>
    <w:tmpl w:val="8A1E314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6" w15:restartNumberingAfterBreak="0">
    <w:nsid w:val="15ED63AE"/>
    <w:multiLevelType w:val="multilevel"/>
    <w:tmpl w:val="879E4B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16B9605C"/>
    <w:multiLevelType w:val="multilevel"/>
    <w:tmpl w:val="7FE025E2"/>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18A231DC"/>
    <w:multiLevelType w:val="multilevel"/>
    <w:tmpl w:val="FCE6A9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18FF1597"/>
    <w:multiLevelType w:val="multilevel"/>
    <w:tmpl w:val="6C68499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19BA2CCE"/>
    <w:multiLevelType w:val="multilevel"/>
    <w:tmpl w:val="ED08DA5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1B6473D7"/>
    <w:multiLevelType w:val="multilevel"/>
    <w:tmpl w:val="87FA00D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2" w15:restartNumberingAfterBreak="0">
    <w:nsid w:val="1BDA270C"/>
    <w:multiLevelType w:val="multilevel"/>
    <w:tmpl w:val="3D22AD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1EFC6F05"/>
    <w:multiLevelType w:val="multilevel"/>
    <w:tmpl w:val="DC2866C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4" w15:restartNumberingAfterBreak="0">
    <w:nsid w:val="201F0034"/>
    <w:multiLevelType w:val="multilevel"/>
    <w:tmpl w:val="EB8036B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5" w15:restartNumberingAfterBreak="0">
    <w:nsid w:val="21003E80"/>
    <w:multiLevelType w:val="multilevel"/>
    <w:tmpl w:val="3F366D9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234C5796"/>
    <w:multiLevelType w:val="multilevel"/>
    <w:tmpl w:val="D92601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243677D1"/>
    <w:multiLevelType w:val="multilevel"/>
    <w:tmpl w:val="9BE05DF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8" w15:restartNumberingAfterBreak="0">
    <w:nsid w:val="24A80B63"/>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25317DF2"/>
    <w:multiLevelType w:val="multilevel"/>
    <w:tmpl w:val="F432D1B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27EC5309"/>
    <w:multiLevelType w:val="multilevel"/>
    <w:tmpl w:val="92FEBB7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1" w15:restartNumberingAfterBreak="0">
    <w:nsid w:val="29EB568D"/>
    <w:multiLevelType w:val="multilevel"/>
    <w:tmpl w:val="6A6887C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2" w15:restartNumberingAfterBreak="0">
    <w:nsid w:val="2AE60591"/>
    <w:multiLevelType w:val="multilevel"/>
    <w:tmpl w:val="27C079D4"/>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2BA0610A"/>
    <w:multiLevelType w:val="multilevel"/>
    <w:tmpl w:val="3208A85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2EAE7F9E"/>
    <w:multiLevelType w:val="multilevel"/>
    <w:tmpl w:val="51906DB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5" w15:restartNumberingAfterBreak="0">
    <w:nsid w:val="2F411F60"/>
    <w:multiLevelType w:val="multilevel"/>
    <w:tmpl w:val="AEA0D9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2FF51761"/>
    <w:multiLevelType w:val="multilevel"/>
    <w:tmpl w:val="315CE73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7" w15:restartNumberingAfterBreak="0">
    <w:nsid w:val="302358D9"/>
    <w:multiLevelType w:val="multilevel"/>
    <w:tmpl w:val="678E4BA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8" w15:restartNumberingAfterBreak="0">
    <w:nsid w:val="312C2B3B"/>
    <w:multiLevelType w:val="multilevel"/>
    <w:tmpl w:val="6A78D6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9" w15:restartNumberingAfterBreak="0">
    <w:nsid w:val="320E7778"/>
    <w:multiLevelType w:val="multilevel"/>
    <w:tmpl w:val="032AB53C"/>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40" w15:restartNumberingAfterBreak="0">
    <w:nsid w:val="361F14D1"/>
    <w:multiLevelType w:val="multilevel"/>
    <w:tmpl w:val="472CEB4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380F495E"/>
    <w:multiLevelType w:val="multilevel"/>
    <w:tmpl w:val="A76A01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2" w15:restartNumberingAfterBreak="0">
    <w:nsid w:val="38E974B4"/>
    <w:multiLevelType w:val="multilevel"/>
    <w:tmpl w:val="18D4F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3" w15:restartNumberingAfterBreak="0">
    <w:nsid w:val="394A1451"/>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4" w15:restartNumberingAfterBreak="0">
    <w:nsid w:val="3A8138F8"/>
    <w:multiLevelType w:val="multilevel"/>
    <w:tmpl w:val="6B285D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5" w15:restartNumberingAfterBreak="0">
    <w:nsid w:val="3C1A6F6B"/>
    <w:multiLevelType w:val="multilevel"/>
    <w:tmpl w:val="45683C62"/>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6" w15:restartNumberingAfterBreak="0">
    <w:nsid w:val="3C2B08AA"/>
    <w:multiLevelType w:val="multilevel"/>
    <w:tmpl w:val="318C398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7" w15:restartNumberingAfterBreak="0">
    <w:nsid w:val="40F8321F"/>
    <w:multiLevelType w:val="multilevel"/>
    <w:tmpl w:val="01D6AD5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48" w15:restartNumberingAfterBreak="0">
    <w:nsid w:val="42213F3B"/>
    <w:multiLevelType w:val="multilevel"/>
    <w:tmpl w:val="EBA0102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9" w15:restartNumberingAfterBreak="0">
    <w:nsid w:val="42796801"/>
    <w:multiLevelType w:val="multilevel"/>
    <w:tmpl w:val="97C62D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0" w15:restartNumberingAfterBreak="0">
    <w:nsid w:val="439150ED"/>
    <w:multiLevelType w:val="multilevel"/>
    <w:tmpl w:val="3F22662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1" w15:restartNumberingAfterBreak="0">
    <w:nsid w:val="47C2323A"/>
    <w:multiLevelType w:val="multilevel"/>
    <w:tmpl w:val="2B222C5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2" w15:restartNumberingAfterBreak="0">
    <w:nsid w:val="47CF090E"/>
    <w:multiLevelType w:val="multilevel"/>
    <w:tmpl w:val="346EAB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3" w15:restartNumberingAfterBreak="0">
    <w:nsid w:val="485D6C0B"/>
    <w:multiLevelType w:val="multilevel"/>
    <w:tmpl w:val="41F0241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4" w15:restartNumberingAfterBreak="0">
    <w:nsid w:val="490051F6"/>
    <w:multiLevelType w:val="hybridMultilevel"/>
    <w:tmpl w:val="2B142D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5" w15:restartNumberingAfterBreak="0">
    <w:nsid w:val="49032E3D"/>
    <w:multiLevelType w:val="multilevel"/>
    <w:tmpl w:val="1EF28C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6" w15:restartNumberingAfterBreak="0">
    <w:nsid w:val="4C337D5E"/>
    <w:multiLevelType w:val="multilevel"/>
    <w:tmpl w:val="9DAAE9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7" w15:restartNumberingAfterBreak="0">
    <w:nsid w:val="4E7637EA"/>
    <w:multiLevelType w:val="multilevel"/>
    <w:tmpl w:val="AA2830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8" w15:restartNumberingAfterBreak="0">
    <w:nsid w:val="4EC52549"/>
    <w:multiLevelType w:val="multilevel"/>
    <w:tmpl w:val="43A8DE3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9" w15:restartNumberingAfterBreak="0">
    <w:nsid w:val="4F5230C0"/>
    <w:multiLevelType w:val="multilevel"/>
    <w:tmpl w:val="AACE1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0" w15:restartNumberingAfterBreak="0">
    <w:nsid w:val="505B67CD"/>
    <w:multiLevelType w:val="multilevel"/>
    <w:tmpl w:val="C7BCFE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1" w15:restartNumberingAfterBreak="0">
    <w:nsid w:val="53325985"/>
    <w:multiLevelType w:val="multilevel"/>
    <w:tmpl w:val="005287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2" w15:restartNumberingAfterBreak="0">
    <w:nsid w:val="54503C68"/>
    <w:multiLevelType w:val="multilevel"/>
    <w:tmpl w:val="4BB4CB9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3" w15:restartNumberingAfterBreak="0">
    <w:nsid w:val="55C818EF"/>
    <w:multiLevelType w:val="multilevel"/>
    <w:tmpl w:val="63F082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4" w15:restartNumberingAfterBreak="0">
    <w:nsid w:val="566F3735"/>
    <w:multiLevelType w:val="multilevel"/>
    <w:tmpl w:val="383E10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5" w15:restartNumberingAfterBreak="0">
    <w:nsid w:val="56A96389"/>
    <w:multiLevelType w:val="multilevel"/>
    <w:tmpl w:val="97622CA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6" w15:restartNumberingAfterBreak="0">
    <w:nsid w:val="576F08EC"/>
    <w:multiLevelType w:val="multilevel"/>
    <w:tmpl w:val="E496CA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7"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8" w15:restartNumberingAfterBreak="0">
    <w:nsid w:val="57DD7443"/>
    <w:multiLevelType w:val="multilevel"/>
    <w:tmpl w:val="F2EE486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9" w15:restartNumberingAfterBreak="0">
    <w:nsid w:val="598B750B"/>
    <w:multiLevelType w:val="multilevel"/>
    <w:tmpl w:val="EFBA58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0" w15:restartNumberingAfterBreak="0">
    <w:nsid w:val="5B910B97"/>
    <w:multiLevelType w:val="multilevel"/>
    <w:tmpl w:val="B98EEF0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1" w15:restartNumberingAfterBreak="0">
    <w:nsid w:val="5BE36DFC"/>
    <w:multiLevelType w:val="multilevel"/>
    <w:tmpl w:val="31B0B14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2" w15:restartNumberingAfterBreak="0">
    <w:nsid w:val="5E4E1A18"/>
    <w:multiLevelType w:val="multilevel"/>
    <w:tmpl w:val="71AC62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3" w15:restartNumberingAfterBreak="0">
    <w:nsid w:val="5E70291B"/>
    <w:multiLevelType w:val="multilevel"/>
    <w:tmpl w:val="66C873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4" w15:restartNumberingAfterBreak="0">
    <w:nsid w:val="5F7C621F"/>
    <w:multiLevelType w:val="multilevel"/>
    <w:tmpl w:val="0D4699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5" w15:restartNumberingAfterBreak="0">
    <w:nsid w:val="605F72AF"/>
    <w:multiLevelType w:val="multilevel"/>
    <w:tmpl w:val="E79039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6" w15:restartNumberingAfterBreak="0">
    <w:nsid w:val="61565D29"/>
    <w:multiLevelType w:val="multilevel"/>
    <w:tmpl w:val="7D440E8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7" w15:restartNumberingAfterBreak="0">
    <w:nsid w:val="632A7D07"/>
    <w:multiLevelType w:val="multilevel"/>
    <w:tmpl w:val="8578D1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8" w15:restartNumberingAfterBreak="0">
    <w:nsid w:val="635161FF"/>
    <w:multiLevelType w:val="multilevel"/>
    <w:tmpl w:val="E90885C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9" w15:restartNumberingAfterBreak="0">
    <w:nsid w:val="641F3E72"/>
    <w:multiLevelType w:val="multilevel"/>
    <w:tmpl w:val="C9E02E7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0" w15:restartNumberingAfterBreak="0">
    <w:nsid w:val="65437F6C"/>
    <w:multiLevelType w:val="multilevel"/>
    <w:tmpl w:val="642681F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1" w15:restartNumberingAfterBreak="0">
    <w:nsid w:val="6576206F"/>
    <w:multiLevelType w:val="multilevel"/>
    <w:tmpl w:val="08DADE2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82" w15:restartNumberingAfterBreak="0">
    <w:nsid w:val="65DE4F4F"/>
    <w:multiLevelType w:val="multilevel"/>
    <w:tmpl w:val="909E9D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3" w15:restartNumberingAfterBreak="0">
    <w:nsid w:val="675D1599"/>
    <w:multiLevelType w:val="multilevel"/>
    <w:tmpl w:val="8B9C51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4" w15:restartNumberingAfterBreak="0">
    <w:nsid w:val="6A35444F"/>
    <w:multiLevelType w:val="multilevel"/>
    <w:tmpl w:val="75FA85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5" w15:restartNumberingAfterBreak="0">
    <w:nsid w:val="6CCC1F2D"/>
    <w:multiLevelType w:val="multilevel"/>
    <w:tmpl w:val="BB5C2E6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6" w15:restartNumberingAfterBreak="0">
    <w:nsid w:val="6E1D255F"/>
    <w:multiLevelType w:val="multilevel"/>
    <w:tmpl w:val="DDD6F2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87" w15:restartNumberingAfterBreak="0">
    <w:nsid w:val="6F12433F"/>
    <w:multiLevelType w:val="multilevel"/>
    <w:tmpl w:val="584266B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8" w15:restartNumberingAfterBreak="0">
    <w:nsid w:val="6F19662F"/>
    <w:multiLevelType w:val="multilevel"/>
    <w:tmpl w:val="BAFCF27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9" w15:restartNumberingAfterBreak="0">
    <w:nsid w:val="6FE97D51"/>
    <w:multiLevelType w:val="multilevel"/>
    <w:tmpl w:val="C3E846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0"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1" w15:restartNumberingAfterBreak="0">
    <w:nsid w:val="71D54AE4"/>
    <w:multiLevelType w:val="multilevel"/>
    <w:tmpl w:val="BC48AB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2" w15:restartNumberingAfterBreak="0">
    <w:nsid w:val="72627D2F"/>
    <w:multiLevelType w:val="multilevel"/>
    <w:tmpl w:val="8DAEF19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3" w15:restartNumberingAfterBreak="0">
    <w:nsid w:val="772346B4"/>
    <w:multiLevelType w:val="multilevel"/>
    <w:tmpl w:val="6A78E9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4" w15:restartNumberingAfterBreak="0">
    <w:nsid w:val="7818155C"/>
    <w:multiLevelType w:val="multilevel"/>
    <w:tmpl w:val="42A077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5" w15:restartNumberingAfterBreak="0">
    <w:nsid w:val="78FB7E6F"/>
    <w:multiLevelType w:val="multilevel"/>
    <w:tmpl w:val="6A304B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6" w15:restartNumberingAfterBreak="0">
    <w:nsid w:val="78FD588A"/>
    <w:multiLevelType w:val="hybridMultilevel"/>
    <w:tmpl w:val="94748DB4"/>
    <w:lvl w:ilvl="0" w:tplc="2D56A8C8">
      <w:start w:val="6"/>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7" w15:restartNumberingAfterBreak="0">
    <w:nsid w:val="795E6223"/>
    <w:multiLevelType w:val="multilevel"/>
    <w:tmpl w:val="3CF4B0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98" w15:restartNumberingAfterBreak="0">
    <w:nsid w:val="796A3855"/>
    <w:multiLevelType w:val="multilevel"/>
    <w:tmpl w:val="86F4D50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9" w15:restartNumberingAfterBreak="0">
    <w:nsid w:val="797F5FB9"/>
    <w:multiLevelType w:val="multilevel"/>
    <w:tmpl w:val="3378120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0" w15:restartNumberingAfterBreak="0">
    <w:nsid w:val="7A2E7F44"/>
    <w:multiLevelType w:val="multilevel"/>
    <w:tmpl w:val="5F82865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1" w15:restartNumberingAfterBreak="0">
    <w:nsid w:val="7C692CD8"/>
    <w:multiLevelType w:val="multilevel"/>
    <w:tmpl w:val="265043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2" w15:restartNumberingAfterBreak="0">
    <w:nsid w:val="7C73177A"/>
    <w:multiLevelType w:val="multilevel"/>
    <w:tmpl w:val="9320D3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3" w15:restartNumberingAfterBreak="0">
    <w:nsid w:val="7F2C1F71"/>
    <w:multiLevelType w:val="multilevel"/>
    <w:tmpl w:val="C9BA76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12">
    <w:abstractNumId w:val="111"/>
  </w:num>
  <w:num w:numId="111">
    <w:abstractNumId w:val="110"/>
  </w:num>
  <w:num w:numId="110">
    <w:abstractNumId w:val="109"/>
  </w:num>
  <w:num w:numId="109">
    <w:abstractNumId w:val="108"/>
  </w:num>
  <w:num w:numId="108">
    <w:abstractNumId w:val="107"/>
  </w:num>
  <w:num w:numId="107">
    <w:abstractNumId w:val="106"/>
  </w:num>
  <w:num w:numId="106">
    <w:abstractNumId w:val="105"/>
  </w:num>
  <w:num w:numId="105">
    <w:abstractNumId w:val="104"/>
  </w:num>
  <w:num w:numId="1" w16cid:durableId="1092819689">
    <w:abstractNumId w:val="96"/>
  </w:num>
  <w:num w:numId="2" w16cid:durableId="1500121260">
    <w:abstractNumId w:val="54"/>
  </w:num>
  <w:num w:numId="3" w16cid:durableId="438111508">
    <w:abstractNumId w:val="90"/>
  </w:num>
  <w:num w:numId="4" w16cid:durableId="106121269">
    <w:abstractNumId w:val="18"/>
  </w:num>
  <w:num w:numId="5" w16cid:durableId="1173763238">
    <w:abstractNumId w:val="66"/>
  </w:num>
  <w:num w:numId="6" w16cid:durableId="676225712">
    <w:abstractNumId w:val="93"/>
  </w:num>
  <w:num w:numId="7" w16cid:durableId="654647421">
    <w:abstractNumId w:val="65"/>
  </w:num>
  <w:num w:numId="8" w16cid:durableId="972827862">
    <w:abstractNumId w:val="68"/>
  </w:num>
  <w:num w:numId="9" w16cid:durableId="73359902">
    <w:abstractNumId w:val="45"/>
  </w:num>
  <w:num w:numId="10" w16cid:durableId="1233615214">
    <w:abstractNumId w:val="12"/>
  </w:num>
  <w:num w:numId="11" w16cid:durableId="1037585576">
    <w:abstractNumId w:val="98"/>
  </w:num>
  <w:num w:numId="12" w16cid:durableId="1454127918">
    <w:abstractNumId w:val="83"/>
  </w:num>
  <w:num w:numId="13" w16cid:durableId="1655717882">
    <w:abstractNumId w:val="31"/>
  </w:num>
  <w:num w:numId="14" w16cid:durableId="679818721">
    <w:abstractNumId w:val="7"/>
  </w:num>
  <w:num w:numId="15" w16cid:durableId="820851363">
    <w:abstractNumId w:val="2"/>
  </w:num>
  <w:num w:numId="16" w16cid:durableId="1752123437">
    <w:abstractNumId w:val="58"/>
  </w:num>
  <w:num w:numId="17" w16cid:durableId="776406381">
    <w:abstractNumId w:val="11"/>
  </w:num>
  <w:num w:numId="18" w16cid:durableId="2003772795">
    <w:abstractNumId w:val="101"/>
  </w:num>
  <w:num w:numId="19" w16cid:durableId="471214588">
    <w:abstractNumId w:val="8"/>
  </w:num>
  <w:num w:numId="20" w16cid:durableId="747188340">
    <w:abstractNumId w:val="89"/>
  </w:num>
  <w:num w:numId="21" w16cid:durableId="1617635105">
    <w:abstractNumId w:val="21"/>
  </w:num>
  <w:num w:numId="22" w16cid:durableId="1919750537">
    <w:abstractNumId w:val="94"/>
  </w:num>
  <w:num w:numId="23" w16cid:durableId="1917666381">
    <w:abstractNumId w:val="4"/>
  </w:num>
  <w:num w:numId="24" w16cid:durableId="836925604">
    <w:abstractNumId w:val="82"/>
  </w:num>
  <w:num w:numId="25" w16cid:durableId="881479433">
    <w:abstractNumId w:val="69"/>
  </w:num>
  <w:num w:numId="26" w16cid:durableId="164788852">
    <w:abstractNumId w:val="73"/>
  </w:num>
  <w:num w:numId="27" w16cid:durableId="735323509">
    <w:abstractNumId w:val="16"/>
  </w:num>
  <w:num w:numId="28" w16cid:durableId="1000431254">
    <w:abstractNumId w:val="44"/>
  </w:num>
  <w:num w:numId="29" w16cid:durableId="434404662">
    <w:abstractNumId w:val="24"/>
  </w:num>
  <w:num w:numId="30" w16cid:durableId="792409853">
    <w:abstractNumId w:val="52"/>
  </w:num>
  <w:num w:numId="31" w16cid:durableId="70469880">
    <w:abstractNumId w:val="56"/>
  </w:num>
  <w:num w:numId="32" w16cid:durableId="1255548974">
    <w:abstractNumId w:val="49"/>
  </w:num>
  <w:num w:numId="33" w16cid:durableId="509951972">
    <w:abstractNumId w:val="37"/>
  </w:num>
  <w:num w:numId="34" w16cid:durableId="1491873496">
    <w:abstractNumId w:val="61"/>
  </w:num>
  <w:num w:numId="35" w16cid:durableId="1277179892">
    <w:abstractNumId w:val="72"/>
  </w:num>
  <w:num w:numId="36" w16cid:durableId="1137721610">
    <w:abstractNumId w:val="57"/>
  </w:num>
  <w:num w:numId="37" w16cid:durableId="1569337486">
    <w:abstractNumId w:val="102"/>
  </w:num>
  <w:num w:numId="38" w16cid:durableId="1771851078">
    <w:abstractNumId w:val="5"/>
  </w:num>
  <w:num w:numId="39" w16cid:durableId="1096747610">
    <w:abstractNumId w:val="23"/>
  </w:num>
  <w:num w:numId="40" w16cid:durableId="1853105471">
    <w:abstractNumId w:val="84"/>
  </w:num>
  <w:num w:numId="41" w16cid:durableId="2016615092">
    <w:abstractNumId w:val="53"/>
  </w:num>
  <w:num w:numId="42" w16cid:durableId="439030946">
    <w:abstractNumId w:val="70"/>
  </w:num>
  <w:num w:numId="43" w16cid:durableId="315690756">
    <w:abstractNumId w:val="38"/>
  </w:num>
  <w:num w:numId="44" w16cid:durableId="1252278660">
    <w:abstractNumId w:val="14"/>
  </w:num>
  <w:num w:numId="45" w16cid:durableId="1719351677">
    <w:abstractNumId w:val="76"/>
  </w:num>
  <w:num w:numId="46" w16cid:durableId="1107427397">
    <w:abstractNumId w:val="26"/>
  </w:num>
  <w:num w:numId="47" w16cid:durableId="371266753">
    <w:abstractNumId w:val="71"/>
  </w:num>
  <w:num w:numId="48" w16cid:durableId="491869272">
    <w:abstractNumId w:val="30"/>
  </w:num>
  <w:num w:numId="49" w16cid:durableId="1351251430">
    <w:abstractNumId w:val="74"/>
  </w:num>
  <w:num w:numId="50" w16cid:durableId="1368607436">
    <w:abstractNumId w:val="95"/>
  </w:num>
  <w:num w:numId="51" w16cid:durableId="1588029100">
    <w:abstractNumId w:val="100"/>
  </w:num>
  <w:num w:numId="52" w16cid:durableId="415832180">
    <w:abstractNumId w:val="91"/>
  </w:num>
  <w:num w:numId="53" w16cid:durableId="1178735139">
    <w:abstractNumId w:val="46"/>
  </w:num>
  <w:num w:numId="54" w16cid:durableId="721834200">
    <w:abstractNumId w:val="55"/>
  </w:num>
  <w:num w:numId="55" w16cid:durableId="686251813">
    <w:abstractNumId w:val="1"/>
  </w:num>
  <w:num w:numId="56" w16cid:durableId="1960641414">
    <w:abstractNumId w:val="15"/>
  </w:num>
  <w:num w:numId="57" w16cid:durableId="39089564">
    <w:abstractNumId w:val="48"/>
  </w:num>
  <w:num w:numId="58" w16cid:durableId="1192718157">
    <w:abstractNumId w:val="22"/>
  </w:num>
  <w:num w:numId="59" w16cid:durableId="1777825955">
    <w:abstractNumId w:val="77"/>
  </w:num>
  <w:num w:numId="60" w16cid:durableId="286199487">
    <w:abstractNumId w:val="27"/>
  </w:num>
  <w:num w:numId="61" w16cid:durableId="1119490663">
    <w:abstractNumId w:val="60"/>
  </w:num>
  <w:num w:numId="62" w16cid:durableId="1353922786">
    <w:abstractNumId w:val="34"/>
  </w:num>
  <w:num w:numId="63" w16cid:durableId="492723980">
    <w:abstractNumId w:val="64"/>
  </w:num>
  <w:num w:numId="64" w16cid:durableId="526941613">
    <w:abstractNumId w:val="35"/>
  </w:num>
  <w:num w:numId="65" w16cid:durableId="320043301">
    <w:abstractNumId w:val="62"/>
  </w:num>
  <w:num w:numId="66" w16cid:durableId="2037610982">
    <w:abstractNumId w:val="6"/>
  </w:num>
  <w:num w:numId="67" w16cid:durableId="1079794559">
    <w:abstractNumId w:val="41"/>
  </w:num>
  <w:num w:numId="68" w16cid:durableId="503403534">
    <w:abstractNumId w:val="36"/>
  </w:num>
  <w:num w:numId="69" w16cid:durableId="194734275">
    <w:abstractNumId w:val="13"/>
  </w:num>
  <w:num w:numId="70" w16cid:durableId="424033359">
    <w:abstractNumId w:val="47"/>
  </w:num>
  <w:num w:numId="71" w16cid:durableId="1335066293">
    <w:abstractNumId w:val="86"/>
  </w:num>
  <w:num w:numId="72" w16cid:durableId="662587085">
    <w:abstractNumId w:val="39"/>
  </w:num>
  <w:num w:numId="73" w16cid:durableId="2071072074">
    <w:abstractNumId w:val="81"/>
  </w:num>
  <w:num w:numId="74" w16cid:durableId="1573662111">
    <w:abstractNumId w:val="97"/>
  </w:num>
  <w:num w:numId="75" w16cid:durableId="131678057">
    <w:abstractNumId w:val="92"/>
  </w:num>
  <w:num w:numId="76" w16cid:durableId="2103643901">
    <w:abstractNumId w:val="80"/>
  </w:num>
  <w:num w:numId="77" w16cid:durableId="99565733">
    <w:abstractNumId w:val="29"/>
  </w:num>
  <w:num w:numId="78" w16cid:durableId="1810784339">
    <w:abstractNumId w:val="67"/>
  </w:num>
  <w:num w:numId="79" w16cid:durableId="1491748033">
    <w:abstractNumId w:val="79"/>
  </w:num>
  <w:num w:numId="80" w16cid:durableId="670565925">
    <w:abstractNumId w:val="20"/>
  </w:num>
  <w:num w:numId="81" w16cid:durableId="211696971">
    <w:abstractNumId w:val="28"/>
  </w:num>
  <w:num w:numId="82" w16cid:durableId="1773429901">
    <w:abstractNumId w:val="43"/>
  </w:num>
  <w:num w:numId="83" w16cid:durableId="804733676">
    <w:abstractNumId w:val="32"/>
  </w:num>
  <w:num w:numId="84" w16cid:durableId="488864096">
    <w:abstractNumId w:val="87"/>
  </w:num>
  <w:num w:numId="85" w16cid:durableId="1599749197">
    <w:abstractNumId w:val="42"/>
  </w:num>
  <w:num w:numId="86" w16cid:durableId="1726679607">
    <w:abstractNumId w:val="25"/>
  </w:num>
  <w:num w:numId="87" w16cid:durableId="1630209448">
    <w:abstractNumId w:val="50"/>
  </w:num>
  <w:num w:numId="88" w16cid:durableId="928663234">
    <w:abstractNumId w:val="63"/>
  </w:num>
  <w:num w:numId="89" w16cid:durableId="2017072952">
    <w:abstractNumId w:val="75"/>
  </w:num>
  <w:num w:numId="90" w16cid:durableId="58405484">
    <w:abstractNumId w:val="33"/>
  </w:num>
  <w:num w:numId="91" w16cid:durableId="1817530714">
    <w:abstractNumId w:val="17"/>
  </w:num>
  <w:num w:numId="92" w16cid:durableId="2141336387">
    <w:abstractNumId w:val="59"/>
  </w:num>
  <w:num w:numId="93" w16cid:durableId="1325282792">
    <w:abstractNumId w:val="3"/>
  </w:num>
  <w:num w:numId="94" w16cid:durableId="1319654748">
    <w:abstractNumId w:val="78"/>
  </w:num>
  <w:num w:numId="95" w16cid:durableId="556555801">
    <w:abstractNumId w:val="0"/>
  </w:num>
  <w:num w:numId="96" w16cid:durableId="1903828627">
    <w:abstractNumId w:val="19"/>
  </w:num>
  <w:num w:numId="97" w16cid:durableId="281425930">
    <w:abstractNumId w:val="51"/>
  </w:num>
  <w:num w:numId="98" w16cid:durableId="1491553762">
    <w:abstractNumId w:val="40"/>
  </w:num>
  <w:num w:numId="99" w16cid:durableId="965625632">
    <w:abstractNumId w:val="85"/>
  </w:num>
  <w:num w:numId="100" w16cid:durableId="1481145624">
    <w:abstractNumId w:val="103"/>
  </w:num>
  <w:num w:numId="101" w16cid:durableId="29957555">
    <w:abstractNumId w:val="99"/>
  </w:num>
  <w:num w:numId="102" w16cid:durableId="1042821728">
    <w:abstractNumId w:val="88"/>
  </w:num>
  <w:num w:numId="103" w16cid:durableId="1001011599">
    <w:abstractNumId w:val="9"/>
  </w:num>
  <w:num w:numId="104" w16cid:durableId="1775708432">
    <w:abstractNumId w:val="10"/>
  </w:num>
  <w:numIdMacAtCleanup w:val="102"/>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591D"/>
    <w:rsid w:val="00016723"/>
    <w:rsid w:val="000264A2"/>
    <w:rsid w:val="000400E4"/>
    <w:rsid w:val="00051148"/>
    <w:rsid w:val="00063B4C"/>
    <w:rsid w:val="00070782"/>
    <w:rsid w:val="000D05D8"/>
    <w:rsid w:val="000D0641"/>
    <w:rsid w:val="000D2B00"/>
    <w:rsid w:val="000F71D2"/>
    <w:rsid w:val="00112666"/>
    <w:rsid w:val="00131DEC"/>
    <w:rsid w:val="001601E6"/>
    <w:rsid w:val="001C3AF6"/>
    <w:rsid w:val="001C7C1F"/>
    <w:rsid w:val="001D1485"/>
    <w:rsid w:val="001F19A6"/>
    <w:rsid w:val="001F3B1B"/>
    <w:rsid w:val="00211184"/>
    <w:rsid w:val="002116A0"/>
    <w:rsid w:val="00211D17"/>
    <w:rsid w:val="0021364B"/>
    <w:rsid w:val="00215228"/>
    <w:rsid w:val="00226F18"/>
    <w:rsid w:val="002279D1"/>
    <w:rsid w:val="0025020C"/>
    <w:rsid w:val="00256951"/>
    <w:rsid w:val="00267917"/>
    <w:rsid w:val="00280BF4"/>
    <w:rsid w:val="002865F5"/>
    <w:rsid w:val="00291C90"/>
    <w:rsid w:val="00292A36"/>
    <w:rsid w:val="002B48CD"/>
    <w:rsid w:val="002C6ECF"/>
    <w:rsid w:val="002D64A3"/>
    <w:rsid w:val="002D64FB"/>
    <w:rsid w:val="002F5E53"/>
    <w:rsid w:val="00312E58"/>
    <w:rsid w:val="003135AD"/>
    <w:rsid w:val="00347F6E"/>
    <w:rsid w:val="00393F39"/>
    <w:rsid w:val="003A5277"/>
    <w:rsid w:val="003A66FD"/>
    <w:rsid w:val="003B1E32"/>
    <w:rsid w:val="003F7B00"/>
    <w:rsid w:val="00405711"/>
    <w:rsid w:val="00415C77"/>
    <w:rsid w:val="00447699"/>
    <w:rsid w:val="00450264"/>
    <w:rsid w:val="0045571A"/>
    <w:rsid w:val="004677D1"/>
    <w:rsid w:val="004B08E4"/>
    <w:rsid w:val="004B7774"/>
    <w:rsid w:val="004C6810"/>
    <w:rsid w:val="004D4021"/>
    <w:rsid w:val="004D6648"/>
    <w:rsid w:val="004F672A"/>
    <w:rsid w:val="005119DE"/>
    <w:rsid w:val="00533244"/>
    <w:rsid w:val="005446BF"/>
    <w:rsid w:val="0055147E"/>
    <w:rsid w:val="005A3ABC"/>
    <w:rsid w:val="005A7903"/>
    <w:rsid w:val="005B3EDE"/>
    <w:rsid w:val="005B6E67"/>
    <w:rsid w:val="005C5E80"/>
    <w:rsid w:val="005D7A1E"/>
    <w:rsid w:val="005E1650"/>
    <w:rsid w:val="00604A87"/>
    <w:rsid w:val="00621776"/>
    <w:rsid w:val="00621872"/>
    <w:rsid w:val="00622F31"/>
    <w:rsid w:val="00636D9A"/>
    <w:rsid w:val="00645B07"/>
    <w:rsid w:val="006629D9"/>
    <w:rsid w:val="006673D3"/>
    <w:rsid w:val="006A3F0D"/>
    <w:rsid w:val="006A4515"/>
    <w:rsid w:val="006C78AA"/>
    <w:rsid w:val="006D3F80"/>
    <w:rsid w:val="006F04D4"/>
    <w:rsid w:val="006F4AB2"/>
    <w:rsid w:val="007063BA"/>
    <w:rsid w:val="00730C3C"/>
    <w:rsid w:val="0073280B"/>
    <w:rsid w:val="00746C2A"/>
    <w:rsid w:val="00750A75"/>
    <w:rsid w:val="00750B5B"/>
    <w:rsid w:val="00761F00"/>
    <w:rsid w:val="0077163A"/>
    <w:rsid w:val="0077488D"/>
    <w:rsid w:val="00785752"/>
    <w:rsid w:val="007866AA"/>
    <w:rsid w:val="0078716F"/>
    <w:rsid w:val="007A59C8"/>
    <w:rsid w:val="007A712E"/>
    <w:rsid w:val="007C246B"/>
    <w:rsid w:val="007C685B"/>
    <w:rsid w:val="007F7847"/>
    <w:rsid w:val="00804B94"/>
    <w:rsid w:val="00807B11"/>
    <w:rsid w:val="00826376"/>
    <w:rsid w:val="008313B6"/>
    <w:rsid w:val="00864F04"/>
    <w:rsid w:val="008705A9"/>
    <w:rsid w:val="0088041A"/>
    <w:rsid w:val="00880B2D"/>
    <w:rsid w:val="00883AB0"/>
    <w:rsid w:val="00886CC0"/>
    <w:rsid w:val="00894108"/>
    <w:rsid w:val="008B1DFA"/>
    <w:rsid w:val="008C38C3"/>
    <w:rsid w:val="008D67B7"/>
    <w:rsid w:val="008D6F0F"/>
    <w:rsid w:val="008E2B12"/>
    <w:rsid w:val="008E7B2E"/>
    <w:rsid w:val="009050FA"/>
    <w:rsid w:val="00916814"/>
    <w:rsid w:val="00967C4F"/>
    <w:rsid w:val="009902FB"/>
    <w:rsid w:val="00995444"/>
    <w:rsid w:val="009C66DA"/>
    <w:rsid w:val="009D06C5"/>
    <w:rsid w:val="009D534C"/>
    <w:rsid w:val="009D728C"/>
    <w:rsid w:val="009E5B14"/>
    <w:rsid w:val="009F13CC"/>
    <w:rsid w:val="00A54D44"/>
    <w:rsid w:val="00A90A7A"/>
    <w:rsid w:val="00AA437C"/>
    <w:rsid w:val="00AA5321"/>
    <w:rsid w:val="00AB78F0"/>
    <w:rsid w:val="00AE4C61"/>
    <w:rsid w:val="00B01396"/>
    <w:rsid w:val="00B4218A"/>
    <w:rsid w:val="00B575E2"/>
    <w:rsid w:val="00B7073C"/>
    <w:rsid w:val="00B804EE"/>
    <w:rsid w:val="00B858A1"/>
    <w:rsid w:val="00B95AFB"/>
    <w:rsid w:val="00B97445"/>
    <w:rsid w:val="00BA06D0"/>
    <w:rsid w:val="00BB65AC"/>
    <w:rsid w:val="00BD2909"/>
    <w:rsid w:val="00BEB5B3"/>
    <w:rsid w:val="00BF155C"/>
    <w:rsid w:val="00C01245"/>
    <w:rsid w:val="00C17A49"/>
    <w:rsid w:val="00C91479"/>
    <w:rsid w:val="00C91B3A"/>
    <w:rsid w:val="00CB3AF6"/>
    <w:rsid w:val="00CB3C13"/>
    <w:rsid w:val="00CB7F87"/>
    <w:rsid w:val="00CE3FD1"/>
    <w:rsid w:val="00CE620E"/>
    <w:rsid w:val="00CF1ED5"/>
    <w:rsid w:val="00CF438D"/>
    <w:rsid w:val="00D015B2"/>
    <w:rsid w:val="00D13A82"/>
    <w:rsid w:val="00D13DB7"/>
    <w:rsid w:val="00D559DE"/>
    <w:rsid w:val="00D57EA8"/>
    <w:rsid w:val="00D600BC"/>
    <w:rsid w:val="00DA5B44"/>
    <w:rsid w:val="00DA7C4B"/>
    <w:rsid w:val="00DB71AC"/>
    <w:rsid w:val="00DC00D1"/>
    <w:rsid w:val="00DD02A4"/>
    <w:rsid w:val="00DD2F55"/>
    <w:rsid w:val="00DE1A02"/>
    <w:rsid w:val="00E05C6C"/>
    <w:rsid w:val="00E157E1"/>
    <w:rsid w:val="00E2182C"/>
    <w:rsid w:val="00E244D7"/>
    <w:rsid w:val="00E26DD1"/>
    <w:rsid w:val="00E27523"/>
    <w:rsid w:val="00E325CF"/>
    <w:rsid w:val="00E40B0D"/>
    <w:rsid w:val="00E47E2C"/>
    <w:rsid w:val="00E65019"/>
    <w:rsid w:val="00E71420"/>
    <w:rsid w:val="00E94DA0"/>
    <w:rsid w:val="00EA5CC3"/>
    <w:rsid w:val="00EE1EA6"/>
    <w:rsid w:val="00EF1EA0"/>
    <w:rsid w:val="00EF3695"/>
    <w:rsid w:val="00EF6341"/>
    <w:rsid w:val="00F02373"/>
    <w:rsid w:val="00F0560A"/>
    <w:rsid w:val="00F158D7"/>
    <w:rsid w:val="00F20EE5"/>
    <w:rsid w:val="00F2664A"/>
    <w:rsid w:val="00F44833"/>
    <w:rsid w:val="00F46BDA"/>
    <w:rsid w:val="00F544B0"/>
    <w:rsid w:val="00F67C87"/>
    <w:rsid w:val="00F84C23"/>
    <w:rsid w:val="00FD3DE0"/>
    <w:rsid w:val="00FD7729"/>
    <w:rsid w:val="00FD7C22"/>
    <w:rsid w:val="012A1928"/>
    <w:rsid w:val="0136EA50"/>
    <w:rsid w:val="0146587B"/>
    <w:rsid w:val="020D8A32"/>
    <w:rsid w:val="031E6882"/>
    <w:rsid w:val="03D3D132"/>
    <w:rsid w:val="03F5AB4D"/>
    <w:rsid w:val="040C2836"/>
    <w:rsid w:val="047C69BB"/>
    <w:rsid w:val="04D8E8E0"/>
    <w:rsid w:val="0588C3F4"/>
    <w:rsid w:val="05A9B10B"/>
    <w:rsid w:val="066ABF87"/>
    <w:rsid w:val="068775C2"/>
    <w:rsid w:val="069A669F"/>
    <w:rsid w:val="06E0F3B9"/>
    <w:rsid w:val="06E5547C"/>
    <w:rsid w:val="07872802"/>
    <w:rsid w:val="07CB4511"/>
    <w:rsid w:val="08FFCB75"/>
    <w:rsid w:val="0954D606"/>
    <w:rsid w:val="09DF8BDD"/>
    <w:rsid w:val="0AC368D1"/>
    <w:rsid w:val="0ACD75D0"/>
    <w:rsid w:val="0B176C4F"/>
    <w:rsid w:val="0BB609E4"/>
    <w:rsid w:val="0C402DBD"/>
    <w:rsid w:val="0C4BD3E0"/>
    <w:rsid w:val="0D329D64"/>
    <w:rsid w:val="0D39EAC0"/>
    <w:rsid w:val="0D61D70A"/>
    <w:rsid w:val="0DE4BD0C"/>
    <w:rsid w:val="0E09E39D"/>
    <w:rsid w:val="0F09B3FE"/>
    <w:rsid w:val="0F64FD86"/>
    <w:rsid w:val="0FADD2FD"/>
    <w:rsid w:val="1032FA94"/>
    <w:rsid w:val="107AFD24"/>
    <w:rsid w:val="10824A9D"/>
    <w:rsid w:val="109593B6"/>
    <w:rsid w:val="110C9E56"/>
    <w:rsid w:val="132289D0"/>
    <w:rsid w:val="13EBFC07"/>
    <w:rsid w:val="13FBBC93"/>
    <w:rsid w:val="15313235"/>
    <w:rsid w:val="15CAB30A"/>
    <w:rsid w:val="15D6F7DC"/>
    <w:rsid w:val="163E47C6"/>
    <w:rsid w:val="17B297E9"/>
    <w:rsid w:val="17BB852C"/>
    <w:rsid w:val="182753FF"/>
    <w:rsid w:val="187B3EB4"/>
    <w:rsid w:val="18A3BD0D"/>
    <w:rsid w:val="18C7F55F"/>
    <w:rsid w:val="18D739B3"/>
    <w:rsid w:val="18DDF961"/>
    <w:rsid w:val="1901430A"/>
    <w:rsid w:val="1903D05A"/>
    <w:rsid w:val="19260158"/>
    <w:rsid w:val="19322E68"/>
    <w:rsid w:val="19E16BC2"/>
    <w:rsid w:val="1A94AD99"/>
    <w:rsid w:val="1BCEE504"/>
    <w:rsid w:val="1BE7C2E9"/>
    <w:rsid w:val="1C58F847"/>
    <w:rsid w:val="1C862EF9"/>
    <w:rsid w:val="1CE6B729"/>
    <w:rsid w:val="1D26CE82"/>
    <w:rsid w:val="1DA31C22"/>
    <w:rsid w:val="1DBCC97E"/>
    <w:rsid w:val="1E48DACB"/>
    <w:rsid w:val="1F0F5198"/>
    <w:rsid w:val="20B79F1C"/>
    <w:rsid w:val="212CB968"/>
    <w:rsid w:val="213C9D5A"/>
    <w:rsid w:val="216DB259"/>
    <w:rsid w:val="2170E583"/>
    <w:rsid w:val="21AA9861"/>
    <w:rsid w:val="21D9F8F8"/>
    <w:rsid w:val="21E8F008"/>
    <w:rsid w:val="22794FBD"/>
    <w:rsid w:val="22D2CB68"/>
    <w:rsid w:val="22DB5143"/>
    <w:rsid w:val="234217E5"/>
    <w:rsid w:val="245E1DFC"/>
    <w:rsid w:val="248BA6D0"/>
    <w:rsid w:val="24EA82FA"/>
    <w:rsid w:val="2503FC73"/>
    <w:rsid w:val="25500489"/>
    <w:rsid w:val="25523151"/>
    <w:rsid w:val="2588B4F8"/>
    <w:rsid w:val="267D163A"/>
    <w:rsid w:val="28234B00"/>
    <w:rsid w:val="28552150"/>
    <w:rsid w:val="28BE18CF"/>
    <w:rsid w:val="28C8FBCE"/>
    <w:rsid w:val="28E363C7"/>
    <w:rsid w:val="28F6277B"/>
    <w:rsid w:val="29D76915"/>
    <w:rsid w:val="2B27ABDE"/>
    <w:rsid w:val="2C56AC2E"/>
    <w:rsid w:val="2C9CB0D9"/>
    <w:rsid w:val="2CB59CA2"/>
    <w:rsid w:val="2E35BCA3"/>
    <w:rsid w:val="2F5CEEAF"/>
    <w:rsid w:val="2F9B609E"/>
    <w:rsid w:val="2FDB5921"/>
    <w:rsid w:val="2FFD7B0E"/>
    <w:rsid w:val="311972ED"/>
    <w:rsid w:val="33EA687D"/>
    <w:rsid w:val="3473FF02"/>
    <w:rsid w:val="348D05C2"/>
    <w:rsid w:val="349D0398"/>
    <w:rsid w:val="34D4F2C1"/>
    <w:rsid w:val="3819BBF1"/>
    <w:rsid w:val="38DBDB3E"/>
    <w:rsid w:val="39B2EBCC"/>
    <w:rsid w:val="39EDED42"/>
    <w:rsid w:val="3A1833EF"/>
    <w:rsid w:val="3A560748"/>
    <w:rsid w:val="3A691EA7"/>
    <w:rsid w:val="3A8F112D"/>
    <w:rsid w:val="3AFB5D75"/>
    <w:rsid w:val="3B18BEB4"/>
    <w:rsid w:val="3BE9A95C"/>
    <w:rsid w:val="3C35F320"/>
    <w:rsid w:val="3C92820D"/>
    <w:rsid w:val="3CD811A4"/>
    <w:rsid w:val="3DB269D7"/>
    <w:rsid w:val="3DBA6D57"/>
    <w:rsid w:val="3DD7837C"/>
    <w:rsid w:val="3EB9B2EE"/>
    <w:rsid w:val="3F188940"/>
    <w:rsid w:val="40BF6023"/>
    <w:rsid w:val="414134DC"/>
    <w:rsid w:val="41A25E8F"/>
    <w:rsid w:val="429F3279"/>
    <w:rsid w:val="42B53855"/>
    <w:rsid w:val="43297183"/>
    <w:rsid w:val="43A881E9"/>
    <w:rsid w:val="4489BA25"/>
    <w:rsid w:val="44D7A155"/>
    <w:rsid w:val="4530B6F2"/>
    <w:rsid w:val="45395A75"/>
    <w:rsid w:val="454BB671"/>
    <w:rsid w:val="45700AFD"/>
    <w:rsid w:val="4575E582"/>
    <w:rsid w:val="4673E89E"/>
    <w:rsid w:val="46A497DF"/>
    <w:rsid w:val="4714EBDC"/>
    <w:rsid w:val="4719D148"/>
    <w:rsid w:val="47613A67"/>
    <w:rsid w:val="4766547A"/>
    <w:rsid w:val="47A36630"/>
    <w:rsid w:val="48BE20D3"/>
    <w:rsid w:val="4949889A"/>
    <w:rsid w:val="494CBE92"/>
    <w:rsid w:val="49566721"/>
    <w:rsid w:val="4AB4497A"/>
    <w:rsid w:val="4B1A3E5B"/>
    <w:rsid w:val="4B6AA555"/>
    <w:rsid w:val="4D182DB5"/>
    <w:rsid w:val="4DA516BB"/>
    <w:rsid w:val="4E563A4F"/>
    <w:rsid w:val="4E77B333"/>
    <w:rsid w:val="4EA64FF5"/>
    <w:rsid w:val="4EC78DFC"/>
    <w:rsid w:val="4F58BF63"/>
    <w:rsid w:val="4F8D6F63"/>
    <w:rsid w:val="503538DC"/>
    <w:rsid w:val="504B84F1"/>
    <w:rsid w:val="505537F7"/>
    <w:rsid w:val="50698B99"/>
    <w:rsid w:val="50BB3255"/>
    <w:rsid w:val="5174CFFE"/>
    <w:rsid w:val="51FEF667"/>
    <w:rsid w:val="5202BED1"/>
    <w:rsid w:val="524D1DFC"/>
    <w:rsid w:val="52DD4550"/>
    <w:rsid w:val="52F65138"/>
    <w:rsid w:val="5313F745"/>
    <w:rsid w:val="53719E67"/>
    <w:rsid w:val="5401E077"/>
    <w:rsid w:val="54AC7C6E"/>
    <w:rsid w:val="5505FDB7"/>
    <w:rsid w:val="5532D9C0"/>
    <w:rsid w:val="55640F46"/>
    <w:rsid w:val="557D67E6"/>
    <w:rsid w:val="55D3F783"/>
    <w:rsid w:val="561705C7"/>
    <w:rsid w:val="57C00B82"/>
    <w:rsid w:val="586ECB79"/>
    <w:rsid w:val="590BA9CA"/>
    <w:rsid w:val="5988D783"/>
    <w:rsid w:val="5A459A4C"/>
    <w:rsid w:val="5A92E367"/>
    <w:rsid w:val="5AFDE52B"/>
    <w:rsid w:val="5B57181B"/>
    <w:rsid w:val="5B5A9B20"/>
    <w:rsid w:val="5C5C0176"/>
    <w:rsid w:val="5D2F0C9A"/>
    <w:rsid w:val="5D3C9F60"/>
    <w:rsid w:val="5D5BD4D4"/>
    <w:rsid w:val="5F8C0BAB"/>
    <w:rsid w:val="5FC7B2F8"/>
    <w:rsid w:val="601D95F2"/>
    <w:rsid w:val="6026B3E3"/>
    <w:rsid w:val="6064D9B8"/>
    <w:rsid w:val="606583EC"/>
    <w:rsid w:val="606F8EA6"/>
    <w:rsid w:val="608A3FF6"/>
    <w:rsid w:val="6099937E"/>
    <w:rsid w:val="60BD3B3F"/>
    <w:rsid w:val="612C99AC"/>
    <w:rsid w:val="61E8DF8B"/>
    <w:rsid w:val="633EE386"/>
    <w:rsid w:val="63A362F4"/>
    <w:rsid w:val="640CB491"/>
    <w:rsid w:val="6447E850"/>
    <w:rsid w:val="64A2E297"/>
    <w:rsid w:val="64AF89B7"/>
    <w:rsid w:val="6505D8F8"/>
    <w:rsid w:val="651DBF33"/>
    <w:rsid w:val="65447168"/>
    <w:rsid w:val="65631615"/>
    <w:rsid w:val="65A43E1A"/>
    <w:rsid w:val="66F80FA9"/>
    <w:rsid w:val="676686AE"/>
    <w:rsid w:val="6794B09E"/>
    <w:rsid w:val="67E8DD4D"/>
    <w:rsid w:val="6812E61D"/>
    <w:rsid w:val="68F4D627"/>
    <w:rsid w:val="6A5B8B12"/>
    <w:rsid w:val="6A67A9C1"/>
    <w:rsid w:val="6ACD43E2"/>
    <w:rsid w:val="6B261840"/>
    <w:rsid w:val="6CD9BBB6"/>
    <w:rsid w:val="6D5B39E9"/>
    <w:rsid w:val="6D73EB9D"/>
    <w:rsid w:val="6E33C90B"/>
    <w:rsid w:val="6E4F8A4E"/>
    <w:rsid w:val="6E8E7A35"/>
    <w:rsid w:val="6E90B5E2"/>
    <w:rsid w:val="6EA0DD56"/>
    <w:rsid w:val="6F737F7C"/>
    <w:rsid w:val="6F9A387A"/>
    <w:rsid w:val="6FB1174F"/>
    <w:rsid w:val="7066E62D"/>
    <w:rsid w:val="70F47268"/>
    <w:rsid w:val="70F884A0"/>
    <w:rsid w:val="71FE935E"/>
    <w:rsid w:val="72B65DA6"/>
    <w:rsid w:val="7308D36C"/>
    <w:rsid w:val="73EA7FC2"/>
    <w:rsid w:val="7426C3E6"/>
    <w:rsid w:val="74D2570F"/>
    <w:rsid w:val="754DFB7D"/>
    <w:rsid w:val="75A2F87D"/>
    <w:rsid w:val="76CB39BB"/>
    <w:rsid w:val="77648362"/>
    <w:rsid w:val="78D576AF"/>
    <w:rsid w:val="78FBC936"/>
    <w:rsid w:val="7911298A"/>
    <w:rsid w:val="7AA410F0"/>
    <w:rsid w:val="7C0884BA"/>
    <w:rsid w:val="7C1067E8"/>
    <w:rsid w:val="7C699713"/>
    <w:rsid w:val="7C986D41"/>
    <w:rsid w:val="7CC02D46"/>
    <w:rsid w:val="7D8774FC"/>
    <w:rsid w:val="7E9C8267"/>
    <w:rsid w:val="7F0CCEE2"/>
    <w:rsid w:val="7F1FA0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hAnsi="Arial" w:eastAsia="Calibri Light"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hAnsi="Arial" w:eastAsia="Calibri Light" w:cs="Calibri Light"/>
      <w:kern w:val="0"/>
      <w:lang w:eastAsia="en-GB" w:bidi="en-GB"/>
      <w14:ligatures w14:val="none"/>
    </w:rPr>
  </w:style>
  <w:style w:type="character" w:styleId="BodyTextChar" w:customStyle="1">
    <w:name w:val="Body Text Char"/>
    <w:basedOn w:val="DefaultParagraphFont"/>
    <w:link w:val="BodyText"/>
    <w:uiPriority w:val="1"/>
    <w:rsid w:val="00063B4C"/>
    <w:rPr>
      <w:rFonts w:ascii="Arial" w:hAnsi="Arial" w:eastAsia="Calibri Light" w:cs="Calibri Light"/>
      <w:kern w:val="0"/>
      <w:lang w:eastAsia="en-GB" w:bidi="en-GB"/>
      <w14:ligatures w14:val="none"/>
    </w:rPr>
  </w:style>
  <w:style w:type="character" w:styleId="Heading1Char" w:customStyle="1">
    <w:name w:val="Heading 1 Char"/>
    <w:basedOn w:val="DefaultParagraphFont"/>
    <w:link w:val="Heading1"/>
    <w:uiPriority w:val="1"/>
    <w:rsid w:val="00063B4C"/>
    <w:rPr>
      <w:rFonts w:ascii="Arial" w:hAnsi="Arial" w:eastAsia="Calibri Light"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hAnsi="Times New Roman" w:eastAsia="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hAnsi="Calibri Light" w:eastAsia="Calibri Light" w:cs="Calibri Light"/>
      <w:kern w:val="0"/>
      <w:lang w:eastAsia="en-GB" w:bidi="en-GB"/>
      <w14:ligatures w14:val="none"/>
    </w:rPr>
  </w:style>
  <w:style w:type="character" w:styleId="Heading2Char" w:customStyle="1">
    <w:name w:val="Heading 2 Char"/>
    <w:basedOn w:val="DefaultParagraphFont"/>
    <w:link w:val="Heading2"/>
    <w:uiPriority w:val="9"/>
    <w:rsid w:val="005D7A1E"/>
    <w:rPr>
      <w:rFonts w:ascii="Aptos" w:hAnsi="Aptos" w:eastAsiaTheme="majorEastAsia"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styleId="paragraph" w:customStyle="1">
    <w:name w:val="paragraph"/>
    <w:basedOn w:val="Normal"/>
    <w:rsid w:val="00BD2909"/>
    <w:pPr>
      <w:spacing w:before="100" w:beforeAutospacing="1" w:after="100" w:afterAutospacing="1" w:line="240" w:lineRule="auto"/>
      <w:jc w:val="left"/>
    </w:pPr>
    <w:rPr>
      <w:rFonts w:ascii="Times New Roman" w:hAnsi="Times New Roman" w:eastAsia="Times New Roman" w:cs="Times New Roman"/>
      <w:kern w:val="0"/>
      <w:sz w:val="24"/>
      <w:szCs w:val="24"/>
      <w14:ligatures w14:val="none"/>
    </w:rPr>
  </w:style>
  <w:style w:type="character" w:styleId="normaltextrun" w:customStyle="1">
    <w:name w:val="normaltextrun"/>
    <w:basedOn w:val="DefaultParagraphFont"/>
    <w:rsid w:val="00BD2909"/>
  </w:style>
  <w:style w:type="character" w:styleId="eop" w:customStyle="1">
    <w:name w:val="eop"/>
    <w:basedOn w:val="DefaultParagraphFont"/>
    <w:rsid w:val="00BD2909"/>
  </w:style>
  <w:style w:type="character" w:styleId="Heading4Char" w:customStyle="1">
    <w:name w:val="Heading 4 Char"/>
    <w:basedOn w:val="DefaultParagraphFont"/>
    <w:link w:val="Heading4"/>
    <w:uiPriority w:val="9"/>
    <w:semiHidden/>
    <w:rsid w:val="007063BA"/>
    <w:rPr>
      <w:rFonts w:asciiTheme="majorHAnsi" w:hAnsiTheme="majorHAnsi" w:eastAsiaTheme="majorEastAsia" w:cstheme="majorBidi"/>
      <w:i/>
      <w:iCs/>
      <w:color w:val="2F5496" w:themeColor="accent1" w:themeShade="BF"/>
    </w:rPr>
  </w:style>
  <w:style w:type="character" w:styleId="Strong">
    <w:name w:val="Strong"/>
    <w:basedOn w:val="DefaultParagraphFont"/>
    <w:uiPriority w:val="22"/>
    <w:qFormat/>
    <w:rsid w:val="007063BA"/>
    <w:rPr>
      <w:b/>
      <w:bCs/>
    </w:rPr>
  </w:style>
  <w:style w:type="paragraph" w:styleId="TOCHeading">
    <w:name w:val="TOC Heading"/>
    <w:basedOn w:val="Heading1"/>
    <w:next w:val="Normal"/>
    <w:uiPriority w:val="39"/>
    <w:unhideWhenUsed/>
    <w:qFormat/>
    <w:rsid w:val="00967C4F"/>
    <w:pPr>
      <w:keepNext/>
      <w:keepLines/>
      <w:widowControl/>
      <w:autoSpaceDE/>
      <w:autoSpaceDN/>
      <w:spacing w:before="240" w:line="259" w:lineRule="auto"/>
      <w:ind w:left="0"/>
      <w:outlineLvl w:val="9"/>
    </w:pPr>
    <w:rPr>
      <w:rFonts w:asciiTheme="majorHAnsi" w:hAnsiTheme="majorHAnsi" w:eastAsiaTheme="majorEastAsia" w:cstheme="majorBidi"/>
      <w:b w:val="0"/>
      <w:color w:val="2F5496" w:themeColor="accent1" w:themeShade="BF"/>
      <w:lang w:val="en-US" w:eastAsia="en-US" w:bidi="ar-SA"/>
    </w:rPr>
  </w:style>
  <w:style w:type="paragraph" w:styleId="TOC1">
    <w:name w:val="toc 1"/>
    <w:basedOn w:val="Normal"/>
    <w:next w:val="Normal"/>
    <w:autoRedefine/>
    <w:uiPriority w:val="39"/>
    <w:unhideWhenUsed/>
    <w:rsid w:val="00967C4F"/>
    <w:pPr>
      <w:spacing w:after="100"/>
    </w:pPr>
  </w:style>
  <w:style w:type="paragraph" w:styleId="TOC2">
    <w:name w:val="toc 2"/>
    <w:basedOn w:val="Normal"/>
    <w:next w:val="Normal"/>
    <w:autoRedefine/>
    <w:uiPriority w:val="39"/>
    <w:unhideWhenUsed/>
    <w:rsid w:val="00967C4F"/>
    <w:pPr>
      <w:spacing w:after="100"/>
      <w:ind w:left="220"/>
    </w:pPr>
  </w:style>
  <w:style w:type="paragraph" w:styleId="Heading3">
    <w:uiPriority w:val="9"/>
    <w:name w:val="heading 3"/>
    <w:basedOn w:val="Normal"/>
    <w:next w:val="Normal"/>
    <w:unhideWhenUsed/>
    <w:qFormat/>
    <w:rsid w:val="524D1DFC"/>
    <w:rPr>
      <w:rFonts w:eastAsia="等线 Light" w:cs="Times New Roman" w:eastAsiaTheme="majorEastAsia" w:cstheme="majorBidi"/>
      <w:color w:val="2F5496"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uwtsd.ac.uk/media/uwtsd-website/content-assets/documents/library-and-learning-resources/Harvard-en_v.1.3-(V6).pdf"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citethemrightonline.com/category-list?docid=CTRHarvard" TargetMode="External" Id="rId14" /><Relationship Type="http://schemas.openxmlformats.org/officeDocument/2006/relationships/header" Target="header.xml" Id="Ra182aea4167a4a31" /><Relationship Type="http://schemas.openxmlformats.org/officeDocument/2006/relationships/header" Target="header2.xml" Id="R05b218c4e56a454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4" ma:contentTypeDescription="Create a new document." ma:contentTypeScope="" ma:versionID="e82597bcd31bc4dd00a83a53414b405d">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6f43130c97acdfdd4e7c6a19a1a29ed"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customXml/itemProps2.xml><?xml version="1.0" encoding="utf-8"?>
<ds:datastoreItem xmlns:ds="http://schemas.openxmlformats.org/officeDocument/2006/customXml" ds:itemID="{48D7AD49-F708-4FEB-9329-C8A5FD462C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08BBE32-F3D8-41BB-A7C2-38823B47134C}">
  <ds:schemaRefs>
    <ds:schemaRef ds:uri="http://schemas.microsoft.com/sharepoint/v3/contenttype/forms"/>
  </ds:schemaRefs>
</ds:datastoreItem>
</file>

<file path=customXml/itemProps4.xml><?xml version="1.0" encoding="utf-8"?>
<ds:datastoreItem xmlns:ds="http://schemas.openxmlformats.org/officeDocument/2006/customXml" ds:itemID="{003C92DD-0FFC-4A61-AF9D-CB9B1BE2CF86}">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Harries</dc:creator>
  <keywords/>
  <dc:description/>
  <lastModifiedBy>Sabina Aslam (2220574)</lastModifiedBy>
  <revision>83</revision>
  <dcterms:created xsi:type="dcterms:W3CDTF">2025-11-01T14:12:00.0000000Z</dcterms:created>
  <dcterms:modified xsi:type="dcterms:W3CDTF">2025-11-22T09:17:39.9583091Z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