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243725" w14:textId="77777777" w:rsidR="001A302C" w:rsidRPr="00A95BE0" w:rsidRDefault="001A302C" w:rsidP="00A95BE0">
      <w:pPr>
        <w:jc w:val="center"/>
        <w:rPr>
          <w:rFonts w:ascii="Arial" w:hAnsi="Arial" w:cs="Arial"/>
          <w:b/>
          <w:color w:val="000000" w:themeColor="text1"/>
          <w:sz w:val="22"/>
          <w:szCs w:val="22"/>
        </w:rPr>
      </w:pPr>
    </w:p>
    <w:p w14:paraId="79644C1F" w14:textId="77777777" w:rsidR="001A302C" w:rsidRPr="00A95BE0" w:rsidRDefault="001A302C" w:rsidP="00A95BE0">
      <w:pPr>
        <w:jc w:val="center"/>
        <w:rPr>
          <w:rFonts w:ascii="Arial" w:hAnsi="Arial" w:cs="Arial"/>
          <w:b/>
          <w:color w:val="000000" w:themeColor="text1"/>
          <w:sz w:val="22"/>
          <w:szCs w:val="22"/>
        </w:rPr>
      </w:pPr>
    </w:p>
    <w:p w14:paraId="17C93E9F" w14:textId="77777777" w:rsidR="001A302C" w:rsidRPr="00A95BE0" w:rsidRDefault="001A302C" w:rsidP="00A95BE0">
      <w:pPr>
        <w:jc w:val="center"/>
        <w:rPr>
          <w:rFonts w:ascii="Arial" w:hAnsi="Arial" w:cs="Arial"/>
          <w:b/>
          <w:color w:val="000000" w:themeColor="text1"/>
          <w:sz w:val="22"/>
          <w:szCs w:val="22"/>
        </w:rPr>
      </w:pPr>
    </w:p>
    <w:p w14:paraId="1E7408E5" w14:textId="77777777" w:rsidR="001A302C" w:rsidRPr="00A95BE0" w:rsidRDefault="001A302C" w:rsidP="00A95BE0">
      <w:pPr>
        <w:jc w:val="center"/>
        <w:rPr>
          <w:rFonts w:ascii="Arial" w:hAnsi="Arial" w:cs="Arial"/>
          <w:b/>
          <w:color w:val="000000" w:themeColor="text1"/>
          <w:sz w:val="22"/>
          <w:szCs w:val="22"/>
        </w:rPr>
      </w:pPr>
    </w:p>
    <w:p w14:paraId="6485F655" w14:textId="77777777" w:rsidR="001A302C" w:rsidRPr="00A95BE0" w:rsidRDefault="002834C7" w:rsidP="00A95BE0">
      <w:pPr>
        <w:jc w:val="center"/>
        <w:rPr>
          <w:rFonts w:ascii="Arial" w:hAnsi="Arial" w:cs="Arial"/>
          <w:b/>
          <w:color w:val="000000" w:themeColor="text1"/>
          <w:sz w:val="32"/>
          <w:szCs w:val="32"/>
        </w:rPr>
      </w:pPr>
      <w:r w:rsidRPr="00A95BE0">
        <w:rPr>
          <w:rFonts w:ascii="Arial" w:hAnsi="Arial" w:cs="Arial"/>
          <w:b/>
          <w:color w:val="000000" w:themeColor="text1"/>
          <w:sz w:val="32"/>
          <w:szCs w:val="32"/>
        </w:rPr>
        <w:t xml:space="preserve">Module Title: International Meetings Management </w:t>
      </w:r>
    </w:p>
    <w:p w14:paraId="0247FD1D" w14:textId="77777777" w:rsidR="001A302C" w:rsidRPr="00A95BE0" w:rsidRDefault="002834C7" w:rsidP="00A95BE0">
      <w:pPr>
        <w:jc w:val="center"/>
        <w:rPr>
          <w:rFonts w:ascii="Arial" w:hAnsi="Arial" w:cs="Arial"/>
          <w:b/>
          <w:color w:val="000000" w:themeColor="text1"/>
          <w:sz w:val="32"/>
          <w:szCs w:val="32"/>
        </w:rPr>
      </w:pPr>
      <w:r w:rsidRPr="00A95BE0">
        <w:rPr>
          <w:rFonts w:ascii="Arial" w:hAnsi="Arial" w:cs="Arial"/>
          <w:b/>
          <w:color w:val="000000" w:themeColor="text1"/>
          <w:sz w:val="32"/>
          <w:szCs w:val="32"/>
        </w:rPr>
        <w:t xml:space="preserve">for the </w:t>
      </w:r>
    </w:p>
    <w:p w14:paraId="1EC5FA09" w14:textId="77777777" w:rsidR="001A302C" w:rsidRPr="00A95BE0" w:rsidRDefault="002834C7" w:rsidP="00A95BE0">
      <w:pPr>
        <w:jc w:val="center"/>
        <w:rPr>
          <w:rFonts w:ascii="Arial" w:hAnsi="Arial" w:cs="Arial"/>
          <w:b/>
          <w:color w:val="000000" w:themeColor="text1"/>
          <w:sz w:val="32"/>
          <w:szCs w:val="32"/>
        </w:rPr>
      </w:pPr>
      <w:r w:rsidRPr="00A95BE0">
        <w:rPr>
          <w:rFonts w:ascii="Arial" w:hAnsi="Arial" w:cs="Arial"/>
          <w:b/>
          <w:color w:val="000000" w:themeColor="text1"/>
          <w:sz w:val="32"/>
          <w:szCs w:val="32"/>
        </w:rPr>
        <w:t xml:space="preserve">Hotel Industry </w:t>
      </w:r>
    </w:p>
    <w:p w14:paraId="2C15DD1A" w14:textId="77777777" w:rsidR="001A302C" w:rsidRPr="00A95BE0" w:rsidRDefault="002834C7" w:rsidP="00A95BE0">
      <w:pPr>
        <w:jc w:val="center"/>
        <w:rPr>
          <w:rFonts w:ascii="Arial" w:hAnsi="Arial" w:cs="Arial"/>
          <w:b/>
          <w:color w:val="000000" w:themeColor="text1"/>
          <w:sz w:val="32"/>
          <w:szCs w:val="32"/>
        </w:rPr>
      </w:pPr>
      <w:r w:rsidRPr="00A95BE0">
        <w:rPr>
          <w:rFonts w:ascii="Arial" w:hAnsi="Arial" w:cs="Arial"/>
          <w:b/>
          <w:color w:val="000000" w:themeColor="text1"/>
          <w:sz w:val="32"/>
          <w:szCs w:val="32"/>
        </w:rPr>
        <w:t xml:space="preserve">Module Code: BMIH6007 </w:t>
      </w:r>
    </w:p>
    <w:p w14:paraId="5DCFF0E8" w14:textId="2CE71180" w:rsidR="001A302C" w:rsidRPr="00A95BE0" w:rsidRDefault="002834C7" w:rsidP="00A95BE0">
      <w:pPr>
        <w:jc w:val="center"/>
        <w:rPr>
          <w:rFonts w:ascii="Arial" w:hAnsi="Arial" w:cs="Arial"/>
          <w:b/>
          <w:color w:val="000000" w:themeColor="text1"/>
          <w:sz w:val="32"/>
          <w:szCs w:val="32"/>
        </w:rPr>
      </w:pPr>
      <w:r w:rsidRPr="00A95BE0">
        <w:rPr>
          <w:rFonts w:ascii="Arial" w:hAnsi="Arial" w:cs="Arial"/>
          <w:b/>
          <w:color w:val="000000" w:themeColor="text1"/>
          <w:sz w:val="32"/>
          <w:szCs w:val="32"/>
        </w:rPr>
        <w:t>Student Name:</w:t>
      </w:r>
      <w:r w:rsidR="00B50991" w:rsidRPr="00A95BE0">
        <w:rPr>
          <w:rFonts w:ascii="Arial" w:hAnsi="Arial" w:cs="Arial"/>
          <w:b/>
          <w:color w:val="000000" w:themeColor="text1"/>
          <w:sz w:val="32"/>
          <w:szCs w:val="32"/>
        </w:rPr>
        <w:t xml:space="preserve"> Elena Daniela Gavril</w:t>
      </w:r>
    </w:p>
    <w:p w14:paraId="0D59D28B" w14:textId="58C58377" w:rsidR="001A302C" w:rsidRPr="00A95BE0" w:rsidRDefault="002834C7" w:rsidP="00A95BE0">
      <w:pPr>
        <w:jc w:val="center"/>
        <w:rPr>
          <w:rFonts w:ascii="Arial" w:hAnsi="Arial" w:cs="Arial"/>
          <w:b/>
          <w:color w:val="000000" w:themeColor="text1"/>
          <w:sz w:val="32"/>
          <w:szCs w:val="32"/>
        </w:rPr>
      </w:pPr>
      <w:r w:rsidRPr="00A95BE0">
        <w:rPr>
          <w:rFonts w:ascii="Arial" w:hAnsi="Arial" w:cs="Arial"/>
          <w:b/>
          <w:color w:val="000000" w:themeColor="text1"/>
          <w:sz w:val="32"/>
          <w:szCs w:val="32"/>
        </w:rPr>
        <w:t>Student ID:</w:t>
      </w:r>
      <w:r w:rsidR="00B50991" w:rsidRPr="00A95BE0">
        <w:rPr>
          <w:rFonts w:ascii="Arial" w:hAnsi="Arial" w:cs="Arial"/>
          <w:b/>
          <w:color w:val="000000" w:themeColor="text1"/>
          <w:sz w:val="32"/>
          <w:szCs w:val="32"/>
        </w:rPr>
        <w:t xml:space="preserve"> 2207241</w:t>
      </w:r>
    </w:p>
    <w:p w14:paraId="1AE86B00" w14:textId="77777777" w:rsidR="007F47F7" w:rsidRPr="00A95BE0" w:rsidRDefault="002834C7" w:rsidP="00A95BE0">
      <w:pPr>
        <w:jc w:val="center"/>
        <w:rPr>
          <w:rFonts w:ascii="Arial" w:hAnsi="Arial" w:cs="Arial"/>
          <w:b/>
          <w:color w:val="000000" w:themeColor="text1"/>
          <w:sz w:val="32"/>
          <w:szCs w:val="32"/>
        </w:rPr>
      </w:pPr>
      <w:bookmarkStart w:id="0" w:name="_yso1ilr7uc4s" w:colFirst="0" w:colLast="0"/>
      <w:bookmarkEnd w:id="0"/>
      <w:r w:rsidRPr="00A95BE0">
        <w:rPr>
          <w:rFonts w:ascii="Arial" w:hAnsi="Arial" w:cs="Arial"/>
          <w:b/>
          <w:color w:val="000000" w:themeColor="text1"/>
          <w:sz w:val="32"/>
          <w:szCs w:val="32"/>
        </w:rPr>
        <w:t>Assignment 1: Feasibility Plan for an International Meeting</w:t>
      </w:r>
    </w:p>
    <w:p w14:paraId="65290784" w14:textId="77777777" w:rsidR="007F47F7" w:rsidRPr="00A95BE0" w:rsidRDefault="007F47F7" w:rsidP="00A95BE0">
      <w:pPr>
        <w:rPr>
          <w:rFonts w:ascii="Arial" w:hAnsi="Arial" w:cs="Arial"/>
          <w:b/>
          <w:color w:val="000000" w:themeColor="text1"/>
          <w:sz w:val="22"/>
          <w:szCs w:val="22"/>
        </w:rPr>
      </w:pPr>
      <w:r w:rsidRPr="00A95BE0">
        <w:rPr>
          <w:rFonts w:ascii="Arial" w:hAnsi="Arial" w:cs="Arial"/>
          <w:color w:val="000000" w:themeColor="text1"/>
          <w:sz w:val="22"/>
          <w:szCs w:val="22"/>
        </w:rPr>
        <w:br w:type="page"/>
      </w:r>
    </w:p>
    <w:sdt>
      <w:sdtPr>
        <w:rPr>
          <w:rFonts w:ascii="Arial" w:eastAsia="Times New Roman" w:hAnsi="Arial" w:cs="Arial"/>
          <w:color w:val="000000" w:themeColor="text1"/>
          <w:sz w:val="22"/>
          <w:szCs w:val="22"/>
          <w:lang w:val="en-GB" w:eastAsia="en-IN"/>
        </w:rPr>
        <w:id w:val="-1867668653"/>
        <w:docPartObj>
          <w:docPartGallery w:val="Table of Contents"/>
          <w:docPartUnique/>
        </w:docPartObj>
      </w:sdtPr>
      <w:sdtEndPr>
        <w:rPr>
          <w:b/>
          <w:bCs/>
        </w:rPr>
      </w:sdtEndPr>
      <w:sdtContent>
        <w:p w14:paraId="721252EE" w14:textId="5166C5FA" w:rsidR="00A95BE0" w:rsidRPr="00A95BE0" w:rsidRDefault="00A95BE0" w:rsidP="00A95BE0">
          <w:pPr>
            <w:pStyle w:val="TOCHeading"/>
            <w:spacing w:line="360" w:lineRule="auto"/>
            <w:rPr>
              <w:rFonts w:ascii="Arial" w:hAnsi="Arial" w:cs="Arial"/>
              <w:sz w:val="22"/>
              <w:szCs w:val="22"/>
            </w:rPr>
          </w:pPr>
        </w:p>
        <w:p w14:paraId="44045797" w14:textId="0B256AD4" w:rsidR="007F47F7" w:rsidRPr="00A95BE0" w:rsidRDefault="00000000" w:rsidP="00A95BE0">
          <w:pPr>
            <w:rPr>
              <w:rFonts w:ascii="Arial" w:hAnsi="Arial" w:cs="Arial"/>
              <w:color w:val="000000" w:themeColor="text1"/>
              <w:sz w:val="22"/>
              <w:szCs w:val="22"/>
            </w:rPr>
          </w:pPr>
        </w:p>
      </w:sdtContent>
    </w:sdt>
    <w:p w14:paraId="49EEE54E" w14:textId="6EC5F07E" w:rsidR="001A302C" w:rsidRPr="00A95BE0" w:rsidRDefault="001A302C" w:rsidP="00A95BE0">
      <w:pPr>
        <w:rPr>
          <w:rFonts w:ascii="Arial" w:hAnsi="Arial" w:cs="Arial"/>
          <w:b/>
          <w:color w:val="000000" w:themeColor="text1"/>
          <w:sz w:val="22"/>
          <w:szCs w:val="22"/>
        </w:rPr>
      </w:pPr>
    </w:p>
    <w:p w14:paraId="6CDFADC3" w14:textId="77777777" w:rsidR="001A302C" w:rsidRPr="00A95BE0" w:rsidRDefault="002834C7" w:rsidP="00A95BE0">
      <w:pPr>
        <w:pStyle w:val="Heading1"/>
        <w:rPr>
          <w:rFonts w:ascii="Arial" w:hAnsi="Arial" w:cs="Arial"/>
          <w:color w:val="000000" w:themeColor="text1"/>
          <w:sz w:val="22"/>
          <w:szCs w:val="22"/>
        </w:rPr>
      </w:pPr>
      <w:bookmarkStart w:id="1" w:name="_1063b1yibwm" w:colFirst="0" w:colLast="0"/>
      <w:bookmarkStart w:id="2" w:name="_Toc179305534"/>
      <w:bookmarkEnd w:id="1"/>
      <w:r w:rsidRPr="00A95BE0">
        <w:rPr>
          <w:rFonts w:ascii="Arial" w:hAnsi="Arial" w:cs="Arial"/>
          <w:color w:val="000000" w:themeColor="text1"/>
          <w:sz w:val="22"/>
          <w:szCs w:val="22"/>
        </w:rPr>
        <w:t>Introduction</w:t>
      </w:r>
      <w:bookmarkEnd w:id="2"/>
      <w:r w:rsidRPr="00A95BE0">
        <w:rPr>
          <w:rFonts w:ascii="Arial" w:hAnsi="Arial" w:cs="Arial"/>
          <w:color w:val="000000" w:themeColor="text1"/>
          <w:sz w:val="22"/>
          <w:szCs w:val="22"/>
        </w:rPr>
        <w:t xml:space="preserve"> </w:t>
      </w:r>
    </w:p>
    <w:p w14:paraId="5C19F62B" w14:textId="77777777" w:rsidR="001A302C" w:rsidRPr="00A95BE0" w:rsidRDefault="002834C7" w:rsidP="00A95BE0">
      <w:pPr>
        <w:rPr>
          <w:rFonts w:ascii="Arial" w:hAnsi="Arial" w:cs="Arial"/>
          <w:color w:val="000000" w:themeColor="text1"/>
          <w:sz w:val="22"/>
          <w:szCs w:val="22"/>
        </w:rPr>
      </w:pPr>
      <w:r w:rsidRPr="00A95BE0">
        <w:rPr>
          <w:rFonts w:ascii="Arial" w:hAnsi="Arial" w:cs="Arial"/>
          <w:noProof/>
          <w:color w:val="000000" w:themeColor="text1"/>
          <w:sz w:val="22"/>
          <w:szCs w:val="22"/>
          <w:lang w:val="en-IN"/>
        </w:rPr>
        <w:drawing>
          <wp:inline distT="114300" distB="114300" distL="114300" distR="114300" wp14:anchorId="2AAF4069" wp14:editId="2046C7E6">
            <wp:extent cx="5943600" cy="3340100"/>
            <wp:effectExtent l="0" t="0" r="0" b="0"/>
            <wp:docPr id="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5943600" cy="3340100"/>
                    </a:xfrm>
                    <a:prstGeom prst="rect">
                      <a:avLst/>
                    </a:prstGeom>
                    <a:ln/>
                  </pic:spPr>
                </pic:pic>
              </a:graphicData>
            </a:graphic>
          </wp:inline>
        </w:drawing>
      </w:r>
    </w:p>
    <w:p w14:paraId="6B05B1DA" w14:textId="71CB891D" w:rsidR="001A302C" w:rsidRPr="00A95BE0" w:rsidRDefault="002834C7" w:rsidP="00A95BE0">
      <w:pPr>
        <w:rPr>
          <w:rFonts w:ascii="Arial" w:hAnsi="Arial" w:cs="Arial"/>
          <w:color w:val="000000" w:themeColor="text1"/>
          <w:sz w:val="22"/>
          <w:szCs w:val="22"/>
        </w:rPr>
      </w:pPr>
      <w:r w:rsidRPr="00A95BE0">
        <w:rPr>
          <w:rFonts w:ascii="Arial" w:hAnsi="Arial" w:cs="Arial"/>
          <w:color w:val="000000" w:themeColor="text1"/>
          <w:sz w:val="22"/>
          <w:szCs w:val="22"/>
        </w:rPr>
        <w:t xml:space="preserve">The arrangements and the proper methods for developing the events need a strategic way to organise each set. The prime aim of the study is to explore the feasibility of the winter event named </w:t>
      </w:r>
      <w:r w:rsidRPr="00A95BE0">
        <w:rPr>
          <w:rFonts w:ascii="Arial" w:hAnsi="Arial" w:cs="Arial"/>
          <w:b/>
          <w:color w:val="000000" w:themeColor="text1"/>
          <w:sz w:val="22"/>
          <w:szCs w:val="22"/>
        </w:rPr>
        <w:t xml:space="preserve">Christmas Art &amp; Music Event </w:t>
      </w:r>
      <w:r w:rsidRPr="00A95BE0">
        <w:rPr>
          <w:rFonts w:ascii="Arial" w:hAnsi="Arial" w:cs="Arial"/>
          <w:color w:val="000000" w:themeColor="text1"/>
          <w:sz w:val="22"/>
          <w:szCs w:val="22"/>
        </w:rPr>
        <w:t xml:space="preserve">in the region of the UK. The setting of the events needs the association of market research and a proper range of sources to make it successful (Fox </w:t>
      </w:r>
      <w:r w:rsidRPr="00A95BE0">
        <w:rPr>
          <w:rFonts w:ascii="Arial" w:hAnsi="Arial" w:cs="Arial"/>
          <w:i/>
          <w:color w:val="000000" w:themeColor="text1"/>
          <w:sz w:val="22"/>
          <w:szCs w:val="22"/>
        </w:rPr>
        <w:t>et al</w:t>
      </w:r>
      <w:r w:rsidRPr="00A95BE0">
        <w:rPr>
          <w:rFonts w:ascii="Arial" w:hAnsi="Arial" w:cs="Arial"/>
          <w:color w:val="000000" w:themeColor="text1"/>
          <w:sz w:val="22"/>
          <w:szCs w:val="22"/>
        </w:rPr>
        <w:t xml:space="preserve">., 2014). The strategic way to set the platform of the event will be done by analysing the factors of market, operations and finance. The involvement of the community will help to develop the core methods of </w:t>
      </w:r>
      <w:r w:rsidR="00F11ECD" w:rsidRPr="00A95BE0">
        <w:rPr>
          <w:rFonts w:ascii="Arial" w:hAnsi="Arial" w:cs="Arial"/>
          <w:color w:val="000000" w:themeColor="text1"/>
          <w:sz w:val="22"/>
          <w:szCs w:val="22"/>
        </w:rPr>
        <w:t>business</w:t>
      </w:r>
      <w:r w:rsidRPr="00A95BE0">
        <w:rPr>
          <w:rFonts w:ascii="Arial" w:hAnsi="Arial" w:cs="Arial"/>
          <w:color w:val="000000" w:themeColor="text1"/>
          <w:sz w:val="22"/>
          <w:szCs w:val="22"/>
        </w:rPr>
        <w:t xml:space="preserve"> development in the MICE industry and more tourist engagement. The event is expected to improve the aesthetics of future development in tourism in the forms of art and culture. </w:t>
      </w:r>
    </w:p>
    <w:p w14:paraId="5484D70E" w14:textId="77777777" w:rsidR="001A302C" w:rsidRPr="00A95BE0" w:rsidRDefault="002834C7" w:rsidP="00A95BE0">
      <w:pPr>
        <w:pStyle w:val="Heading1"/>
        <w:rPr>
          <w:rFonts w:ascii="Arial" w:hAnsi="Arial" w:cs="Arial"/>
          <w:color w:val="000000" w:themeColor="text1"/>
          <w:sz w:val="22"/>
          <w:szCs w:val="22"/>
        </w:rPr>
      </w:pPr>
      <w:bookmarkStart w:id="3" w:name="_8v7d9ikmydtu" w:colFirst="0" w:colLast="0"/>
      <w:bookmarkStart w:id="4" w:name="_Toc179305535"/>
      <w:bookmarkEnd w:id="3"/>
      <w:r w:rsidRPr="00A95BE0">
        <w:rPr>
          <w:rFonts w:ascii="Arial" w:hAnsi="Arial" w:cs="Arial"/>
          <w:color w:val="000000" w:themeColor="text1"/>
          <w:sz w:val="22"/>
          <w:szCs w:val="22"/>
        </w:rPr>
        <w:lastRenderedPageBreak/>
        <w:t>Event Content and Context</w:t>
      </w:r>
      <w:bookmarkEnd w:id="4"/>
      <w:r w:rsidRPr="00A95BE0">
        <w:rPr>
          <w:rFonts w:ascii="Arial" w:hAnsi="Arial" w:cs="Arial"/>
          <w:color w:val="000000" w:themeColor="text1"/>
          <w:sz w:val="22"/>
          <w:szCs w:val="22"/>
        </w:rPr>
        <w:t xml:space="preserve"> </w:t>
      </w:r>
    </w:p>
    <w:p w14:paraId="073B0C6E" w14:textId="77777777" w:rsidR="001A302C" w:rsidRPr="00A95BE0" w:rsidRDefault="002834C7" w:rsidP="00A95BE0">
      <w:pPr>
        <w:rPr>
          <w:rFonts w:ascii="Arial" w:hAnsi="Arial" w:cs="Arial"/>
          <w:color w:val="000000" w:themeColor="text1"/>
          <w:sz w:val="22"/>
          <w:szCs w:val="22"/>
        </w:rPr>
      </w:pPr>
      <w:r w:rsidRPr="00A95BE0">
        <w:rPr>
          <w:rFonts w:ascii="Arial" w:hAnsi="Arial" w:cs="Arial"/>
          <w:noProof/>
          <w:color w:val="000000" w:themeColor="text1"/>
          <w:sz w:val="22"/>
          <w:szCs w:val="22"/>
          <w:lang w:val="en-IN"/>
        </w:rPr>
        <w:drawing>
          <wp:inline distT="114300" distB="114300" distL="114300" distR="114300" wp14:anchorId="566F8E88" wp14:editId="10BBD84B">
            <wp:extent cx="5943600" cy="3340100"/>
            <wp:effectExtent l="0" t="0" r="0" b="0"/>
            <wp:docPr id="6"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9"/>
                    <a:srcRect/>
                    <a:stretch>
                      <a:fillRect/>
                    </a:stretch>
                  </pic:blipFill>
                  <pic:spPr>
                    <a:xfrm>
                      <a:off x="0" y="0"/>
                      <a:ext cx="5943600" cy="3340100"/>
                    </a:xfrm>
                    <a:prstGeom prst="rect">
                      <a:avLst/>
                    </a:prstGeom>
                    <a:ln/>
                  </pic:spPr>
                </pic:pic>
              </a:graphicData>
            </a:graphic>
          </wp:inline>
        </w:drawing>
      </w:r>
    </w:p>
    <w:p w14:paraId="7F58915A" w14:textId="3AEA297C" w:rsidR="001A302C" w:rsidRPr="00A95BE0" w:rsidRDefault="002834C7" w:rsidP="00A95BE0">
      <w:pPr>
        <w:rPr>
          <w:rFonts w:ascii="Arial" w:hAnsi="Arial" w:cs="Arial"/>
          <w:color w:val="000000" w:themeColor="text1"/>
          <w:sz w:val="22"/>
          <w:szCs w:val="22"/>
        </w:rPr>
      </w:pPr>
      <w:r w:rsidRPr="00A95BE0">
        <w:rPr>
          <w:rFonts w:ascii="Arial" w:hAnsi="Arial" w:cs="Arial"/>
          <w:color w:val="000000" w:themeColor="text1"/>
          <w:sz w:val="22"/>
          <w:szCs w:val="22"/>
        </w:rPr>
        <w:t xml:space="preserve">The season of winter is most popular for planning holidays and attending any kind of festival. The name of the present event will be Christmas Art &amp; Music Event to target the audience during the time of Christmas. The focus on the content of the event will be mainly on the aesthetics of the art and culture. The planning of a large event needs the proper alignment of the budget and the locations (Getz and Page, 2019). The event has been set to be organised at the Royal Park of London. The city is well connected with the facilities of transport. It will attract the tourists to visit the event from different locations. The focus created on the promotion of the event is on the occasion of Christmas. The starting date will be 24th of December at the pleasing moment of Christmas Eve. The continuation will happen up to 1st January to celebrate the new year with different forms of delicious food items. Cultural tourism provides a creative experience for tourists with active participation in different activities (Du Cros and McKercher, 2020). The highlights of the event will be the mixture of different music and dance shows. The event is set to increase more engagement of cultural tourists from different international destinations. </w:t>
      </w:r>
    </w:p>
    <w:p w14:paraId="03CD2F26" w14:textId="77777777" w:rsidR="001A302C" w:rsidRPr="00A95BE0" w:rsidRDefault="002834C7" w:rsidP="00A95BE0">
      <w:pPr>
        <w:pStyle w:val="Heading1"/>
        <w:rPr>
          <w:rFonts w:ascii="Arial" w:hAnsi="Arial" w:cs="Arial"/>
          <w:color w:val="000000" w:themeColor="text1"/>
          <w:sz w:val="22"/>
          <w:szCs w:val="22"/>
        </w:rPr>
      </w:pPr>
      <w:bookmarkStart w:id="5" w:name="_isygvvtf7lcw" w:colFirst="0" w:colLast="0"/>
      <w:bookmarkStart w:id="6" w:name="_Toc179305536"/>
      <w:bookmarkEnd w:id="5"/>
      <w:r w:rsidRPr="00A95BE0">
        <w:rPr>
          <w:rFonts w:ascii="Arial" w:hAnsi="Arial" w:cs="Arial"/>
          <w:color w:val="000000" w:themeColor="text1"/>
          <w:sz w:val="22"/>
          <w:szCs w:val="22"/>
        </w:rPr>
        <w:lastRenderedPageBreak/>
        <w:t>Market factors</w:t>
      </w:r>
      <w:bookmarkEnd w:id="6"/>
      <w:r w:rsidRPr="00A95BE0">
        <w:rPr>
          <w:rFonts w:ascii="Arial" w:hAnsi="Arial" w:cs="Arial"/>
          <w:color w:val="000000" w:themeColor="text1"/>
          <w:sz w:val="22"/>
          <w:szCs w:val="22"/>
        </w:rPr>
        <w:t xml:space="preserve"> </w:t>
      </w:r>
    </w:p>
    <w:p w14:paraId="7196653F" w14:textId="77777777" w:rsidR="001A302C" w:rsidRPr="00A95BE0" w:rsidRDefault="002834C7" w:rsidP="00A95BE0">
      <w:pPr>
        <w:rPr>
          <w:rFonts w:ascii="Arial" w:hAnsi="Arial" w:cs="Arial"/>
          <w:color w:val="000000" w:themeColor="text1"/>
          <w:sz w:val="22"/>
          <w:szCs w:val="22"/>
        </w:rPr>
      </w:pPr>
      <w:r w:rsidRPr="00A95BE0">
        <w:rPr>
          <w:rFonts w:ascii="Arial" w:hAnsi="Arial" w:cs="Arial"/>
          <w:noProof/>
          <w:color w:val="000000" w:themeColor="text1"/>
          <w:sz w:val="22"/>
          <w:szCs w:val="22"/>
          <w:lang w:val="en-IN"/>
        </w:rPr>
        <w:drawing>
          <wp:inline distT="114300" distB="114300" distL="114300" distR="114300" wp14:anchorId="11656368" wp14:editId="79A33C0F">
            <wp:extent cx="5943600" cy="3340100"/>
            <wp:effectExtent l="0" t="0" r="0" b="0"/>
            <wp:docPr id="10"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0"/>
                    <a:srcRect/>
                    <a:stretch>
                      <a:fillRect/>
                    </a:stretch>
                  </pic:blipFill>
                  <pic:spPr>
                    <a:xfrm>
                      <a:off x="0" y="0"/>
                      <a:ext cx="5943600" cy="3340100"/>
                    </a:xfrm>
                    <a:prstGeom prst="rect">
                      <a:avLst/>
                    </a:prstGeom>
                    <a:ln/>
                  </pic:spPr>
                </pic:pic>
              </a:graphicData>
            </a:graphic>
          </wp:inline>
        </w:drawing>
      </w:r>
    </w:p>
    <w:p w14:paraId="31B714AE" w14:textId="554168D9" w:rsidR="001A302C" w:rsidRPr="00A95BE0" w:rsidRDefault="002834C7" w:rsidP="00A95BE0">
      <w:pPr>
        <w:rPr>
          <w:rFonts w:ascii="Arial" w:hAnsi="Arial" w:cs="Arial"/>
          <w:color w:val="000000" w:themeColor="text1"/>
          <w:sz w:val="22"/>
          <w:szCs w:val="22"/>
        </w:rPr>
      </w:pPr>
      <w:r w:rsidRPr="00A95BE0">
        <w:rPr>
          <w:rFonts w:ascii="Arial" w:hAnsi="Arial" w:cs="Arial"/>
          <w:color w:val="000000" w:themeColor="text1"/>
          <w:sz w:val="22"/>
          <w:szCs w:val="22"/>
        </w:rPr>
        <w:t>The development of the decision and the strategic planning of an event is related to the activities of the business. The strategic ways of managing the market and setting the target customers are essential from the success point of an event (Aaker and Moorman, 2023). The event Christmas Art &amp; Music will be designed for the family individuals and tourists. The reports of a survey deliver the knowledge that 62% of family persons are interested in meeting with friends and other family members during the time of winter holidays (Statista, 2023). It shows the feasibility of the event in this case and provides the areas of successful attributes. The inbound tourism statistics and the number of inbound tourists have been high in recent years in the UK. The section of music tourists has increased at a rate of 33</w:t>
      </w:r>
      <w:r w:rsidR="008308BA" w:rsidRPr="00A95BE0">
        <w:rPr>
          <w:rFonts w:ascii="Arial" w:hAnsi="Arial" w:cs="Arial"/>
          <w:color w:val="000000" w:themeColor="text1"/>
          <w:sz w:val="22"/>
          <w:szCs w:val="22"/>
        </w:rPr>
        <w:t>% in</w:t>
      </w:r>
      <w:r w:rsidRPr="00A95BE0">
        <w:rPr>
          <w:rFonts w:ascii="Arial" w:hAnsi="Arial" w:cs="Arial"/>
          <w:color w:val="000000" w:themeColor="text1"/>
          <w:sz w:val="22"/>
          <w:szCs w:val="22"/>
        </w:rPr>
        <w:t xml:space="preserve"> 2023 (Statista, 2024). Music is the core part of the present event and it can make an impact on more music tourists engagement. The economic growth of the event-hosting city is profitable in the MICE industry (Anas </w:t>
      </w:r>
      <w:r w:rsidRPr="00A95BE0">
        <w:rPr>
          <w:rFonts w:ascii="Arial" w:hAnsi="Arial" w:cs="Arial"/>
          <w:i/>
          <w:color w:val="000000" w:themeColor="text1"/>
          <w:sz w:val="22"/>
          <w:szCs w:val="22"/>
        </w:rPr>
        <w:t>et al</w:t>
      </w:r>
      <w:r w:rsidRPr="00A95BE0">
        <w:rPr>
          <w:rFonts w:ascii="Arial" w:hAnsi="Arial" w:cs="Arial"/>
          <w:color w:val="000000" w:themeColor="text1"/>
          <w:sz w:val="22"/>
          <w:szCs w:val="22"/>
        </w:rPr>
        <w:t xml:space="preserve">., 2020). The combination of the winter holidays along with music and culture can make the event successful in the eyes of the audience and visitors. </w:t>
      </w:r>
    </w:p>
    <w:p w14:paraId="57A1152D" w14:textId="77777777" w:rsidR="001A302C" w:rsidRPr="00A95BE0" w:rsidRDefault="002834C7" w:rsidP="00A95BE0">
      <w:pPr>
        <w:rPr>
          <w:rFonts w:ascii="Arial" w:hAnsi="Arial" w:cs="Arial"/>
          <w:color w:val="000000" w:themeColor="text1"/>
          <w:sz w:val="22"/>
          <w:szCs w:val="22"/>
        </w:rPr>
      </w:pPr>
      <w:r w:rsidRPr="00A95BE0">
        <w:rPr>
          <w:rFonts w:ascii="Arial" w:hAnsi="Arial" w:cs="Arial"/>
          <w:noProof/>
          <w:color w:val="000000" w:themeColor="text1"/>
          <w:sz w:val="22"/>
          <w:szCs w:val="22"/>
          <w:lang w:val="en-IN"/>
        </w:rPr>
        <w:lastRenderedPageBreak/>
        <w:drawing>
          <wp:inline distT="114300" distB="114300" distL="114300" distR="114300" wp14:anchorId="0643FCE5" wp14:editId="794990F7">
            <wp:extent cx="5943600" cy="3340100"/>
            <wp:effectExtent l="0" t="0" r="0" b="0"/>
            <wp:docPr id="4"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1"/>
                    <a:srcRect/>
                    <a:stretch>
                      <a:fillRect/>
                    </a:stretch>
                  </pic:blipFill>
                  <pic:spPr>
                    <a:xfrm>
                      <a:off x="0" y="0"/>
                      <a:ext cx="5943600" cy="3340100"/>
                    </a:xfrm>
                    <a:prstGeom prst="rect">
                      <a:avLst/>
                    </a:prstGeom>
                    <a:ln/>
                  </pic:spPr>
                </pic:pic>
              </a:graphicData>
            </a:graphic>
          </wp:inline>
        </w:drawing>
      </w:r>
    </w:p>
    <w:p w14:paraId="59B64181" w14:textId="0A6D5281" w:rsidR="001A302C" w:rsidRPr="00A95BE0" w:rsidRDefault="002834C7" w:rsidP="00A95BE0">
      <w:pPr>
        <w:rPr>
          <w:rFonts w:ascii="Arial" w:hAnsi="Arial" w:cs="Arial"/>
          <w:color w:val="000000" w:themeColor="text1"/>
          <w:sz w:val="22"/>
          <w:szCs w:val="22"/>
        </w:rPr>
      </w:pPr>
      <w:r w:rsidRPr="00A95BE0">
        <w:rPr>
          <w:rFonts w:ascii="Arial" w:hAnsi="Arial" w:cs="Arial"/>
          <w:color w:val="000000" w:themeColor="text1"/>
          <w:sz w:val="22"/>
          <w:szCs w:val="22"/>
        </w:rPr>
        <w:t xml:space="preserve">The market in UK tourism has become highly competitive in the present scenario. The present events will face competition in the gathering of the audience as multiple numbers events will take place in the winter season. The Bath shopping festival will be in Somerset during December and Visit Santa event will be in Cheshire (Visit England, 2024). The need for uniqueness in the content and the shows of the present event is needed for the competitive advantage. Christmas Art &amp; Music Event will organise a special talent selection show. The stage competition on arts and music will be done and the winners will get the chance to grow the career opportunities in the field. Event planning has the need for real-life knowledge and core </w:t>
      </w:r>
      <w:r w:rsidR="008308BA" w:rsidRPr="00A95BE0">
        <w:rPr>
          <w:rFonts w:ascii="Arial" w:hAnsi="Arial" w:cs="Arial"/>
          <w:color w:val="000000" w:themeColor="text1"/>
          <w:sz w:val="22"/>
          <w:szCs w:val="22"/>
        </w:rPr>
        <w:t>information (</w:t>
      </w:r>
      <w:r w:rsidRPr="00A95BE0">
        <w:rPr>
          <w:rFonts w:ascii="Arial" w:hAnsi="Arial" w:cs="Arial"/>
          <w:color w:val="000000" w:themeColor="text1"/>
          <w:sz w:val="22"/>
          <w:szCs w:val="22"/>
        </w:rPr>
        <w:t xml:space="preserve">Meredith, 2022). The information about other events has helped to change the strategy to make it more competitive. </w:t>
      </w:r>
    </w:p>
    <w:p w14:paraId="3FFBC9C1" w14:textId="77777777" w:rsidR="001A302C" w:rsidRPr="00A95BE0" w:rsidRDefault="002834C7" w:rsidP="00A95BE0">
      <w:pPr>
        <w:pStyle w:val="Heading1"/>
        <w:rPr>
          <w:rFonts w:ascii="Arial" w:hAnsi="Arial" w:cs="Arial"/>
          <w:color w:val="000000" w:themeColor="text1"/>
          <w:sz w:val="22"/>
          <w:szCs w:val="22"/>
        </w:rPr>
      </w:pPr>
      <w:bookmarkStart w:id="7" w:name="_bsldjlc0ivhs" w:colFirst="0" w:colLast="0"/>
      <w:bookmarkStart w:id="8" w:name="_Toc179305537"/>
      <w:bookmarkEnd w:id="7"/>
      <w:r w:rsidRPr="00A95BE0">
        <w:rPr>
          <w:rFonts w:ascii="Arial" w:hAnsi="Arial" w:cs="Arial"/>
          <w:color w:val="000000" w:themeColor="text1"/>
          <w:sz w:val="22"/>
          <w:szCs w:val="22"/>
        </w:rPr>
        <w:lastRenderedPageBreak/>
        <w:t>Operational factors</w:t>
      </w:r>
      <w:bookmarkEnd w:id="8"/>
      <w:r w:rsidRPr="00A95BE0">
        <w:rPr>
          <w:rFonts w:ascii="Arial" w:hAnsi="Arial" w:cs="Arial"/>
          <w:color w:val="000000" w:themeColor="text1"/>
          <w:sz w:val="22"/>
          <w:szCs w:val="22"/>
        </w:rPr>
        <w:t xml:space="preserve"> </w:t>
      </w:r>
    </w:p>
    <w:p w14:paraId="3977CD6D" w14:textId="77777777" w:rsidR="001A302C" w:rsidRPr="00A95BE0" w:rsidRDefault="002834C7" w:rsidP="00A95BE0">
      <w:pPr>
        <w:rPr>
          <w:rFonts w:ascii="Arial" w:hAnsi="Arial" w:cs="Arial"/>
          <w:color w:val="000000" w:themeColor="text1"/>
          <w:sz w:val="22"/>
          <w:szCs w:val="22"/>
        </w:rPr>
      </w:pPr>
      <w:r w:rsidRPr="00A95BE0">
        <w:rPr>
          <w:rFonts w:ascii="Arial" w:hAnsi="Arial" w:cs="Arial"/>
          <w:noProof/>
          <w:color w:val="000000" w:themeColor="text1"/>
          <w:sz w:val="22"/>
          <w:szCs w:val="22"/>
          <w:lang w:val="en-IN"/>
        </w:rPr>
        <w:drawing>
          <wp:inline distT="114300" distB="114300" distL="114300" distR="114300" wp14:anchorId="164B4147" wp14:editId="601409D9">
            <wp:extent cx="5943600" cy="3340100"/>
            <wp:effectExtent l="0" t="0" r="0" b="0"/>
            <wp:docPr id="9"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2"/>
                    <a:srcRect/>
                    <a:stretch>
                      <a:fillRect/>
                    </a:stretch>
                  </pic:blipFill>
                  <pic:spPr>
                    <a:xfrm>
                      <a:off x="0" y="0"/>
                      <a:ext cx="5943600" cy="3340100"/>
                    </a:xfrm>
                    <a:prstGeom prst="rect">
                      <a:avLst/>
                    </a:prstGeom>
                    <a:ln/>
                  </pic:spPr>
                </pic:pic>
              </a:graphicData>
            </a:graphic>
          </wp:inline>
        </w:drawing>
      </w:r>
    </w:p>
    <w:p w14:paraId="4410A00B" w14:textId="4857FBC8" w:rsidR="001A302C" w:rsidRPr="00A95BE0" w:rsidRDefault="002834C7" w:rsidP="00A95BE0">
      <w:pPr>
        <w:rPr>
          <w:rFonts w:ascii="Arial" w:hAnsi="Arial" w:cs="Arial"/>
          <w:color w:val="000000" w:themeColor="text1"/>
          <w:sz w:val="22"/>
          <w:szCs w:val="22"/>
        </w:rPr>
      </w:pPr>
      <w:r w:rsidRPr="00A95BE0">
        <w:rPr>
          <w:rFonts w:ascii="Arial" w:hAnsi="Arial" w:cs="Arial"/>
          <w:color w:val="000000" w:themeColor="text1"/>
          <w:sz w:val="22"/>
          <w:szCs w:val="22"/>
        </w:rPr>
        <w:t xml:space="preserve">The execution of the decision and the strategy, in any event, can be done with the positive support of all the operational factors. The choice of the perfect event location, efficient modes of budgeting and the process of marketing are the key operational factors (Bladen </w:t>
      </w:r>
      <w:r w:rsidRPr="00A95BE0">
        <w:rPr>
          <w:rFonts w:ascii="Arial" w:hAnsi="Arial" w:cs="Arial"/>
          <w:i/>
          <w:color w:val="000000" w:themeColor="text1"/>
          <w:sz w:val="22"/>
          <w:szCs w:val="22"/>
        </w:rPr>
        <w:t>et al</w:t>
      </w:r>
      <w:r w:rsidRPr="00A95BE0">
        <w:rPr>
          <w:rFonts w:ascii="Arial" w:hAnsi="Arial" w:cs="Arial"/>
          <w:color w:val="000000" w:themeColor="text1"/>
          <w:sz w:val="22"/>
          <w:szCs w:val="22"/>
        </w:rPr>
        <w:t xml:space="preserve">., 2022). The location has been decided at the Royal Park of London. The location consists of different natural scenarios with the essence of freshness and offers quality forms of well-being (Royalparks, 2024). The arrangement of the present events will be family-centric along with the tourists. The location of the Royal Parks has a wide range of open spaces for both older age individuals and children to spend their receptive time. The project manager will handle all the priorities and the legal documentation of the venue. The arrangement of the skilled staff is one of the essential needs of an event (Lockstone-Binney </w:t>
      </w:r>
      <w:r w:rsidRPr="00A95BE0">
        <w:rPr>
          <w:rFonts w:ascii="Arial" w:hAnsi="Arial" w:cs="Arial"/>
          <w:i/>
          <w:color w:val="000000" w:themeColor="text1"/>
          <w:sz w:val="22"/>
          <w:szCs w:val="22"/>
        </w:rPr>
        <w:t>et al</w:t>
      </w:r>
      <w:r w:rsidRPr="00A95BE0">
        <w:rPr>
          <w:rFonts w:ascii="Arial" w:hAnsi="Arial" w:cs="Arial"/>
          <w:color w:val="000000" w:themeColor="text1"/>
          <w:sz w:val="22"/>
          <w:szCs w:val="22"/>
        </w:rPr>
        <w:t xml:space="preserve">., 2020). The skilled staff will be selected for the event on the basis of the departments and work breakdown. The essential forms of event management skills are leadership, time management and communication (Byrnes, 2022). The managing team will have to recruit the staff as per the job requirements. </w:t>
      </w:r>
    </w:p>
    <w:p w14:paraId="4CD8B0D8" w14:textId="5E93B56A" w:rsidR="001A302C" w:rsidRPr="00A95BE0" w:rsidRDefault="00C15396" w:rsidP="00A95BE0">
      <w:pPr>
        <w:rPr>
          <w:rFonts w:ascii="Arial" w:hAnsi="Arial" w:cs="Arial"/>
          <w:color w:val="000000" w:themeColor="text1"/>
          <w:sz w:val="22"/>
          <w:szCs w:val="22"/>
        </w:rPr>
      </w:pPr>
      <w:r w:rsidRPr="00A95BE0">
        <w:rPr>
          <w:rFonts w:ascii="Arial" w:hAnsi="Arial" w:cs="Arial"/>
          <w:noProof/>
          <w:color w:val="000000" w:themeColor="text1"/>
          <w:sz w:val="22"/>
          <w:szCs w:val="22"/>
          <w:lang w:val="en-IN"/>
        </w:rPr>
        <w:lastRenderedPageBreak/>
        <w:drawing>
          <wp:inline distT="0" distB="0" distL="0" distR="0" wp14:anchorId="63A381C4" wp14:editId="13EE4918">
            <wp:extent cx="5943600" cy="3343275"/>
            <wp:effectExtent l="0" t="0" r="0" b="9525"/>
            <wp:docPr id="23360289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60289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943600" cy="3343275"/>
                    </a:xfrm>
                    <a:prstGeom prst="rect">
                      <a:avLst/>
                    </a:prstGeom>
                  </pic:spPr>
                </pic:pic>
              </a:graphicData>
            </a:graphic>
          </wp:inline>
        </w:drawing>
      </w:r>
    </w:p>
    <w:p w14:paraId="3005290F" w14:textId="5965CC04" w:rsidR="001A302C" w:rsidRPr="00A95BE0" w:rsidRDefault="002834C7" w:rsidP="00A95BE0">
      <w:pPr>
        <w:rPr>
          <w:rFonts w:ascii="Arial" w:hAnsi="Arial" w:cs="Arial"/>
          <w:color w:val="000000" w:themeColor="text1"/>
          <w:sz w:val="22"/>
          <w:szCs w:val="22"/>
        </w:rPr>
      </w:pPr>
      <w:r w:rsidRPr="00A95BE0">
        <w:rPr>
          <w:rFonts w:ascii="Arial" w:hAnsi="Arial" w:cs="Arial"/>
          <w:color w:val="000000" w:themeColor="text1"/>
          <w:sz w:val="22"/>
          <w:szCs w:val="22"/>
        </w:rPr>
        <w:t xml:space="preserve">The operations in the sense of marketing include the promotion of the events to increase the reach. The feasibility of the event is influenced by the attraction of the audience and the rise of interest (O’Toole, 2011). The arrangement of the food and the eye-pleasing decorations are the main attractions of any event. Christmas Art &amp; Music Event will have multi-cuisine items and various options for dessert. Special arrangements of cranberry sauce, roasted potatoes, and turkey will be present. Christmas pudding, special Christmas cake and mince pies will be available as main dessert items. Smoked salmon and prawns are delicious starters for the audience to enjoy the show. Eye-catching lighting and decorations are part of event </w:t>
      </w:r>
      <w:r w:rsidR="008308BA" w:rsidRPr="00A95BE0">
        <w:rPr>
          <w:rFonts w:ascii="Arial" w:hAnsi="Arial" w:cs="Arial"/>
          <w:color w:val="000000" w:themeColor="text1"/>
          <w:sz w:val="22"/>
          <w:szCs w:val="22"/>
        </w:rPr>
        <w:t>management (</w:t>
      </w:r>
      <w:r w:rsidR="00623D2A" w:rsidRPr="00A95BE0">
        <w:rPr>
          <w:rFonts w:ascii="Arial" w:hAnsi="Arial" w:cs="Arial"/>
          <w:color w:val="000000" w:themeColor="text1"/>
          <w:sz w:val="22"/>
          <w:szCs w:val="22"/>
          <w:shd w:val="clear" w:color="auto" w:fill="FFFFFF"/>
        </w:rPr>
        <w:t>Berridge, 2020</w:t>
      </w:r>
      <w:r w:rsidRPr="00A95BE0">
        <w:rPr>
          <w:rFonts w:ascii="Arial" w:hAnsi="Arial" w:cs="Arial"/>
          <w:color w:val="000000" w:themeColor="text1"/>
          <w:sz w:val="22"/>
          <w:szCs w:val="22"/>
        </w:rPr>
        <w:t xml:space="preserve">). The use of colourful LEDs and floodlights will be done in the event. Strategic skills and knowledge are required in the business forms of events (Rogers and Wynn-Moylan, 2022). The creativity on the event banners and graphical use on the tickets will be done to ensure the attention of the customers. </w:t>
      </w:r>
    </w:p>
    <w:p w14:paraId="5104EF14" w14:textId="77777777" w:rsidR="001A302C" w:rsidRPr="00A95BE0" w:rsidRDefault="002834C7" w:rsidP="00A95BE0">
      <w:pPr>
        <w:rPr>
          <w:rFonts w:ascii="Arial" w:hAnsi="Arial" w:cs="Arial"/>
          <w:color w:val="000000" w:themeColor="text1"/>
          <w:sz w:val="22"/>
          <w:szCs w:val="22"/>
        </w:rPr>
      </w:pPr>
      <w:r w:rsidRPr="00A95BE0">
        <w:rPr>
          <w:rFonts w:ascii="Arial" w:hAnsi="Arial" w:cs="Arial"/>
          <w:noProof/>
          <w:color w:val="000000" w:themeColor="text1"/>
          <w:sz w:val="22"/>
          <w:szCs w:val="22"/>
          <w:lang w:val="en-IN"/>
        </w:rPr>
        <w:lastRenderedPageBreak/>
        <w:drawing>
          <wp:inline distT="114300" distB="114300" distL="114300" distR="114300" wp14:anchorId="1420236C" wp14:editId="2FFBA82C">
            <wp:extent cx="5943600" cy="334010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5"/>
                    <a:srcRect/>
                    <a:stretch>
                      <a:fillRect/>
                    </a:stretch>
                  </pic:blipFill>
                  <pic:spPr>
                    <a:xfrm>
                      <a:off x="0" y="0"/>
                      <a:ext cx="5943600" cy="3340100"/>
                    </a:xfrm>
                    <a:prstGeom prst="rect">
                      <a:avLst/>
                    </a:prstGeom>
                    <a:ln/>
                  </pic:spPr>
                </pic:pic>
              </a:graphicData>
            </a:graphic>
          </wp:inline>
        </w:drawing>
      </w:r>
    </w:p>
    <w:p w14:paraId="4554A8CF" w14:textId="77777777" w:rsidR="001A302C" w:rsidRPr="00A95BE0" w:rsidRDefault="002834C7" w:rsidP="00A95BE0">
      <w:pPr>
        <w:rPr>
          <w:rFonts w:ascii="Arial" w:hAnsi="Arial" w:cs="Arial"/>
          <w:color w:val="000000" w:themeColor="text1"/>
          <w:sz w:val="22"/>
          <w:szCs w:val="22"/>
        </w:rPr>
      </w:pPr>
      <w:r w:rsidRPr="00A95BE0">
        <w:rPr>
          <w:rFonts w:ascii="Arial" w:hAnsi="Arial" w:cs="Arial"/>
          <w:color w:val="000000" w:themeColor="text1"/>
          <w:sz w:val="22"/>
          <w:szCs w:val="22"/>
        </w:rPr>
        <w:t xml:space="preserve">The ways to attract tourists are needed to perform well to provide the perfect experiences and satisfaction. The needs for parking and seating arrangements are needed to be comfortable to satisfy the audience and the tourists (Chandra </w:t>
      </w:r>
      <w:r w:rsidRPr="00A95BE0">
        <w:rPr>
          <w:rFonts w:ascii="Arial" w:hAnsi="Arial" w:cs="Arial"/>
          <w:i/>
          <w:color w:val="000000" w:themeColor="text1"/>
          <w:sz w:val="22"/>
          <w:szCs w:val="22"/>
        </w:rPr>
        <w:t>et al</w:t>
      </w:r>
      <w:r w:rsidRPr="00A95BE0">
        <w:rPr>
          <w:rFonts w:ascii="Arial" w:hAnsi="Arial" w:cs="Arial"/>
          <w:color w:val="000000" w:themeColor="text1"/>
          <w:sz w:val="22"/>
          <w:szCs w:val="22"/>
        </w:rPr>
        <w:t xml:space="preserve">., 2022). The arrangement of the long parking zone will be done for the audience to park their respective car without any kinds of issues. The seating arrangements will be for more than 20000 individuals to enjoy the concert and dance show along with eating facilities. The areas of managing the security of an event is necessary to protect all the individuals and the priorities of an event (Sadowski </w:t>
      </w:r>
      <w:r w:rsidRPr="00A95BE0">
        <w:rPr>
          <w:rFonts w:ascii="Arial" w:hAnsi="Arial" w:cs="Arial"/>
          <w:i/>
          <w:color w:val="000000" w:themeColor="text1"/>
          <w:sz w:val="22"/>
          <w:szCs w:val="22"/>
        </w:rPr>
        <w:t>et al</w:t>
      </w:r>
      <w:r w:rsidRPr="00A95BE0">
        <w:rPr>
          <w:rFonts w:ascii="Arial" w:hAnsi="Arial" w:cs="Arial"/>
          <w:color w:val="000000" w:themeColor="text1"/>
          <w:sz w:val="22"/>
          <w:szCs w:val="22"/>
        </w:rPr>
        <w:t xml:space="preserve">., 2020). The use of more than 200 CCTV cameras and sensors will be installed for the events to ensure safety. </w:t>
      </w:r>
    </w:p>
    <w:p w14:paraId="5BDCDF2B" w14:textId="77777777" w:rsidR="001A302C" w:rsidRPr="00A95BE0" w:rsidRDefault="002834C7" w:rsidP="00A95BE0">
      <w:pPr>
        <w:pStyle w:val="Heading1"/>
        <w:rPr>
          <w:rFonts w:ascii="Arial" w:hAnsi="Arial" w:cs="Arial"/>
          <w:color w:val="000000" w:themeColor="text1"/>
          <w:sz w:val="22"/>
          <w:szCs w:val="22"/>
        </w:rPr>
      </w:pPr>
      <w:bookmarkStart w:id="9" w:name="_vo2h4g4focju" w:colFirst="0" w:colLast="0"/>
      <w:bookmarkStart w:id="10" w:name="_Toc179305538"/>
      <w:bookmarkEnd w:id="9"/>
      <w:r w:rsidRPr="00A95BE0">
        <w:rPr>
          <w:rFonts w:ascii="Arial" w:hAnsi="Arial" w:cs="Arial"/>
          <w:color w:val="000000" w:themeColor="text1"/>
          <w:sz w:val="22"/>
          <w:szCs w:val="22"/>
        </w:rPr>
        <w:lastRenderedPageBreak/>
        <w:t>Financial factors</w:t>
      </w:r>
      <w:bookmarkEnd w:id="10"/>
      <w:r w:rsidRPr="00A95BE0">
        <w:rPr>
          <w:rFonts w:ascii="Arial" w:hAnsi="Arial" w:cs="Arial"/>
          <w:color w:val="000000" w:themeColor="text1"/>
          <w:sz w:val="22"/>
          <w:szCs w:val="22"/>
        </w:rPr>
        <w:t xml:space="preserve"> </w:t>
      </w:r>
    </w:p>
    <w:p w14:paraId="436A69E2" w14:textId="77777777" w:rsidR="001A302C" w:rsidRPr="00A95BE0" w:rsidRDefault="002834C7" w:rsidP="00A95BE0">
      <w:pPr>
        <w:rPr>
          <w:rFonts w:ascii="Arial" w:hAnsi="Arial" w:cs="Arial"/>
          <w:color w:val="000000" w:themeColor="text1"/>
          <w:sz w:val="22"/>
          <w:szCs w:val="22"/>
        </w:rPr>
      </w:pPr>
      <w:r w:rsidRPr="00A95BE0">
        <w:rPr>
          <w:rFonts w:ascii="Arial" w:hAnsi="Arial" w:cs="Arial"/>
          <w:noProof/>
          <w:color w:val="000000" w:themeColor="text1"/>
          <w:sz w:val="22"/>
          <w:szCs w:val="22"/>
          <w:lang w:val="en-IN"/>
        </w:rPr>
        <w:drawing>
          <wp:inline distT="114300" distB="114300" distL="114300" distR="114300" wp14:anchorId="646F73D4" wp14:editId="22BB6FAC">
            <wp:extent cx="5943600" cy="3340100"/>
            <wp:effectExtent l="0" t="0" r="0" b="0"/>
            <wp:docPr id="2"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6"/>
                    <a:srcRect/>
                    <a:stretch>
                      <a:fillRect/>
                    </a:stretch>
                  </pic:blipFill>
                  <pic:spPr>
                    <a:xfrm>
                      <a:off x="0" y="0"/>
                      <a:ext cx="5943600" cy="3340100"/>
                    </a:xfrm>
                    <a:prstGeom prst="rect">
                      <a:avLst/>
                    </a:prstGeom>
                    <a:ln/>
                  </pic:spPr>
                </pic:pic>
              </a:graphicData>
            </a:graphic>
          </wp:inline>
        </w:drawing>
      </w:r>
    </w:p>
    <w:p w14:paraId="646CE734" w14:textId="77777777" w:rsidR="001A302C" w:rsidRPr="00A95BE0" w:rsidRDefault="002834C7" w:rsidP="00A95BE0">
      <w:pPr>
        <w:rPr>
          <w:rFonts w:ascii="Arial" w:hAnsi="Arial" w:cs="Arial"/>
          <w:color w:val="000000" w:themeColor="text1"/>
          <w:sz w:val="22"/>
          <w:szCs w:val="22"/>
        </w:rPr>
      </w:pPr>
      <w:r w:rsidRPr="00A95BE0">
        <w:rPr>
          <w:rFonts w:ascii="Arial" w:hAnsi="Arial" w:cs="Arial"/>
          <w:color w:val="000000" w:themeColor="text1"/>
          <w:sz w:val="22"/>
          <w:szCs w:val="22"/>
        </w:rPr>
        <w:t xml:space="preserve">The management of the budget for hosting an event is the most crucial task to plan and organise. The research plan of the market and the cost are required to find the financial resources of an event (Allen </w:t>
      </w:r>
      <w:r w:rsidRPr="00A95BE0">
        <w:rPr>
          <w:rFonts w:ascii="Arial" w:hAnsi="Arial" w:cs="Arial"/>
          <w:i/>
          <w:color w:val="000000" w:themeColor="text1"/>
          <w:sz w:val="22"/>
          <w:szCs w:val="22"/>
        </w:rPr>
        <w:t>et al</w:t>
      </w:r>
      <w:r w:rsidRPr="00A95BE0">
        <w:rPr>
          <w:rFonts w:ascii="Arial" w:hAnsi="Arial" w:cs="Arial"/>
          <w:color w:val="000000" w:themeColor="text1"/>
          <w:sz w:val="22"/>
          <w:szCs w:val="22"/>
        </w:rPr>
        <w:t xml:space="preserve">., 2022). The main area of funding for the event will be sponsorship. The procedure of merchandise sales is a key way to generate funding. It will be executed to generate the funds for the event. The events have the target to attain the attention of the tourists along with the audience for a better business view. The hosting of the event will help in the core areas of urban generation and economic growth (Smith, 2012). The funding is expected to be profitable and the investors will get the satisfaction. It will show the ways to arrange more events in the MICE industry in future. The ticket sales contribute a vital part to the profit of the event (Frost and Frost, 2020). The calculation of the projected income and the expenses will be done to get knowledge about the event's feasibility. </w:t>
      </w:r>
    </w:p>
    <w:p w14:paraId="40EEA981" w14:textId="77777777" w:rsidR="001A302C" w:rsidRPr="00A95BE0" w:rsidRDefault="002834C7" w:rsidP="00A95BE0">
      <w:pPr>
        <w:rPr>
          <w:rFonts w:ascii="Arial" w:hAnsi="Arial" w:cs="Arial"/>
          <w:color w:val="000000" w:themeColor="text1"/>
          <w:sz w:val="22"/>
          <w:szCs w:val="22"/>
        </w:rPr>
      </w:pPr>
      <w:r w:rsidRPr="00A95BE0">
        <w:rPr>
          <w:rFonts w:ascii="Arial" w:hAnsi="Arial" w:cs="Arial"/>
          <w:noProof/>
          <w:color w:val="000000" w:themeColor="text1"/>
          <w:sz w:val="22"/>
          <w:szCs w:val="22"/>
          <w:lang w:val="en-IN"/>
        </w:rPr>
        <w:lastRenderedPageBreak/>
        <w:drawing>
          <wp:inline distT="114300" distB="114300" distL="114300" distR="114300" wp14:anchorId="0BB7E34B" wp14:editId="28976480">
            <wp:extent cx="5943600" cy="3340100"/>
            <wp:effectExtent l="0" t="0" r="0" b="0"/>
            <wp:docPr id="8"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7"/>
                    <a:srcRect/>
                    <a:stretch>
                      <a:fillRect/>
                    </a:stretch>
                  </pic:blipFill>
                  <pic:spPr>
                    <a:xfrm>
                      <a:off x="0" y="0"/>
                      <a:ext cx="5943600" cy="3340100"/>
                    </a:xfrm>
                    <a:prstGeom prst="rect">
                      <a:avLst/>
                    </a:prstGeom>
                    <a:ln/>
                  </pic:spPr>
                </pic:pic>
              </a:graphicData>
            </a:graphic>
          </wp:inline>
        </w:drawing>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1A302C" w:rsidRPr="00A95BE0" w14:paraId="24CCE802" w14:textId="77777777">
        <w:tc>
          <w:tcPr>
            <w:tcW w:w="4680" w:type="dxa"/>
            <w:shd w:val="clear" w:color="auto" w:fill="auto"/>
            <w:tcMar>
              <w:top w:w="100" w:type="dxa"/>
              <w:left w:w="100" w:type="dxa"/>
              <w:bottom w:w="100" w:type="dxa"/>
              <w:right w:w="100" w:type="dxa"/>
            </w:tcMar>
          </w:tcPr>
          <w:p w14:paraId="1EE99E1F" w14:textId="77777777" w:rsidR="001A302C" w:rsidRPr="00A95BE0" w:rsidRDefault="002834C7" w:rsidP="00A95BE0">
            <w:pPr>
              <w:widowControl w:val="0"/>
              <w:rPr>
                <w:rFonts w:ascii="Arial" w:hAnsi="Arial" w:cs="Arial"/>
                <w:b/>
                <w:color w:val="000000" w:themeColor="text1"/>
                <w:sz w:val="22"/>
                <w:szCs w:val="22"/>
              </w:rPr>
            </w:pPr>
            <w:r w:rsidRPr="00A95BE0">
              <w:rPr>
                <w:rFonts w:ascii="Arial" w:hAnsi="Arial" w:cs="Arial"/>
                <w:b/>
                <w:color w:val="000000" w:themeColor="text1"/>
                <w:sz w:val="22"/>
                <w:szCs w:val="22"/>
              </w:rPr>
              <w:t xml:space="preserve">Expenses requirements </w:t>
            </w:r>
          </w:p>
        </w:tc>
        <w:tc>
          <w:tcPr>
            <w:tcW w:w="4680" w:type="dxa"/>
            <w:shd w:val="clear" w:color="auto" w:fill="auto"/>
            <w:tcMar>
              <w:top w:w="100" w:type="dxa"/>
              <w:left w:w="100" w:type="dxa"/>
              <w:bottom w:w="100" w:type="dxa"/>
              <w:right w:w="100" w:type="dxa"/>
            </w:tcMar>
          </w:tcPr>
          <w:p w14:paraId="0363C017" w14:textId="77777777" w:rsidR="001A302C" w:rsidRPr="00A95BE0" w:rsidRDefault="002834C7" w:rsidP="00A95BE0">
            <w:pPr>
              <w:widowControl w:val="0"/>
              <w:rPr>
                <w:rFonts w:ascii="Arial" w:hAnsi="Arial" w:cs="Arial"/>
                <w:b/>
                <w:color w:val="000000" w:themeColor="text1"/>
                <w:sz w:val="22"/>
                <w:szCs w:val="22"/>
              </w:rPr>
            </w:pPr>
            <w:r w:rsidRPr="00A95BE0">
              <w:rPr>
                <w:rFonts w:ascii="Arial" w:hAnsi="Arial" w:cs="Arial"/>
                <w:b/>
                <w:color w:val="000000" w:themeColor="text1"/>
                <w:sz w:val="22"/>
                <w:szCs w:val="22"/>
              </w:rPr>
              <w:t xml:space="preserve">Estimation of cost </w:t>
            </w:r>
          </w:p>
        </w:tc>
      </w:tr>
      <w:tr w:rsidR="001A302C" w:rsidRPr="00A95BE0" w14:paraId="6BF036A3" w14:textId="77777777">
        <w:tc>
          <w:tcPr>
            <w:tcW w:w="4680" w:type="dxa"/>
            <w:shd w:val="clear" w:color="auto" w:fill="auto"/>
            <w:tcMar>
              <w:top w:w="100" w:type="dxa"/>
              <w:left w:w="100" w:type="dxa"/>
              <w:bottom w:w="100" w:type="dxa"/>
              <w:right w:w="100" w:type="dxa"/>
            </w:tcMar>
          </w:tcPr>
          <w:p w14:paraId="63ED4A4C" w14:textId="77777777" w:rsidR="001A302C" w:rsidRPr="00A95BE0" w:rsidRDefault="002834C7" w:rsidP="00A95BE0">
            <w:pPr>
              <w:widowControl w:val="0"/>
              <w:rPr>
                <w:rFonts w:ascii="Arial" w:hAnsi="Arial" w:cs="Arial"/>
                <w:color w:val="000000" w:themeColor="text1"/>
                <w:sz w:val="22"/>
                <w:szCs w:val="22"/>
              </w:rPr>
            </w:pPr>
            <w:r w:rsidRPr="00A95BE0">
              <w:rPr>
                <w:rFonts w:ascii="Arial" w:hAnsi="Arial" w:cs="Arial"/>
                <w:color w:val="000000" w:themeColor="text1"/>
                <w:sz w:val="22"/>
                <w:szCs w:val="22"/>
              </w:rPr>
              <w:t xml:space="preserve">Booking of Royal Park </w:t>
            </w:r>
          </w:p>
        </w:tc>
        <w:tc>
          <w:tcPr>
            <w:tcW w:w="4680" w:type="dxa"/>
            <w:shd w:val="clear" w:color="auto" w:fill="auto"/>
            <w:tcMar>
              <w:top w:w="100" w:type="dxa"/>
              <w:left w:w="100" w:type="dxa"/>
              <w:bottom w:w="100" w:type="dxa"/>
              <w:right w:w="100" w:type="dxa"/>
            </w:tcMar>
          </w:tcPr>
          <w:p w14:paraId="214840F2" w14:textId="77777777" w:rsidR="001A302C" w:rsidRPr="00A95BE0" w:rsidRDefault="002834C7" w:rsidP="00A95BE0">
            <w:pPr>
              <w:rPr>
                <w:rFonts w:ascii="Arial" w:hAnsi="Arial" w:cs="Arial"/>
                <w:color w:val="000000" w:themeColor="text1"/>
                <w:sz w:val="22"/>
                <w:szCs w:val="22"/>
              </w:rPr>
            </w:pPr>
            <w:r w:rsidRPr="00A95BE0">
              <w:rPr>
                <w:rFonts w:ascii="Arial" w:hAnsi="Arial" w:cs="Arial"/>
                <w:color w:val="000000" w:themeColor="text1"/>
                <w:sz w:val="22"/>
                <w:szCs w:val="22"/>
              </w:rPr>
              <w:t xml:space="preserve">£40,000 </w:t>
            </w:r>
          </w:p>
        </w:tc>
      </w:tr>
      <w:tr w:rsidR="001A302C" w:rsidRPr="00A95BE0" w14:paraId="53954E9A" w14:textId="77777777">
        <w:tc>
          <w:tcPr>
            <w:tcW w:w="4680" w:type="dxa"/>
            <w:shd w:val="clear" w:color="auto" w:fill="auto"/>
            <w:tcMar>
              <w:top w:w="100" w:type="dxa"/>
              <w:left w:w="100" w:type="dxa"/>
              <w:bottom w:w="100" w:type="dxa"/>
              <w:right w:w="100" w:type="dxa"/>
            </w:tcMar>
          </w:tcPr>
          <w:p w14:paraId="796D0A4A" w14:textId="77777777" w:rsidR="001A302C" w:rsidRPr="00A95BE0" w:rsidRDefault="002834C7" w:rsidP="00A95BE0">
            <w:pPr>
              <w:widowControl w:val="0"/>
              <w:rPr>
                <w:rFonts w:ascii="Arial" w:hAnsi="Arial" w:cs="Arial"/>
                <w:color w:val="000000" w:themeColor="text1"/>
                <w:sz w:val="22"/>
                <w:szCs w:val="22"/>
              </w:rPr>
            </w:pPr>
            <w:r w:rsidRPr="00A95BE0">
              <w:rPr>
                <w:rFonts w:ascii="Arial" w:hAnsi="Arial" w:cs="Arial"/>
                <w:color w:val="000000" w:themeColor="text1"/>
                <w:sz w:val="22"/>
                <w:szCs w:val="22"/>
              </w:rPr>
              <w:t xml:space="preserve">Lighting and decorations </w:t>
            </w:r>
          </w:p>
        </w:tc>
        <w:tc>
          <w:tcPr>
            <w:tcW w:w="4680" w:type="dxa"/>
            <w:shd w:val="clear" w:color="auto" w:fill="auto"/>
            <w:tcMar>
              <w:top w:w="100" w:type="dxa"/>
              <w:left w:w="100" w:type="dxa"/>
              <w:bottom w:w="100" w:type="dxa"/>
              <w:right w:w="100" w:type="dxa"/>
            </w:tcMar>
          </w:tcPr>
          <w:p w14:paraId="6730BB7B" w14:textId="77777777" w:rsidR="001A302C" w:rsidRPr="00A95BE0" w:rsidRDefault="002834C7" w:rsidP="00A95BE0">
            <w:pPr>
              <w:rPr>
                <w:rFonts w:ascii="Arial" w:hAnsi="Arial" w:cs="Arial"/>
                <w:color w:val="000000" w:themeColor="text1"/>
                <w:sz w:val="22"/>
                <w:szCs w:val="22"/>
              </w:rPr>
            </w:pPr>
            <w:r w:rsidRPr="00A95BE0">
              <w:rPr>
                <w:rFonts w:ascii="Arial" w:hAnsi="Arial" w:cs="Arial"/>
                <w:color w:val="000000" w:themeColor="text1"/>
                <w:sz w:val="22"/>
                <w:szCs w:val="22"/>
              </w:rPr>
              <w:t>£30,000</w:t>
            </w:r>
          </w:p>
        </w:tc>
      </w:tr>
      <w:tr w:rsidR="001A302C" w:rsidRPr="00A95BE0" w14:paraId="0EBA7FAC" w14:textId="77777777">
        <w:tc>
          <w:tcPr>
            <w:tcW w:w="4680" w:type="dxa"/>
            <w:shd w:val="clear" w:color="auto" w:fill="auto"/>
            <w:tcMar>
              <w:top w:w="100" w:type="dxa"/>
              <w:left w:w="100" w:type="dxa"/>
              <w:bottom w:w="100" w:type="dxa"/>
              <w:right w:w="100" w:type="dxa"/>
            </w:tcMar>
          </w:tcPr>
          <w:p w14:paraId="21F53985" w14:textId="77777777" w:rsidR="001A302C" w:rsidRPr="00A95BE0" w:rsidRDefault="002834C7" w:rsidP="00A95BE0">
            <w:pPr>
              <w:widowControl w:val="0"/>
              <w:rPr>
                <w:rFonts w:ascii="Arial" w:hAnsi="Arial" w:cs="Arial"/>
                <w:color w:val="000000" w:themeColor="text1"/>
                <w:sz w:val="22"/>
                <w:szCs w:val="22"/>
              </w:rPr>
            </w:pPr>
            <w:r w:rsidRPr="00A95BE0">
              <w:rPr>
                <w:rFonts w:ascii="Arial" w:hAnsi="Arial" w:cs="Arial"/>
                <w:color w:val="000000" w:themeColor="text1"/>
                <w:sz w:val="22"/>
                <w:szCs w:val="22"/>
              </w:rPr>
              <w:t xml:space="preserve">Catering and food </w:t>
            </w:r>
          </w:p>
        </w:tc>
        <w:tc>
          <w:tcPr>
            <w:tcW w:w="4680" w:type="dxa"/>
            <w:shd w:val="clear" w:color="auto" w:fill="auto"/>
            <w:tcMar>
              <w:top w:w="100" w:type="dxa"/>
              <w:left w:w="100" w:type="dxa"/>
              <w:bottom w:w="100" w:type="dxa"/>
              <w:right w:w="100" w:type="dxa"/>
            </w:tcMar>
          </w:tcPr>
          <w:p w14:paraId="57AC7968" w14:textId="77777777" w:rsidR="001A302C" w:rsidRPr="00A95BE0" w:rsidRDefault="002834C7" w:rsidP="00A95BE0">
            <w:pPr>
              <w:rPr>
                <w:rFonts w:ascii="Arial" w:hAnsi="Arial" w:cs="Arial"/>
                <w:color w:val="000000" w:themeColor="text1"/>
                <w:sz w:val="22"/>
                <w:szCs w:val="22"/>
              </w:rPr>
            </w:pPr>
            <w:r w:rsidRPr="00A95BE0">
              <w:rPr>
                <w:rFonts w:ascii="Arial" w:hAnsi="Arial" w:cs="Arial"/>
                <w:color w:val="000000" w:themeColor="text1"/>
                <w:sz w:val="22"/>
                <w:szCs w:val="22"/>
              </w:rPr>
              <w:t xml:space="preserve">£25,000 </w:t>
            </w:r>
          </w:p>
        </w:tc>
      </w:tr>
      <w:tr w:rsidR="001A302C" w:rsidRPr="00A95BE0" w14:paraId="481783E7" w14:textId="77777777">
        <w:tc>
          <w:tcPr>
            <w:tcW w:w="4680" w:type="dxa"/>
            <w:shd w:val="clear" w:color="auto" w:fill="auto"/>
            <w:tcMar>
              <w:top w:w="100" w:type="dxa"/>
              <w:left w:w="100" w:type="dxa"/>
              <w:bottom w:w="100" w:type="dxa"/>
              <w:right w:w="100" w:type="dxa"/>
            </w:tcMar>
          </w:tcPr>
          <w:p w14:paraId="23C0AAC0" w14:textId="77777777" w:rsidR="001A302C" w:rsidRPr="00A95BE0" w:rsidRDefault="002834C7" w:rsidP="00A95BE0">
            <w:pPr>
              <w:widowControl w:val="0"/>
              <w:rPr>
                <w:rFonts w:ascii="Arial" w:hAnsi="Arial" w:cs="Arial"/>
                <w:color w:val="000000" w:themeColor="text1"/>
                <w:sz w:val="22"/>
                <w:szCs w:val="22"/>
              </w:rPr>
            </w:pPr>
            <w:r w:rsidRPr="00A95BE0">
              <w:rPr>
                <w:rFonts w:ascii="Arial" w:hAnsi="Arial" w:cs="Arial"/>
                <w:color w:val="000000" w:themeColor="text1"/>
                <w:sz w:val="22"/>
                <w:szCs w:val="22"/>
              </w:rPr>
              <w:t xml:space="preserve">Hiring and managing the staff </w:t>
            </w:r>
          </w:p>
        </w:tc>
        <w:tc>
          <w:tcPr>
            <w:tcW w:w="4680" w:type="dxa"/>
            <w:shd w:val="clear" w:color="auto" w:fill="auto"/>
            <w:tcMar>
              <w:top w:w="100" w:type="dxa"/>
              <w:left w:w="100" w:type="dxa"/>
              <w:bottom w:w="100" w:type="dxa"/>
              <w:right w:w="100" w:type="dxa"/>
            </w:tcMar>
          </w:tcPr>
          <w:p w14:paraId="3163433F" w14:textId="77777777" w:rsidR="001A302C" w:rsidRPr="00A95BE0" w:rsidRDefault="002834C7" w:rsidP="00A95BE0">
            <w:pPr>
              <w:rPr>
                <w:rFonts w:ascii="Arial" w:hAnsi="Arial" w:cs="Arial"/>
                <w:color w:val="000000" w:themeColor="text1"/>
                <w:sz w:val="22"/>
                <w:szCs w:val="22"/>
              </w:rPr>
            </w:pPr>
            <w:r w:rsidRPr="00A95BE0">
              <w:rPr>
                <w:rFonts w:ascii="Arial" w:hAnsi="Arial" w:cs="Arial"/>
                <w:color w:val="000000" w:themeColor="text1"/>
                <w:sz w:val="22"/>
                <w:szCs w:val="22"/>
              </w:rPr>
              <w:t>£10,000</w:t>
            </w:r>
          </w:p>
        </w:tc>
      </w:tr>
      <w:tr w:rsidR="001A302C" w:rsidRPr="00A95BE0" w14:paraId="18A60389" w14:textId="77777777">
        <w:tc>
          <w:tcPr>
            <w:tcW w:w="4680" w:type="dxa"/>
            <w:shd w:val="clear" w:color="auto" w:fill="auto"/>
            <w:tcMar>
              <w:top w:w="100" w:type="dxa"/>
              <w:left w:w="100" w:type="dxa"/>
              <w:bottom w:w="100" w:type="dxa"/>
              <w:right w:w="100" w:type="dxa"/>
            </w:tcMar>
          </w:tcPr>
          <w:p w14:paraId="492C21B7" w14:textId="77777777" w:rsidR="001A302C" w:rsidRPr="00A95BE0" w:rsidRDefault="002834C7" w:rsidP="00A95BE0">
            <w:pPr>
              <w:widowControl w:val="0"/>
              <w:rPr>
                <w:rFonts w:ascii="Arial" w:hAnsi="Arial" w:cs="Arial"/>
                <w:color w:val="000000" w:themeColor="text1"/>
                <w:sz w:val="22"/>
                <w:szCs w:val="22"/>
              </w:rPr>
            </w:pPr>
            <w:r w:rsidRPr="00A95BE0">
              <w:rPr>
                <w:rFonts w:ascii="Arial" w:hAnsi="Arial" w:cs="Arial"/>
                <w:color w:val="000000" w:themeColor="text1"/>
                <w:sz w:val="22"/>
                <w:szCs w:val="22"/>
              </w:rPr>
              <w:t xml:space="preserve">Marketing activities </w:t>
            </w:r>
          </w:p>
        </w:tc>
        <w:tc>
          <w:tcPr>
            <w:tcW w:w="4680" w:type="dxa"/>
            <w:shd w:val="clear" w:color="auto" w:fill="auto"/>
            <w:tcMar>
              <w:top w:w="100" w:type="dxa"/>
              <w:left w:w="100" w:type="dxa"/>
              <w:bottom w:w="100" w:type="dxa"/>
              <w:right w:w="100" w:type="dxa"/>
            </w:tcMar>
          </w:tcPr>
          <w:p w14:paraId="3D16396E" w14:textId="77777777" w:rsidR="001A302C" w:rsidRPr="00A95BE0" w:rsidRDefault="002834C7" w:rsidP="00A95BE0">
            <w:pPr>
              <w:rPr>
                <w:rFonts w:ascii="Arial" w:hAnsi="Arial" w:cs="Arial"/>
                <w:color w:val="000000" w:themeColor="text1"/>
                <w:sz w:val="22"/>
                <w:szCs w:val="22"/>
              </w:rPr>
            </w:pPr>
            <w:r w:rsidRPr="00A95BE0">
              <w:rPr>
                <w:rFonts w:ascii="Arial" w:hAnsi="Arial" w:cs="Arial"/>
                <w:color w:val="000000" w:themeColor="text1"/>
                <w:sz w:val="22"/>
                <w:szCs w:val="22"/>
              </w:rPr>
              <w:t xml:space="preserve"> £8,000</w:t>
            </w:r>
          </w:p>
        </w:tc>
      </w:tr>
      <w:tr w:rsidR="001A302C" w:rsidRPr="00A95BE0" w14:paraId="4CE835EF" w14:textId="77777777">
        <w:tc>
          <w:tcPr>
            <w:tcW w:w="4680" w:type="dxa"/>
            <w:shd w:val="clear" w:color="auto" w:fill="auto"/>
            <w:tcMar>
              <w:top w:w="100" w:type="dxa"/>
              <w:left w:w="100" w:type="dxa"/>
              <w:bottom w:w="100" w:type="dxa"/>
              <w:right w:w="100" w:type="dxa"/>
            </w:tcMar>
          </w:tcPr>
          <w:p w14:paraId="33E258B1" w14:textId="77777777" w:rsidR="001A302C" w:rsidRPr="00A95BE0" w:rsidRDefault="002834C7" w:rsidP="00A95BE0">
            <w:pPr>
              <w:widowControl w:val="0"/>
              <w:rPr>
                <w:rFonts w:ascii="Arial" w:hAnsi="Arial" w:cs="Arial"/>
                <w:color w:val="000000" w:themeColor="text1"/>
                <w:sz w:val="22"/>
                <w:szCs w:val="22"/>
              </w:rPr>
            </w:pPr>
            <w:r w:rsidRPr="00A95BE0">
              <w:rPr>
                <w:rFonts w:ascii="Arial" w:hAnsi="Arial" w:cs="Arial"/>
                <w:color w:val="000000" w:themeColor="text1"/>
                <w:sz w:val="22"/>
                <w:szCs w:val="22"/>
              </w:rPr>
              <w:t xml:space="preserve">Others </w:t>
            </w:r>
          </w:p>
        </w:tc>
        <w:tc>
          <w:tcPr>
            <w:tcW w:w="4680" w:type="dxa"/>
            <w:shd w:val="clear" w:color="auto" w:fill="auto"/>
            <w:tcMar>
              <w:top w:w="100" w:type="dxa"/>
              <w:left w:w="100" w:type="dxa"/>
              <w:bottom w:w="100" w:type="dxa"/>
              <w:right w:w="100" w:type="dxa"/>
            </w:tcMar>
          </w:tcPr>
          <w:p w14:paraId="0D714171" w14:textId="77777777" w:rsidR="001A302C" w:rsidRPr="00A95BE0" w:rsidRDefault="002834C7" w:rsidP="00A95BE0">
            <w:pPr>
              <w:rPr>
                <w:rFonts w:ascii="Arial" w:hAnsi="Arial" w:cs="Arial"/>
                <w:color w:val="000000" w:themeColor="text1"/>
                <w:sz w:val="22"/>
                <w:szCs w:val="22"/>
              </w:rPr>
            </w:pPr>
            <w:r w:rsidRPr="00A95BE0">
              <w:rPr>
                <w:rFonts w:ascii="Arial" w:hAnsi="Arial" w:cs="Arial"/>
                <w:color w:val="000000" w:themeColor="text1"/>
                <w:sz w:val="22"/>
                <w:szCs w:val="22"/>
              </w:rPr>
              <w:t xml:space="preserve"> £7,000</w:t>
            </w:r>
          </w:p>
        </w:tc>
      </w:tr>
      <w:tr w:rsidR="001A302C" w:rsidRPr="00A95BE0" w14:paraId="5274D748" w14:textId="77777777">
        <w:tc>
          <w:tcPr>
            <w:tcW w:w="4680" w:type="dxa"/>
            <w:shd w:val="clear" w:color="auto" w:fill="auto"/>
            <w:tcMar>
              <w:top w:w="100" w:type="dxa"/>
              <w:left w:w="100" w:type="dxa"/>
              <w:bottom w:w="100" w:type="dxa"/>
              <w:right w:w="100" w:type="dxa"/>
            </w:tcMar>
          </w:tcPr>
          <w:p w14:paraId="036A0046" w14:textId="77777777" w:rsidR="001A302C" w:rsidRPr="00A95BE0" w:rsidRDefault="002834C7" w:rsidP="00A95BE0">
            <w:pPr>
              <w:widowControl w:val="0"/>
              <w:rPr>
                <w:rFonts w:ascii="Arial" w:hAnsi="Arial" w:cs="Arial"/>
                <w:color w:val="000000" w:themeColor="text1"/>
                <w:sz w:val="22"/>
                <w:szCs w:val="22"/>
              </w:rPr>
            </w:pPr>
            <w:r w:rsidRPr="00A95BE0">
              <w:rPr>
                <w:rFonts w:ascii="Arial" w:hAnsi="Arial" w:cs="Arial"/>
                <w:color w:val="000000" w:themeColor="text1"/>
                <w:sz w:val="22"/>
                <w:szCs w:val="22"/>
              </w:rPr>
              <w:t xml:space="preserve">Total </w:t>
            </w:r>
          </w:p>
        </w:tc>
        <w:tc>
          <w:tcPr>
            <w:tcW w:w="4680" w:type="dxa"/>
            <w:shd w:val="clear" w:color="auto" w:fill="auto"/>
            <w:tcMar>
              <w:top w:w="100" w:type="dxa"/>
              <w:left w:w="100" w:type="dxa"/>
              <w:bottom w:w="100" w:type="dxa"/>
              <w:right w:w="100" w:type="dxa"/>
            </w:tcMar>
          </w:tcPr>
          <w:p w14:paraId="149926DE" w14:textId="77777777" w:rsidR="001A302C" w:rsidRPr="00A95BE0" w:rsidRDefault="002834C7" w:rsidP="00A95BE0">
            <w:pPr>
              <w:rPr>
                <w:rFonts w:ascii="Arial" w:hAnsi="Arial" w:cs="Arial"/>
                <w:color w:val="000000" w:themeColor="text1"/>
                <w:sz w:val="22"/>
                <w:szCs w:val="22"/>
              </w:rPr>
            </w:pPr>
            <w:r w:rsidRPr="00A95BE0">
              <w:rPr>
                <w:rFonts w:ascii="Arial" w:hAnsi="Arial" w:cs="Arial"/>
                <w:color w:val="000000" w:themeColor="text1"/>
                <w:sz w:val="22"/>
                <w:szCs w:val="22"/>
              </w:rPr>
              <w:t>£120,000</w:t>
            </w:r>
          </w:p>
        </w:tc>
      </w:tr>
    </w:tbl>
    <w:p w14:paraId="6773CDAE" w14:textId="77777777" w:rsidR="001A302C" w:rsidRPr="00A95BE0" w:rsidRDefault="001A302C" w:rsidP="00A95BE0">
      <w:pPr>
        <w:rPr>
          <w:rFonts w:ascii="Arial" w:hAnsi="Arial" w:cs="Arial"/>
          <w:color w:val="000000" w:themeColor="text1"/>
          <w:sz w:val="22"/>
          <w:szCs w:val="22"/>
        </w:rPr>
      </w:pPr>
    </w:p>
    <w:p w14:paraId="60A674F6" w14:textId="77777777" w:rsidR="001A302C" w:rsidRPr="00A95BE0" w:rsidRDefault="002834C7" w:rsidP="00A95BE0">
      <w:pPr>
        <w:jc w:val="center"/>
        <w:rPr>
          <w:rFonts w:ascii="Arial" w:hAnsi="Arial" w:cs="Arial"/>
          <w:b/>
          <w:color w:val="000000" w:themeColor="text1"/>
          <w:sz w:val="22"/>
          <w:szCs w:val="22"/>
        </w:rPr>
      </w:pPr>
      <w:r w:rsidRPr="00A95BE0">
        <w:rPr>
          <w:rFonts w:ascii="Arial" w:hAnsi="Arial" w:cs="Arial"/>
          <w:b/>
          <w:color w:val="000000" w:themeColor="text1"/>
          <w:sz w:val="22"/>
          <w:szCs w:val="22"/>
        </w:rPr>
        <w:t xml:space="preserve">Table 1: Predicted cost breakdown structure </w:t>
      </w:r>
    </w:p>
    <w:p w14:paraId="6CE1D8A8" w14:textId="77777777" w:rsidR="001A302C" w:rsidRPr="00A95BE0" w:rsidRDefault="002834C7" w:rsidP="00A95BE0">
      <w:pPr>
        <w:jc w:val="center"/>
        <w:rPr>
          <w:rFonts w:ascii="Arial" w:hAnsi="Arial" w:cs="Arial"/>
          <w:color w:val="000000" w:themeColor="text1"/>
          <w:sz w:val="22"/>
          <w:szCs w:val="22"/>
        </w:rPr>
      </w:pPr>
      <w:r w:rsidRPr="00A95BE0">
        <w:rPr>
          <w:rFonts w:ascii="Arial" w:hAnsi="Arial" w:cs="Arial"/>
          <w:color w:val="000000" w:themeColor="text1"/>
          <w:sz w:val="22"/>
          <w:szCs w:val="22"/>
        </w:rPr>
        <w:t>(Source: Self-developed)</w:t>
      </w:r>
    </w:p>
    <w:p w14:paraId="2F419653" w14:textId="77777777" w:rsidR="001A302C" w:rsidRPr="00A95BE0" w:rsidRDefault="001A302C" w:rsidP="00A95BE0">
      <w:pPr>
        <w:rPr>
          <w:rFonts w:ascii="Arial" w:hAnsi="Arial" w:cs="Arial"/>
          <w:color w:val="000000" w:themeColor="text1"/>
          <w:sz w:val="22"/>
          <w:szCs w:val="22"/>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1A302C" w:rsidRPr="00A95BE0" w14:paraId="7BADFD6C" w14:textId="77777777">
        <w:tc>
          <w:tcPr>
            <w:tcW w:w="4680" w:type="dxa"/>
            <w:shd w:val="clear" w:color="auto" w:fill="auto"/>
            <w:tcMar>
              <w:top w:w="100" w:type="dxa"/>
              <w:left w:w="100" w:type="dxa"/>
              <w:bottom w:w="100" w:type="dxa"/>
              <w:right w:w="100" w:type="dxa"/>
            </w:tcMar>
          </w:tcPr>
          <w:p w14:paraId="0230BA35" w14:textId="77777777" w:rsidR="001A302C" w:rsidRPr="00A95BE0" w:rsidRDefault="002834C7" w:rsidP="00A95BE0">
            <w:pPr>
              <w:widowControl w:val="0"/>
              <w:jc w:val="left"/>
              <w:rPr>
                <w:rFonts w:ascii="Arial" w:hAnsi="Arial" w:cs="Arial"/>
                <w:b/>
                <w:color w:val="000000" w:themeColor="text1"/>
                <w:sz w:val="22"/>
                <w:szCs w:val="22"/>
              </w:rPr>
            </w:pPr>
            <w:r w:rsidRPr="00A95BE0">
              <w:rPr>
                <w:rFonts w:ascii="Arial" w:hAnsi="Arial" w:cs="Arial"/>
                <w:b/>
                <w:color w:val="000000" w:themeColor="text1"/>
                <w:sz w:val="22"/>
                <w:szCs w:val="22"/>
              </w:rPr>
              <w:t xml:space="preserve">Income sources for the event </w:t>
            </w:r>
          </w:p>
        </w:tc>
        <w:tc>
          <w:tcPr>
            <w:tcW w:w="4680" w:type="dxa"/>
            <w:shd w:val="clear" w:color="auto" w:fill="auto"/>
            <w:tcMar>
              <w:top w:w="100" w:type="dxa"/>
              <w:left w:w="100" w:type="dxa"/>
              <w:bottom w:w="100" w:type="dxa"/>
              <w:right w:w="100" w:type="dxa"/>
            </w:tcMar>
          </w:tcPr>
          <w:p w14:paraId="226444BE" w14:textId="77777777" w:rsidR="001A302C" w:rsidRPr="00A95BE0" w:rsidRDefault="002834C7" w:rsidP="00A95BE0">
            <w:pPr>
              <w:widowControl w:val="0"/>
              <w:jc w:val="left"/>
              <w:rPr>
                <w:rFonts w:ascii="Arial" w:hAnsi="Arial" w:cs="Arial"/>
                <w:b/>
                <w:color w:val="000000" w:themeColor="text1"/>
                <w:sz w:val="22"/>
                <w:szCs w:val="22"/>
              </w:rPr>
            </w:pPr>
            <w:r w:rsidRPr="00A95BE0">
              <w:rPr>
                <w:rFonts w:ascii="Arial" w:hAnsi="Arial" w:cs="Arial"/>
                <w:b/>
                <w:color w:val="000000" w:themeColor="text1"/>
                <w:sz w:val="22"/>
                <w:szCs w:val="22"/>
              </w:rPr>
              <w:t>Revenue generation</w:t>
            </w:r>
          </w:p>
        </w:tc>
      </w:tr>
      <w:tr w:rsidR="001A302C" w:rsidRPr="00A95BE0" w14:paraId="58FB68AC" w14:textId="77777777">
        <w:tc>
          <w:tcPr>
            <w:tcW w:w="4680" w:type="dxa"/>
            <w:shd w:val="clear" w:color="auto" w:fill="auto"/>
            <w:tcMar>
              <w:top w:w="100" w:type="dxa"/>
              <w:left w:w="100" w:type="dxa"/>
              <w:bottom w:w="100" w:type="dxa"/>
              <w:right w:w="100" w:type="dxa"/>
            </w:tcMar>
          </w:tcPr>
          <w:p w14:paraId="5CE00541" w14:textId="77777777" w:rsidR="001A302C" w:rsidRPr="00A95BE0" w:rsidRDefault="002834C7" w:rsidP="00A95BE0">
            <w:pPr>
              <w:widowControl w:val="0"/>
              <w:jc w:val="left"/>
              <w:rPr>
                <w:rFonts w:ascii="Arial" w:hAnsi="Arial" w:cs="Arial"/>
                <w:color w:val="000000" w:themeColor="text1"/>
                <w:sz w:val="22"/>
                <w:szCs w:val="22"/>
              </w:rPr>
            </w:pPr>
            <w:r w:rsidRPr="00A95BE0">
              <w:rPr>
                <w:rFonts w:ascii="Arial" w:hAnsi="Arial" w:cs="Arial"/>
                <w:color w:val="000000" w:themeColor="text1"/>
                <w:sz w:val="22"/>
                <w:szCs w:val="22"/>
              </w:rPr>
              <w:t xml:space="preserve">Ticket sales </w:t>
            </w:r>
          </w:p>
        </w:tc>
        <w:tc>
          <w:tcPr>
            <w:tcW w:w="4680" w:type="dxa"/>
            <w:shd w:val="clear" w:color="auto" w:fill="auto"/>
            <w:tcMar>
              <w:top w:w="100" w:type="dxa"/>
              <w:left w:w="100" w:type="dxa"/>
              <w:bottom w:w="100" w:type="dxa"/>
              <w:right w:w="100" w:type="dxa"/>
            </w:tcMar>
          </w:tcPr>
          <w:p w14:paraId="1936738B" w14:textId="77777777" w:rsidR="001A302C" w:rsidRPr="00A95BE0" w:rsidRDefault="002834C7" w:rsidP="00A95BE0">
            <w:pPr>
              <w:rPr>
                <w:rFonts w:ascii="Arial" w:hAnsi="Arial" w:cs="Arial"/>
                <w:color w:val="000000" w:themeColor="text1"/>
                <w:sz w:val="22"/>
                <w:szCs w:val="22"/>
              </w:rPr>
            </w:pPr>
            <w:r w:rsidRPr="00A95BE0">
              <w:rPr>
                <w:rFonts w:ascii="Arial" w:hAnsi="Arial" w:cs="Arial"/>
                <w:color w:val="000000" w:themeColor="text1"/>
                <w:sz w:val="22"/>
                <w:szCs w:val="22"/>
              </w:rPr>
              <w:t>£60,000</w:t>
            </w:r>
          </w:p>
        </w:tc>
      </w:tr>
      <w:tr w:rsidR="001A302C" w:rsidRPr="00A95BE0" w14:paraId="1742C404" w14:textId="77777777">
        <w:tc>
          <w:tcPr>
            <w:tcW w:w="4680" w:type="dxa"/>
            <w:shd w:val="clear" w:color="auto" w:fill="auto"/>
            <w:tcMar>
              <w:top w:w="100" w:type="dxa"/>
              <w:left w:w="100" w:type="dxa"/>
              <w:bottom w:w="100" w:type="dxa"/>
              <w:right w:w="100" w:type="dxa"/>
            </w:tcMar>
          </w:tcPr>
          <w:p w14:paraId="3FEB6BC5" w14:textId="77777777" w:rsidR="001A302C" w:rsidRPr="00A95BE0" w:rsidRDefault="002834C7" w:rsidP="00A95BE0">
            <w:pPr>
              <w:widowControl w:val="0"/>
              <w:jc w:val="left"/>
              <w:rPr>
                <w:rFonts w:ascii="Arial" w:hAnsi="Arial" w:cs="Arial"/>
                <w:color w:val="000000" w:themeColor="text1"/>
                <w:sz w:val="22"/>
                <w:szCs w:val="22"/>
              </w:rPr>
            </w:pPr>
            <w:r w:rsidRPr="00A95BE0">
              <w:rPr>
                <w:rFonts w:ascii="Arial" w:hAnsi="Arial" w:cs="Arial"/>
                <w:color w:val="000000" w:themeColor="text1"/>
                <w:sz w:val="22"/>
                <w:szCs w:val="22"/>
              </w:rPr>
              <w:lastRenderedPageBreak/>
              <w:t xml:space="preserve">Sponsorships </w:t>
            </w:r>
          </w:p>
        </w:tc>
        <w:tc>
          <w:tcPr>
            <w:tcW w:w="4680" w:type="dxa"/>
            <w:shd w:val="clear" w:color="auto" w:fill="auto"/>
            <w:tcMar>
              <w:top w:w="100" w:type="dxa"/>
              <w:left w:w="100" w:type="dxa"/>
              <w:bottom w:w="100" w:type="dxa"/>
              <w:right w:w="100" w:type="dxa"/>
            </w:tcMar>
          </w:tcPr>
          <w:p w14:paraId="459243E0" w14:textId="77777777" w:rsidR="001A302C" w:rsidRPr="00A95BE0" w:rsidRDefault="002834C7" w:rsidP="00A95BE0">
            <w:pPr>
              <w:rPr>
                <w:rFonts w:ascii="Arial" w:hAnsi="Arial" w:cs="Arial"/>
                <w:color w:val="000000" w:themeColor="text1"/>
                <w:sz w:val="22"/>
                <w:szCs w:val="22"/>
              </w:rPr>
            </w:pPr>
            <w:r w:rsidRPr="00A95BE0">
              <w:rPr>
                <w:rFonts w:ascii="Arial" w:hAnsi="Arial" w:cs="Arial"/>
                <w:color w:val="000000" w:themeColor="text1"/>
                <w:sz w:val="22"/>
                <w:szCs w:val="22"/>
              </w:rPr>
              <w:t>£80,000</w:t>
            </w:r>
          </w:p>
        </w:tc>
      </w:tr>
      <w:tr w:rsidR="001A302C" w:rsidRPr="00A95BE0" w14:paraId="68B2839D" w14:textId="77777777">
        <w:tc>
          <w:tcPr>
            <w:tcW w:w="4680" w:type="dxa"/>
            <w:shd w:val="clear" w:color="auto" w:fill="auto"/>
            <w:tcMar>
              <w:top w:w="100" w:type="dxa"/>
              <w:left w:w="100" w:type="dxa"/>
              <w:bottom w:w="100" w:type="dxa"/>
              <w:right w:w="100" w:type="dxa"/>
            </w:tcMar>
          </w:tcPr>
          <w:p w14:paraId="7766868C" w14:textId="77777777" w:rsidR="001A302C" w:rsidRPr="00A95BE0" w:rsidRDefault="002834C7" w:rsidP="00A95BE0">
            <w:pPr>
              <w:rPr>
                <w:rFonts w:ascii="Arial" w:hAnsi="Arial" w:cs="Arial"/>
                <w:color w:val="000000" w:themeColor="text1"/>
                <w:sz w:val="22"/>
                <w:szCs w:val="22"/>
              </w:rPr>
            </w:pPr>
            <w:r w:rsidRPr="00A95BE0">
              <w:rPr>
                <w:rFonts w:ascii="Arial" w:hAnsi="Arial" w:cs="Arial"/>
                <w:color w:val="000000" w:themeColor="text1"/>
                <w:sz w:val="22"/>
                <w:szCs w:val="22"/>
              </w:rPr>
              <w:t xml:space="preserve"> Merchandise sales</w:t>
            </w:r>
          </w:p>
        </w:tc>
        <w:tc>
          <w:tcPr>
            <w:tcW w:w="4680" w:type="dxa"/>
            <w:shd w:val="clear" w:color="auto" w:fill="auto"/>
            <w:tcMar>
              <w:top w:w="100" w:type="dxa"/>
              <w:left w:w="100" w:type="dxa"/>
              <w:bottom w:w="100" w:type="dxa"/>
              <w:right w:w="100" w:type="dxa"/>
            </w:tcMar>
          </w:tcPr>
          <w:p w14:paraId="3344926F" w14:textId="77777777" w:rsidR="001A302C" w:rsidRPr="00A95BE0" w:rsidRDefault="002834C7" w:rsidP="00A95BE0">
            <w:pPr>
              <w:rPr>
                <w:rFonts w:ascii="Arial" w:hAnsi="Arial" w:cs="Arial"/>
                <w:color w:val="000000" w:themeColor="text1"/>
                <w:sz w:val="22"/>
                <w:szCs w:val="22"/>
              </w:rPr>
            </w:pPr>
            <w:r w:rsidRPr="00A95BE0">
              <w:rPr>
                <w:rFonts w:ascii="Arial" w:hAnsi="Arial" w:cs="Arial"/>
                <w:color w:val="000000" w:themeColor="text1"/>
                <w:sz w:val="22"/>
                <w:szCs w:val="22"/>
              </w:rPr>
              <w:t>£30,000</w:t>
            </w:r>
          </w:p>
        </w:tc>
      </w:tr>
      <w:tr w:rsidR="001A302C" w:rsidRPr="00A95BE0" w14:paraId="76F60386" w14:textId="77777777">
        <w:tc>
          <w:tcPr>
            <w:tcW w:w="4680" w:type="dxa"/>
            <w:shd w:val="clear" w:color="auto" w:fill="auto"/>
            <w:tcMar>
              <w:top w:w="100" w:type="dxa"/>
              <w:left w:w="100" w:type="dxa"/>
              <w:bottom w:w="100" w:type="dxa"/>
              <w:right w:w="100" w:type="dxa"/>
            </w:tcMar>
          </w:tcPr>
          <w:p w14:paraId="23700F54" w14:textId="77777777" w:rsidR="001A302C" w:rsidRPr="00A95BE0" w:rsidRDefault="002834C7" w:rsidP="00A95BE0">
            <w:pPr>
              <w:widowControl w:val="0"/>
              <w:jc w:val="left"/>
              <w:rPr>
                <w:rFonts w:ascii="Arial" w:hAnsi="Arial" w:cs="Arial"/>
                <w:color w:val="000000" w:themeColor="text1"/>
                <w:sz w:val="22"/>
                <w:szCs w:val="22"/>
              </w:rPr>
            </w:pPr>
            <w:r w:rsidRPr="00A95BE0">
              <w:rPr>
                <w:rFonts w:ascii="Arial" w:hAnsi="Arial" w:cs="Arial"/>
                <w:color w:val="000000" w:themeColor="text1"/>
                <w:sz w:val="22"/>
                <w:szCs w:val="22"/>
              </w:rPr>
              <w:t xml:space="preserve">Total </w:t>
            </w:r>
          </w:p>
        </w:tc>
        <w:tc>
          <w:tcPr>
            <w:tcW w:w="4680" w:type="dxa"/>
            <w:shd w:val="clear" w:color="auto" w:fill="auto"/>
            <w:tcMar>
              <w:top w:w="100" w:type="dxa"/>
              <w:left w:w="100" w:type="dxa"/>
              <w:bottom w:w="100" w:type="dxa"/>
              <w:right w:w="100" w:type="dxa"/>
            </w:tcMar>
          </w:tcPr>
          <w:p w14:paraId="1D08D592" w14:textId="77777777" w:rsidR="001A302C" w:rsidRPr="00A95BE0" w:rsidRDefault="002834C7" w:rsidP="00A95BE0">
            <w:pPr>
              <w:rPr>
                <w:rFonts w:ascii="Arial" w:hAnsi="Arial" w:cs="Arial"/>
                <w:color w:val="000000" w:themeColor="text1"/>
                <w:sz w:val="22"/>
                <w:szCs w:val="22"/>
              </w:rPr>
            </w:pPr>
            <w:r w:rsidRPr="00A95BE0">
              <w:rPr>
                <w:rFonts w:ascii="Arial" w:hAnsi="Arial" w:cs="Arial"/>
                <w:color w:val="000000" w:themeColor="text1"/>
                <w:sz w:val="22"/>
                <w:szCs w:val="22"/>
              </w:rPr>
              <w:t>£170,000</w:t>
            </w:r>
          </w:p>
        </w:tc>
      </w:tr>
    </w:tbl>
    <w:p w14:paraId="56F22271" w14:textId="77777777" w:rsidR="001A302C" w:rsidRPr="00A95BE0" w:rsidRDefault="001A302C" w:rsidP="00A95BE0">
      <w:pPr>
        <w:rPr>
          <w:rFonts w:ascii="Arial" w:hAnsi="Arial" w:cs="Arial"/>
          <w:color w:val="000000" w:themeColor="text1"/>
          <w:sz w:val="22"/>
          <w:szCs w:val="22"/>
        </w:rPr>
      </w:pPr>
    </w:p>
    <w:p w14:paraId="22201F25" w14:textId="77777777" w:rsidR="001A302C" w:rsidRPr="00A95BE0" w:rsidRDefault="002834C7" w:rsidP="00A95BE0">
      <w:pPr>
        <w:jc w:val="center"/>
        <w:rPr>
          <w:rFonts w:ascii="Arial" w:hAnsi="Arial" w:cs="Arial"/>
          <w:b/>
          <w:color w:val="000000" w:themeColor="text1"/>
          <w:sz w:val="22"/>
          <w:szCs w:val="22"/>
        </w:rPr>
      </w:pPr>
      <w:r w:rsidRPr="00A95BE0">
        <w:rPr>
          <w:rFonts w:ascii="Arial" w:hAnsi="Arial" w:cs="Arial"/>
          <w:b/>
          <w:color w:val="000000" w:themeColor="text1"/>
          <w:sz w:val="22"/>
          <w:szCs w:val="22"/>
        </w:rPr>
        <w:t xml:space="preserve">Table 2: Proposed income table </w:t>
      </w:r>
    </w:p>
    <w:p w14:paraId="45579CF7" w14:textId="77777777" w:rsidR="001A302C" w:rsidRPr="00A95BE0" w:rsidRDefault="002834C7" w:rsidP="00A95BE0">
      <w:pPr>
        <w:jc w:val="center"/>
        <w:rPr>
          <w:rFonts w:ascii="Arial" w:hAnsi="Arial" w:cs="Arial"/>
          <w:color w:val="000000" w:themeColor="text1"/>
          <w:sz w:val="22"/>
          <w:szCs w:val="22"/>
        </w:rPr>
      </w:pPr>
      <w:r w:rsidRPr="00A95BE0">
        <w:rPr>
          <w:rFonts w:ascii="Arial" w:hAnsi="Arial" w:cs="Arial"/>
          <w:color w:val="000000" w:themeColor="text1"/>
          <w:sz w:val="22"/>
          <w:szCs w:val="22"/>
        </w:rPr>
        <w:t>(Source: Self-developed)</w:t>
      </w:r>
    </w:p>
    <w:p w14:paraId="52F6E6A7" w14:textId="77777777" w:rsidR="003B23B4" w:rsidRPr="00A95BE0" w:rsidRDefault="002834C7" w:rsidP="00A95BE0">
      <w:pPr>
        <w:pStyle w:val="Heading1"/>
        <w:rPr>
          <w:rFonts w:ascii="Arial" w:hAnsi="Arial" w:cs="Arial"/>
          <w:color w:val="000000" w:themeColor="text1"/>
          <w:sz w:val="22"/>
          <w:szCs w:val="22"/>
        </w:rPr>
      </w:pPr>
      <w:bookmarkStart w:id="11" w:name="_ql5hg3zgaa9j" w:colFirst="0" w:colLast="0"/>
      <w:bookmarkStart w:id="12" w:name="_Toc179305539"/>
      <w:bookmarkEnd w:id="11"/>
      <w:r w:rsidRPr="00A95BE0">
        <w:rPr>
          <w:rFonts w:ascii="Arial" w:hAnsi="Arial" w:cs="Arial"/>
          <w:color w:val="000000" w:themeColor="text1"/>
          <w:sz w:val="22"/>
          <w:szCs w:val="22"/>
        </w:rPr>
        <w:t>Conclusion</w:t>
      </w:r>
      <w:bookmarkEnd w:id="12"/>
      <w:r w:rsidRPr="00A95BE0">
        <w:rPr>
          <w:rFonts w:ascii="Arial" w:hAnsi="Arial" w:cs="Arial"/>
          <w:color w:val="000000" w:themeColor="text1"/>
          <w:sz w:val="22"/>
          <w:szCs w:val="22"/>
        </w:rPr>
        <w:t xml:space="preserve"> </w:t>
      </w:r>
    </w:p>
    <w:p w14:paraId="4D2D975B" w14:textId="6E411CB3" w:rsidR="001A302C" w:rsidRPr="00A95BE0" w:rsidRDefault="002834C7" w:rsidP="00A95BE0">
      <w:pPr>
        <w:rPr>
          <w:rFonts w:ascii="Arial" w:hAnsi="Arial" w:cs="Arial"/>
          <w:color w:val="000000" w:themeColor="text1"/>
          <w:sz w:val="22"/>
          <w:szCs w:val="22"/>
        </w:rPr>
      </w:pPr>
      <w:r w:rsidRPr="00A95BE0">
        <w:rPr>
          <w:rFonts w:ascii="Arial" w:hAnsi="Arial" w:cs="Arial"/>
          <w:noProof/>
          <w:color w:val="000000" w:themeColor="text1"/>
          <w:sz w:val="22"/>
          <w:szCs w:val="22"/>
          <w:lang w:val="en-IN"/>
        </w:rPr>
        <w:drawing>
          <wp:inline distT="114300" distB="114300" distL="114300" distR="114300" wp14:anchorId="52F75B70" wp14:editId="767BC8D4">
            <wp:extent cx="5943600" cy="3340100"/>
            <wp:effectExtent l="0" t="0" r="0" b="0"/>
            <wp:docPr id="7"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8"/>
                    <a:srcRect/>
                    <a:stretch>
                      <a:fillRect/>
                    </a:stretch>
                  </pic:blipFill>
                  <pic:spPr>
                    <a:xfrm>
                      <a:off x="0" y="0"/>
                      <a:ext cx="5943600" cy="3340100"/>
                    </a:xfrm>
                    <a:prstGeom prst="rect">
                      <a:avLst/>
                    </a:prstGeom>
                    <a:ln/>
                  </pic:spPr>
                </pic:pic>
              </a:graphicData>
            </a:graphic>
          </wp:inline>
        </w:drawing>
      </w:r>
    </w:p>
    <w:p w14:paraId="4DB07663" w14:textId="7E16D991" w:rsidR="001A302C" w:rsidRPr="00A95BE0" w:rsidRDefault="002834C7" w:rsidP="00A95BE0">
      <w:pPr>
        <w:rPr>
          <w:rFonts w:ascii="Arial" w:hAnsi="Arial" w:cs="Arial"/>
          <w:color w:val="000000" w:themeColor="text1"/>
          <w:sz w:val="22"/>
          <w:szCs w:val="22"/>
        </w:rPr>
      </w:pPr>
      <w:r w:rsidRPr="00A95BE0">
        <w:rPr>
          <w:rFonts w:ascii="Arial" w:hAnsi="Arial" w:cs="Arial"/>
          <w:color w:val="000000" w:themeColor="text1"/>
          <w:sz w:val="22"/>
          <w:szCs w:val="22"/>
        </w:rPr>
        <w:t xml:space="preserve">In the concluding note, the study has provided knowledge on event planning and management. The Christmas Art &amp; Music Event will be held from 24th December 2024 to 1st January 2025 at Royal Park. The targeted customers for the event are families and tourists. An analysis of the key marketing, operations and financial factors has been done. The planning for the event management has the feasibility to provide the profits and the betterment of the MICE industry. </w:t>
      </w:r>
      <w:bookmarkStart w:id="13" w:name="_gwv8hvo7djr9" w:colFirst="0" w:colLast="0"/>
      <w:bookmarkEnd w:id="13"/>
      <w:r w:rsidRPr="00A95BE0">
        <w:rPr>
          <w:rFonts w:ascii="Arial" w:hAnsi="Arial" w:cs="Arial"/>
          <w:color w:val="000000" w:themeColor="text1"/>
          <w:sz w:val="22"/>
          <w:szCs w:val="22"/>
        </w:rPr>
        <w:br w:type="page"/>
      </w:r>
    </w:p>
    <w:p w14:paraId="05BAA0C4" w14:textId="77777777" w:rsidR="001A302C" w:rsidRPr="00A95BE0" w:rsidRDefault="002834C7" w:rsidP="00A95BE0">
      <w:pPr>
        <w:pStyle w:val="Heading1"/>
        <w:rPr>
          <w:rFonts w:ascii="Arial" w:hAnsi="Arial" w:cs="Arial"/>
          <w:color w:val="000000" w:themeColor="text1"/>
          <w:sz w:val="22"/>
          <w:szCs w:val="22"/>
        </w:rPr>
      </w:pPr>
      <w:bookmarkStart w:id="14" w:name="_8klewa6okyqi" w:colFirst="0" w:colLast="0"/>
      <w:bookmarkStart w:id="15" w:name="_Toc179305540"/>
      <w:bookmarkEnd w:id="14"/>
      <w:r w:rsidRPr="00A95BE0">
        <w:rPr>
          <w:rFonts w:ascii="Arial" w:hAnsi="Arial" w:cs="Arial"/>
          <w:color w:val="000000" w:themeColor="text1"/>
          <w:sz w:val="22"/>
          <w:szCs w:val="22"/>
        </w:rPr>
        <w:lastRenderedPageBreak/>
        <w:t>References</w:t>
      </w:r>
      <w:bookmarkEnd w:id="15"/>
      <w:r w:rsidRPr="00A95BE0">
        <w:rPr>
          <w:rFonts w:ascii="Arial" w:hAnsi="Arial" w:cs="Arial"/>
          <w:color w:val="000000" w:themeColor="text1"/>
          <w:sz w:val="22"/>
          <w:szCs w:val="22"/>
        </w:rPr>
        <w:t xml:space="preserve"> </w:t>
      </w:r>
    </w:p>
    <w:p w14:paraId="7A22306E" w14:textId="77777777" w:rsidR="008308BA" w:rsidRPr="00A95BE0" w:rsidRDefault="008308BA" w:rsidP="00A95BE0">
      <w:pPr>
        <w:spacing w:before="200"/>
        <w:rPr>
          <w:rFonts w:ascii="Arial" w:hAnsi="Arial" w:cs="Arial"/>
          <w:color w:val="000000" w:themeColor="text1"/>
          <w:sz w:val="22"/>
          <w:szCs w:val="22"/>
          <w:highlight w:val="white"/>
        </w:rPr>
      </w:pPr>
      <w:r w:rsidRPr="00A95BE0">
        <w:rPr>
          <w:rFonts w:ascii="Arial" w:hAnsi="Arial" w:cs="Arial"/>
          <w:color w:val="000000" w:themeColor="text1"/>
          <w:sz w:val="22"/>
          <w:szCs w:val="22"/>
          <w:highlight w:val="white"/>
        </w:rPr>
        <w:t xml:space="preserve">Aaker, D.A. and Moorman, C., 2023. </w:t>
      </w:r>
      <w:r w:rsidRPr="00A95BE0">
        <w:rPr>
          <w:rFonts w:ascii="Arial" w:hAnsi="Arial" w:cs="Arial"/>
          <w:i/>
          <w:color w:val="000000" w:themeColor="text1"/>
          <w:sz w:val="22"/>
          <w:szCs w:val="22"/>
          <w:highlight w:val="white"/>
        </w:rPr>
        <w:t>Strategic market management</w:t>
      </w:r>
      <w:r w:rsidRPr="00A95BE0">
        <w:rPr>
          <w:rFonts w:ascii="Arial" w:hAnsi="Arial" w:cs="Arial"/>
          <w:color w:val="000000" w:themeColor="text1"/>
          <w:sz w:val="22"/>
          <w:szCs w:val="22"/>
          <w:highlight w:val="white"/>
        </w:rPr>
        <w:t>. John Wiley &amp; Sons.</w:t>
      </w:r>
    </w:p>
    <w:p w14:paraId="0CA8F2D6" w14:textId="77777777" w:rsidR="008308BA" w:rsidRPr="00A95BE0" w:rsidRDefault="008308BA" w:rsidP="00A95BE0">
      <w:pPr>
        <w:widowControl w:val="0"/>
        <w:spacing w:before="200"/>
        <w:ind w:right="207"/>
        <w:rPr>
          <w:rFonts w:ascii="Arial" w:hAnsi="Arial" w:cs="Arial"/>
          <w:color w:val="000000" w:themeColor="text1"/>
          <w:sz w:val="22"/>
          <w:szCs w:val="22"/>
          <w:highlight w:val="white"/>
        </w:rPr>
      </w:pPr>
      <w:r w:rsidRPr="00A95BE0">
        <w:rPr>
          <w:rFonts w:ascii="Arial" w:hAnsi="Arial" w:cs="Arial"/>
          <w:color w:val="000000" w:themeColor="text1"/>
          <w:sz w:val="22"/>
          <w:szCs w:val="22"/>
          <w:highlight w:val="white"/>
        </w:rPr>
        <w:t xml:space="preserve">Allen, J., Harris, R. and Jago, L., 2022. </w:t>
      </w:r>
      <w:r w:rsidRPr="00A95BE0">
        <w:rPr>
          <w:rFonts w:ascii="Arial" w:hAnsi="Arial" w:cs="Arial"/>
          <w:i/>
          <w:color w:val="000000" w:themeColor="text1"/>
          <w:sz w:val="22"/>
          <w:szCs w:val="22"/>
          <w:highlight w:val="white"/>
        </w:rPr>
        <w:t>Festival &amp; special event management</w:t>
      </w:r>
      <w:r w:rsidRPr="00A95BE0">
        <w:rPr>
          <w:rFonts w:ascii="Arial" w:hAnsi="Arial" w:cs="Arial"/>
          <w:color w:val="000000" w:themeColor="text1"/>
          <w:sz w:val="22"/>
          <w:szCs w:val="22"/>
          <w:highlight w:val="white"/>
        </w:rPr>
        <w:t>. John Wiley &amp; Sons.</w:t>
      </w:r>
    </w:p>
    <w:p w14:paraId="4878B8F5" w14:textId="77777777" w:rsidR="008308BA" w:rsidRPr="00A95BE0" w:rsidRDefault="008308BA" w:rsidP="00A95BE0">
      <w:pPr>
        <w:spacing w:before="200"/>
        <w:rPr>
          <w:rFonts w:ascii="Arial" w:hAnsi="Arial" w:cs="Arial"/>
          <w:color w:val="000000" w:themeColor="text1"/>
          <w:sz w:val="22"/>
          <w:szCs w:val="22"/>
          <w:highlight w:val="white"/>
        </w:rPr>
      </w:pPr>
      <w:r w:rsidRPr="00A95BE0">
        <w:rPr>
          <w:rFonts w:ascii="Arial" w:hAnsi="Arial" w:cs="Arial"/>
          <w:color w:val="000000" w:themeColor="text1"/>
          <w:sz w:val="22"/>
          <w:szCs w:val="22"/>
          <w:highlight w:val="white"/>
        </w:rPr>
        <w:t xml:space="preserve">Anas, M.S., Maddiah, N.A., Noor Eizamly, N.U.E., Sulaiman, N.A. and Wee, H., 2020. Key success factors toward MICE industry: A systematic literature review. </w:t>
      </w:r>
      <w:r w:rsidRPr="00A95BE0">
        <w:rPr>
          <w:rFonts w:ascii="Arial" w:hAnsi="Arial" w:cs="Arial"/>
          <w:i/>
          <w:color w:val="000000" w:themeColor="text1"/>
          <w:sz w:val="22"/>
          <w:szCs w:val="22"/>
          <w:highlight w:val="white"/>
        </w:rPr>
        <w:t>Journal of Tourism, Hospitality &amp; Culinary Arts (JTHCA)</w:t>
      </w:r>
      <w:r w:rsidRPr="00A95BE0">
        <w:rPr>
          <w:rFonts w:ascii="Arial" w:hAnsi="Arial" w:cs="Arial"/>
          <w:color w:val="000000" w:themeColor="text1"/>
          <w:sz w:val="22"/>
          <w:szCs w:val="22"/>
          <w:highlight w:val="white"/>
        </w:rPr>
        <w:t xml:space="preserve">, </w:t>
      </w:r>
      <w:r w:rsidRPr="00A95BE0">
        <w:rPr>
          <w:rFonts w:ascii="Arial" w:hAnsi="Arial" w:cs="Arial"/>
          <w:i/>
          <w:color w:val="000000" w:themeColor="text1"/>
          <w:sz w:val="22"/>
          <w:szCs w:val="22"/>
          <w:highlight w:val="white"/>
        </w:rPr>
        <w:t>12</w:t>
      </w:r>
      <w:r w:rsidRPr="00A95BE0">
        <w:rPr>
          <w:rFonts w:ascii="Arial" w:hAnsi="Arial" w:cs="Arial"/>
          <w:color w:val="000000" w:themeColor="text1"/>
          <w:sz w:val="22"/>
          <w:szCs w:val="22"/>
          <w:highlight w:val="white"/>
        </w:rPr>
        <w:t>(1), pp.1-34.</w:t>
      </w:r>
    </w:p>
    <w:p w14:paraId="5A5C7834" w14:textId="32146FA8" w:rsidR="008308BA" w:rsidRPr="00A95BE0" w:rsidRDefault="008308BA" w:rsidP="00A95BE0">
      <w:pPr>
        <w:spacing w:before="200"/>
        <w:rPr>
          <w:rFonts w:ascii="Arial" w:hAnsi="Arial" w:cs="Arial"/>
          <w:color w:val="000000" w:themeColor="text1"/>
          <w:sz w:val="22"/>
          <w:szCs w:val="22"/>
          <w:highlight w:val="white"/>
        </w:rPr>
      </w:pPr>
      <w:r w:rsidRPr="00A95BE0">
        <w:rPr>
          <w:rFonts w:ascii="Arial" w:hAnsi="Arial" w:cs="Arial"/>
          <w:color w:val="000000" w:themeColor="text1"/>
          <w:sz w:val="22"/>
          <w:szCs w:val="22"/>
          <w:shd w:val="clear" w:color="auto" w:fill="FFFFFF"/>
        </w:rPr>
        <w:t>Berridge, G., 2020. Designing event experiences. In </w:t>
      </w:r>
      <w:r w:rsidRPr="00A95BE0">
        <w:rPr>
          <w:rFonts w:ascii="Arial" w:hAnsi="Arial" w:cs="Arial"/>
          <w:i/>
          <w:iCs/>
          <w:color w:val="000000" w:themeColor="text1"/>
          <w:sz w:val="22"/>
          <w:szCs w:val="22"/>
          <w:shd w:val="clear" w:color="auto" w:fill="FFFFFF"/>
        </w:rPr>
        <w:t xml:space="preserve">The Routledge </w:t>
      </w:r>
      <w:r w:rsidR="00A95BE0">
        <w:rPr>
          <w:rFonts w:ascii="Arial" w:hAnsi="Arial" w:cs="Arial"/>
          <w:i/>
          <w:iCs/>
          <w:color w:val="000000" w:themeColor="text1"/>
          <w:sz w:val="22"/>
          <w:szCs w:val="22"/>
          <w:shd w:val="clear" w:color="auto" w:fill="FFFFFF"/>
        </w:rPr>
        <w:t>H</w:t>
      </w:r>
      <w:r w:rsidRPr="00A95BE0">
        <w:rPr>
          <w:rFonts w:ascii="Arial" w:hAnsi="Arial" w:cs="Arial"/>
          <w:i/>
          <w:iCs/>
          <w:color w:val="000000" w:themeColor="text1"/>
          <w:sz w:val="22"/>
          <w:szCs w:val="22"/>
          <w:shd w:val="clear" w:color="auto" w:fill="FFFFFF"/>
        </w:rPr>
        <w:t xml:space="preserve">andbook of </w:t>
      </w:r>
      <w:r w:rsidR="00A95BE0">
        <w:rPr>
          <w:rFonts w:ascii="Arial" w:hAnsi="Arial" w:cs="Arial"/>
          <w:i/>
          <w:iCs/>
          <w:color w:val="000000" w:themeColor="text1"/>
          <w:sz w:val="22"/>
          <w:szCs w:val="22"/>
          <w:shd w:val="clear" w:color="auto" w:fill="FFFFFF"/>
        </w:rPr>
        <w:t>E</w:t>
      </w:r>
      <w:r w:rsidRPr="00A95BE0">
        <w:rPr>
          <w:rFonts w:ascii="Arial" w:hAnsi="Arial" w:cs="Arial"/>
          <w:i/>
          <w:iCs/>
          <w:color w:val="000000" w:themeColor="text1"/>
          <w:sz w:val="22"/>
          <w:szCs w:val="22"/>
          <w:shd w:val="clear" w:color="auto" w:fill="FFFFFF"/>
        </w:rPr>
        <w:t>vents</w:t>
      </w:r>
      <w:r w:rsidRPr="00A95BE0">
        <w:rPr>
          <w:rFonts w:ascii="Arial" w:hAnsi="Arial" w:cs="Arial"/>
          <w:color w:val="000000" w:themeColor="text1"/>
          <w:sz w:val="22"/>
          <w:szCs w:val="22"/>
          <w:shd w:val="clear" w:color="auto" w:fill="FFFFFF"/>
        </w:rPr>
        <w:t> (pp. 378-395). Routledge.</w:t>
      </w:r>
    </w:p>
    <w:p w14:paraId="287C3DA1" w14:textId="77777777" w:rsidR="008308BA" w:rsidRPr="00A95BE0" w:rsidRDefault="008308BA" w:rsidP="00A95BE0">
      <w:pPr>
        <w:spacing w:before="200"/>
        <w:rPr>
          <w:rFonts w:ascii="Arial" w:hAnsi="Arial" w:cs="Arial"/>
          <w:color w:val="000000" w:themeColor="text1"/>
          <w:sz w:val="22"/>
          <w:szCs w:val="22"/>
          <w:highlight w:val="white"/>
        </w:rPr>
      </w:pPr>
      <w:r w:rsidRPr="00A95BE0">
        <w:rPr>
          <w:rFonts w:ascii="Arial" w:hAnsi="Arial" w:cs="Arial"/>
          <w:color w:val="000000" w:themeColor="text1"/>
          <w:sz w:val="22"/>
          <w:szCs w:val="22"/>
          <w:highlight w:val="white"/>
        </w:rPr>
        <w:t xml:space="preserve">Bladen, C., Kennell, J., Abson, E. and Wilde, N., 2022. </w:t>
      </w:r>
      <w:r w:rsidRPr="00A95BE0">
        <w:rPr>
          <w:rFonts w:ascii="Arial" w:hAnsi="Arial" w:cs="Arial"/>
          <w:i/>
          <w:color w:val="000000" w:themeColor="text1"/>
          <w:sz w:val="22"/>
          <w:szCs w:val="22"/>
          <w:highlight w:val="white"/>
        </w:rPr>
        <w:t>Events management: An introduction</w:t>
      </w:r>
      <w:r w:rsidRPr="00A95BE0">
        <w:rPr>
          <w:rFonts w:ascii="Arial" w:hAnsi="Arial" w:cs="Arial"/>
          <w:color w:val="000000" w:themeColor="text1"/>
          <w:sz w:val="22"/>
          <w:szCs w:val="22"/>
          <w:highlight w:val="white"/>
        </w:rPr>
        <w:t>. Routledge.</w:t>
      </w:r>
    </w:p>
    <w:p w14:paraId="4155220E" w14:textId="77777777" w:rsidR="008308BA" w:rsidRPr="00A95BE0" w:rsidRDefault="008308BA" w:rsidP="00A95BE0">
      <w:pPr>
        <w:spacing w:before="200"/>
        <w:rPr>
          <w:rFonts w:ascii="Arial" w:hAnsi="Arial" w:cs="Arial"/>
          <w:color w:val="000000" w:themeColor="text1"/>
          <w:sz w:val="22"/>
          <w:szCs w:val="22"/>
          <w:highlight w:val="white"/>
        </w:rPr>
      </w:pPr>
      <w:r w:rsidRPr="00A95BE0">
        <w:rPr>
          <w:rFonts w:ascii="Arial" w:hAnsi="Arial" w:cs="Arial"/>
          <w:color w:val="000000" w:themeColor="text1"/>
          <w:sz w:val="22"/>
          <w:szCs w:val="22"/>
          <w:highlight w:val="white"/>
        </w:rPr>
        <w:t xml:space="preserve">Byrnes, W.J., 2022. </w:t>
      </w:r>
      <w:r w:rsidRPr="00A95BE0">
        <w:rPr>
          <w:rFonts w:ascii="Arial" w:hAnsi="Arial" w:cs="Arial"/>
          <w:i/>
          <w:color w:val="000000" w:themeColor="text1"/>
          <w:sz w:val="22"/>
          <w:szCs w:val="22"/>
          <w:highlight w:val="white"/>
        </w:rPr>
        <w:t>Management and the Arts</w:t>
      </w:r>
      <w:r w:rsidRPr="00A95BE0">
        <w:rPr>
          <w:rFonts w:ascii="Arial" w:hAnsi="Arial" w:cs="Arial"/>
          <w:color w:val="000000" w:themeColor="text1"/>
          <w:sz w:val="22"/>
          <w:szCs w:val="22"/>
          <w:highlight w:val="white"/>
        </w:rPr>
        <w:t>. Routledge.</w:t>
      </w:r>
    </w:p>
    <w:p w14:paraId="7A084162" w14:textId="1D63B9A6" w:rsidR="008308BA" w:rsidRPr="00A95BE0" w:rsidRDefault="008308BA" w:rsidP="00A95BE0">
      <w:pPr>
        <w:spacing w:before="200"/>
        <w:rPr>
          <w:rFonts w:ascii="Arial" w:hAnsi="Arial" w:cs="Arial"/>
          <w:color w:val="000000" w:themeColor="text1"/>
          <w:sz w:val="22"/>
          <w:szCs w:val="22"/>
          <w:highlight w:val="white"/>
        </w:rPr>
      </w:pPr>
      <w:r w:rsidRPr="00A95BE0">
        <w:rPr>
          <w:rFonts w:ascii="Arial" w:hAnsi="Arial" w:cs="Arial"/>
          <w:color w:val="000000" w:themeColor="text1"/>
          <w:sz w:val="22"/>
          <w:szCs w:val="22"/>
          <w:highlight w:val="white"/>
        </w:rPr>
        <w:t xml:space="preserve">Chandra, S., Bhalla, R. and Agarwal, S., 2022. Business events and hospitality. In </w:t>
      </w:r>
      <w:r w:rsidRPr="00A95BE0">
        <w:rPr>
          <w:rFonts w:ascii="Arial" w:hAnsi="Arial" w:cs="Arial"/>
          <w:i/>
          <w:color w:val="000000" w:themeColor="text1"/>
          <w:sz w:val="22"/>
          <w:szCs w:val="22"/>
          <w:highlight w:val="white"/>
        </w:rPr>
        <w:t xml:space="preserve">The Routledge </w:t>
      </w:r>
      <w:r w:rsidR="00A95BE0">
        <w:rPr>
          <w:rFonts w:ascii="Arial" w:hAnsi="Arial" w:cs="Arial"/>
          <w:i/>
          <w:color w:val="000000" w:themeColor="text1"/>
          <w:sz w:val="22"/>
          <w:szCs w:val="22"/>
          <w:highlight w:val="white"/>
        </w:rPr>
        <w:t>H</w:t>
      </w:r>
      <w:r w:rsidRPr="00A95BE0">
        <w:rPr>
          <w:rFonts w:ascii="Arial" w:hAnsi="Arial" w:cs="Arial"/>
          <w:i/>
          <w:color w:val="000000" w:themeColor="text1"/>
          <w:sz w:val="22"/>
          <w:szCs w:val="22"/>
          <w:highlight w:val="white"/>
        </w:rPr>
        <w:t xml:space="preserve">andbook of </w:t>
      </w:r>
      <w:r w:rsidR="00A95BE0">
        <w:rPr>
          <w:rFonts w:ascii="Arial" w:hAnsi="Arial" w:cs="Arial"/>
          <w:i/>
          <w:color w:val="000000" w:themeColor="text1"/>
          <w:sz w:val="22"/>
          <w:szCs w:val="22"/>
          <w:highlight w:val="white"/>
        </w:rPr>
        <w:t>B</w:t>
      </w:r>
      <w:r w:rsidRPr="00A95BE0">
        <w:rPr>
          <w:rFonts w:ascii="Arial" w:hAnsi="Arial" w:cs="Arial"/>
          <w:i/>
          <w:color w:val="000000" w:themeColor="text1"/>
          <w:sz w:val="22"/>
          <w:szCs w:val="22"/>
          <w:highlight w:val="white"/>
        </w:rPr>
        <w:t xml:space="preserve">usiness </w:t>
      </w:r>
      <w:r w:rsidR="00A95BE0">
        <w:rPr>
          <w:rFonts w:ascii="Arial" w:hAnsi="Arial" w:cs="Arial"/>
          <w:i/>
          <w:color w:val="000000" w:themeColor="text1"/>
          <w:sz w:val="22"/>
          <w:szCs w:val="22"/>
          <w:highlight w:val="white"/>
        </w:rPr>
        <w:t>E</w:t>
      </w:r>
      <w:r w:rsidRPr="00A95BE0">
        <w:rPr>
          <w:rFonts w:ascii="Arial" w:hAnsi="Arial" w:cs="Arial"/>
          <w:i/>
          <w:color w:val="000000" w:themeColor="text1"/>
          <w:sz w:val="22"/>
          <w:szCs w:val="22"/>
          <w:highlight w:val="white"/>
        </w:rPr>
        <w:t>vents</w:t>
      </w:r>
      <w:r w:rsidRPr="00A95BE0">
        <w:rPr>
          <w:rFonts w:ascii="Arial" w:hAnsi="Arial" w:cs="Arial"/>
          <w:color w:val="000000" w:themeColor="text1"/>
          <w:sz w:val="22"/>
          <w:szCs w:val="22"/>
          <w:highlight w:val="white"/>
        </w:rPr>
        <w:t xml:space="preserve"> (pp. 263-272). Routledge.</w:t>
      </w:r>
    </w:p>
    <w:p w14:paraId="29C145B0" w14:textId="77777777" w:rsidR="008308BA" w:rsidRPr="00A95BE0" w:rsidRDefault="008308BA" w:rsidP="00A95BE0">
      <w:pPr>
        <w:spacing w:before="200"/>
        <w:rPr>
          <w:rFonts w:ascii="Arial" w:hAnsi="Arial" w:cs="Arial"/>
          <w:color w:val="000000" w:themeColor="text1"/>
          <w:sz w:val="22"/>
          <w:szCs w:val="22"/>
          <w:highlight w:val="white"/>
        </w:rPr>
      </w:pPr>
      <w:r w:rsidRPr="00A95BE0">
        <w:rPr>
          <w:rFonts w:ascii="Arial" w:hAnsi="Arial" w:cs="Arial"/>
          <w:color w:val="000000" w:themeColor="text1"/>
          <w:sz w:val="22"/>
          <w:szCs w:val="22"/>
          <w:highlight w:val="white"/>
        </w:rPr>
        <w:t xml:space="preserve">Du Cros, H. and McKercher, B., 2020. </w:t>
      </w:r>
      <w:r w:rsidRPr="00A95BE0">
        <w:rPr>
          <w:rFonts w:ascii="Arial" w:hAnsi="Arial" w:cs="Arial"/>
          <w:i/>
          <w:color w:val="000000" w:themeColor="text1"/>
          <w:sz w:val="22"/>
          <w:szCs w:val="22"/>
          <w:highlight w:val="white"/>
        </w:rPr>
        <w:t>Cultural tourism</w:t>
      </w:r>
      <w:r w:rsidRPr="00A95BE0">
        <w:rPr>
          <w:rFonts w:ascii="Arial" w:hAnsi="Arial" w:cs="Arial"/>
          <w:color w:val="000000" w:themeColor="text1"/>
          <w:sz w:val="22"/>
          <w:szCs w:val="22"/>
          <w:highlight w:val="white"/>
        </w:rPr>
        <w:t>. Routledge.</w:t>
      </w:r>
    </w:p>
    <w:p w14:paraId="769B38CA" w14:textId="77777777" w:rsidR="008308BA" w:rsidRPr="00A95BE0" w:rsidRDefault="008308BA" w:rsidP="00A95BE0">
      <w:pPr>
        <w:widowControl w:val="0"/>
        <w:spacing w:before="200"/>
        <w:ind w:right="43"/>
        <w:rPr>
          <w:rFonts w:ascii="Arial" w:hAnsi="Arial" w:cs="Arial"/>
          <w:color w:val="000000" w:themeColor="text1"/>
          <w:sz w:val="22"/>
          <w:szCs w:val="22"/>
        </w:rPr>
      </w:pPr>
      <w:r w:rsidRPr="00A95BE0">
        <w:rPr>
          <w:rFonts w:ascii="Arial" w:hAnsi="Arial" w:cs="Arial"/>
          <w:color w:val="000000" w:themeColor="text1"/>
          <w:sz w:val="22"/>
          <w:szCs w:val="22"/>
        </w:rPr>
        <w:t xml:space="preserve">Fox, D. et al. 2014 </w:t>
      </w:r>
      <w:r w:rsidRPr="00A95BE0">
        <w:rPr>
          <w:rFonts w:ascii="Arial" w:hAnsi="Arial" w:cs="Arial"/>
          <w:i/>
          <w:color w:val="000000" w:themeColor="text1"/>
          <w:sz w:val="22"/>
          <w:szCs w:val="22"/>
        </w:rPr>
        <w:t>Doing events research: from theory to practice.</w:t>
      </w:r>
      <w:r w:rsidRPr="00A95BE0">
        <w:rPr>
          <w:rFonts w:ascii="Arial" w:hAnsi="Arial" w:cs="Arial"/>
          <w:color w:val="000000" w:themeColor="text1"/>
          <w:sz w:val="22"/>
          <w:szCs w:val="22"/>
        </w:rPr>
        <w:t xml:space="preserve"> Routledge: Oxford</w:t>
      </w:r>
    </w:p>
    <w:p w14:paraId="3BDEA501" w14:textId="77777777" w:rsidR="008308BA" w:rsidRPr="00A95BE0" w:rsidRDefault="008308BA" w:rsidP="00A95BE0">
      <w:pPr>
        <w:widowControl w:val="0"/>
        <w:spacing w:before="200"/>
        <w:ind w:right="-92"/>
        <w:rPr>
          <w:rFonts w:ascii="Arial" w:hAnsi="Arial" w:cs="Arial"/>
          <w:color w:val="000000" w:themeColor="text1"/>
          <w:sz w:val="22"/>
          <w:szCs w:val="22"/>
        </w:rPr>
      </w:pPr>
      <w:r w:rsidRPr="00A95BE0">
        <w:rPr>
          <w:rFonts w:ascii="Arial" w:hAnsi="Arial" w:cs="Arial"/>
          <w:color w:val="000000" w:themeColor="text1"/>
          <w:sz w:val="22"/>
          <w:szCs w:val="22"/>
        </w:rPr>
        <w:t xml:space="preserve">Getz, D. and Page, S. 2019 </w:t>
      </w:r>
      <w:r w:rsidRPr="00A95BE0">
        <w:rPr>
          <w:rFonts w:ascii="Arial" w:hAnsi="Arial" w:cs="Arial"/>
          <w:i/>
          <w:color w:val="000000" w:themeColor="text1"/>
          <w:sz w:val="22"/>
          <w:szCs w:val="22"/>
        </w:rPr>
        <w:t>Event studies: theory, research and policy for planned events</w:t>
      </w:r>
      <w:r w:rsidRPr="00A95BE0">
        <w:rPr>
          <w:rFonts w:ascii="Arial" w:hAnsi="Arial" w:cs="Arial"/>
          <w:color w:val="000000" w:themeColor="text1"/>
          <w:sz w:val="22"/>
          <w:szCs w:val="22"/>
        </w:rPr>
        <w:t>. 3</w:t>
      </w:r>
      <w:r w:rsidRPr="00A95BE0">
        <w:rPr>
          <w:rFonts w:ascii="Arial" w:hAnsi="Arial" w:cs="Arial"/>
          <w:color w:val="000000" w:themeColor="text1"/>
          <w:sz w:val="22"/>
          <w:szCs w:val="22"/>
          <w:vertAlign w:val="superscript"/>
        </w:rPr>
        <w:t xml:space="preserve">rd </w:t>
      </w:r>
      <w:r w:rsidRPr="00A95BE0">
        <w:rPr>
          <w:rFonts w:ascii="Arial" w:hAnsi="Arial" w:cs="Arial"/>
          <w:color w:val="000000" w:themeColor="text1"/>
          <w:sz w:val="22"/>
          <w:szCs w:val="22"/>
        </w:rPr>
        <w:t>Edition. Routledge: Oxford</w:t>
      </w:r>
    </w:p>
    <w:p w14:paraId="676CE882" w14:textId="47BD98B9" w:rsidR="008308BA" w:rsidRPr="00A95BE0" w:rsidRDefault="008308BA" w:rsidP="00A95BE0">
      <w:pPr>
        <w:spacing w:before="200"/>
        <w:rPr>
          <w:rFonts w:ascii="Arial" w:hAnsi="Arial" w:cs="Arial"/>
          <w:color w:val="000000" w:themeColor="text1"/>
          <w:sz w:val="22"/>
          <w:szCs w:val="22"/>
          <w:highlight w:val="white"/>
        </w:rPr>
      </w:pPr>
      <w:r w:rsidRPr="00A95BE0">
        <w:rPr>
          <w:rFonts w:ascii="Arial" w:hAnsi="Arial" w:cs="Arial"/>
          <w:color w:val="000000" w:themeColor="text1"/>
          <w:sz w:val="22"/>
          <w:szCs w:val="22"/>
          <w:highlight w:val="white"/>
        </w:rPr>
        <w:t xml:space="preserve">Lockstone-Binney, L., Hanlon, C. and Jago, L., 2020. Staffing for successful events: Having the right skills in the right place at the right time. In </w:t>
      </w:r>
      <w:r w:rsidRPr="00A95BE0">
        <w:rPr>
          <w:rFonts w:ascii="Arial" w:hAnsi="Arial" w:cs="Arial"/>
          <w:i/>
          <w:color w:val="000000" w:themeColor="text1"/>
          <w:sz w:val="22"/>
          <w:szCs w:val="22"/>
          <w:highlight w:val="white"/>
        </w:rPr>
        <w:t xml:space="preserve">The Routledge </w:t>
      </w:r>
      <w:r w:rsidR="00A95BE0">
        <w:rPr>
          <w:rFonts w:ascii="Arial" w:hAnsi="Arial" w:cs="Arial"/>
          <w:i/>
          <w:color w:val="000000" w:themeColor="text1"/>
          <w:sz w:val="22"/>
          <w:szCs w:val="22"/>
          <w:highlight w:val="white"/>
        </w:rPr>
        <w:t>H</w:t>
      </w:r>
      <w:r w:rsidRPr="00A95BE0">
        <w:rPr>
          <w:rFonts w:ascii="Arial" w:hAnsi="Arial" w:cs="Arial"/>
          <w:i/>
          <w:color w:val="000000" w:themeColor="text1"/>
          <w:sz w:val="22"/>
          <w:szCs w:val="22"/>
          <w:highlight w:val="white"/>
        </w:rPr>
        <w:t xml:space="preserve">andbook of </w:t>
      </w:r>
      <w:r w:rsidR="00A95BE0">
        <w:rPr>
          <w:rFonts w:ascii="Arial" w:hAnsi="Arial" w:cs="Arial"/>
          <w:i/>
          <w:color w:val="000000" w:themeColor="text1"/>
          <w:sz w:val="22"/>
          <w:szCs w:val="22"/>
          <w:highlight w:val="white"/>
        </w:rPr>
        <w:t>E</w:t>
      </w:r>
      <w:r w:rsidRPr="00A95BE0">
        <w:rPr>
          <w:rFonts w:ascii="Arial" w:hAnsi="Arial" w:cs="Arial"/>
          <w:i/>
          <w:color w:val="000000" w:themeColor="text1"/>
          <w:sz w:val="22"/>
          <w:szCs w:val="22"/>
          <w:highlight w:val="white"/>
        </w:rPr>
        <w:t>vents</w:t>
      </w:r>
      <w:r w:rsidRPr="00A95BE0">
        <w:rPr>
          <w:rFonts w:ascii="Arial" w:hAnsi="Arial" w:cs="Arial"/>
          <w:color w:val="000000" w:themeColor="text1"/>
          <w:sz w:val="22"/>
          <w:szCs w:val="22"/>
          <w:highlight w:val="white"/>
        </w:rPr>
        <w:t xml:space="preserve"> (pp. 427-441). Routledge.</w:t>
      </w:r>
    </w:p>
    <w:p w14:paraId="5820B890" w14:textId="77777777" w:rsidR="008308BA" w:rsidRPr="00A95BE0" w:rsidRDefault="008308BA" w:rsidP="00A95BE0">
      <w:pPr>
        <w:widowControl w:val="0"/>
        <w:spacing w:before="200"/>
        <w:ind w:right="207"/>
        <w:rPr>
          <w:rFonts w:ascii="Arial" w:hAnsi="Arial" w:cs="Arial"/>
          <w:color w:val="000000" w:themeColor="text1"/>
          <w:sz w:val="22"/>
          <w:szCs w:val="22"/>
        </w:rPr>
      </w:pPr>
      <w:r w:rsidRPr="00A95BE0">
        <w:rPr>
          <w:rFonts w:ascii="Arial" w:hAnsi="Arial" w:cs="Arial"/>
          <w:color w:val="000000" w:themeColor="text1"/>
          <w:sz w:val="22"/>
          <w:szCs w:val="22"/>
        </w:rPr>
        <w:t xml:space="preserve">Meredith, J. 2022 </w:t>
      </w:r>
      <w:r w:rsidRPr="00A95BE0">
        <w:rPr>
          <w:rFonts w:ascii="Arial" w:hAnsi="Arial" w:cs="Arial"/>
          <w:i/>
          <w:color w:val="000000" w:themeColor="text1"/>
          <w:sz w:val="22"/>
          <w:szCs w:val="22"/>
        </w:rPr>
        <w:t>Project management</w:t>
      </w:r>
      <w:r w:rsidRPr="00A95BE0">
        <w:rPr>
          <w:rFonts w:ascii="Arial" w:hAnsi="Arial" w:cs="Arial"/>
          <w:color w:val="000000" w:themeColor="text1"/>
          <w:sz w:val="22"/>
          <w:szCs w:val="22"/>
        </w:rPr>
        <w:t>: a managerial approach</w:t>
      </w:r>
    </w:p>
    <w:p w14:paraId="7A555762" w14:textId="77777777" w:rsidR="008308BA" w:rsidRPr="00A95BE0" w:rsidRDefault="008308BA" w:rsidP="00A95BE0">
      <w:pPr>
        <w:widowControl w:val="0"/>
        <w:spacing w:before="200"/>
        <w:ind w:right="173"/>
        <w:rPr>
          <w:rFonts w:ascii="Arial" w:hAnsi="Arial" w:cs="Arial"/>
          <w:color w:val="000000" w:themeColor="text1"/>
          <w:sz w:val="22"/>
          <w:szCs w:val="22"/>
        </w:rPr>
      </w:pPr>
      <w:r w:rsidRPr="00A95BE0">
        <w:rPr>
          <w:rFonts w:ascii="Arial" w:hAnsi="Arial" w:cs="Arial"/>
          <w:color w:val="000000" w:themeColor="text1"/>
          <w:sz w:val="22"/>
          <w:szCs w:val="22"/>
        </w:rPr>
        <w:t xml:space="preserve">O’Toole, W. 2011 </w:t>
      </w:r>
      <w:r w:rsidRPr="00A95BE0">
        <w:rPr>
          <w:rFonts w:ascii="Arial" w:hAnsi="Arial" w:cs="Arial"/>
          <w:i/>
          <w:color w:val="000000" w:themeColor="text1"/>
          <w:sz w:val="22"/>
          <w:szCs w:val="22"/>
        </w:rPr>
        <w:t>Events feasibility and development</w:t>
      </w:r>
      <w:r w:rsidRPr="00A95BE0">
        <w:rPr>
          <w:rFonts w:ascii="Arial" w:hAnsi="Arial" w:cs="Arial"/>
          <w:color w:val="000000" w:themeColor="text1"/>
          <w:sz w:val="22"/>
          <w:szCs w:val="22"/>
        </w:rPr>
        <w:t>: from strategy to operations. Elsevier: Oxford</w:t>
      </w:r>
    </w:p>
    <w:p w14:paraId="37063A19" w14:textId="3F7E7818" w:rsidR="008308BA" w:rsidRPr="00A95BE0" w:rsidRDefault="008308BA" w:rsidP="00A95BE0">
      <w:pPr>
        <w:widowControl w:val="0"/>
        <w:spacing w:before="200"/>
        <w:ind w:right="294"/>
        <w:rPr>
          <w:rFonts w:ascii="Arial" w:hAnsi="Arial" w:cs="Arial"/>
          <w:color w:val="000000" w:themeColor="text1"/>
          <w:sz w:val="22"/>
          <w:szCs w:val="22"/>
          <w:highlight w:val="white"/>
        </w:rPr>
      </w:pPr>
      <w:r w:rsidRPr="00A95BE0">
        <w:rPr>
          <w:rFonts w:ascii="Arial" w:hAnsi="Arial" w:cs="Arial"/>
          <w:color w:val="000000" w:themeColor="text1"/>
          <w:sz w:val="22"/>
          <w:szCs w:val="22"/>
        </w:rPr>
        <w:t>Rogers, T. and Wynn-Moylan, P</w:t>
      </w:r>
      <w:r w:rsidR="00A95BE0">
        <w:rPr>
          <w:rFonts w:ascii="Arial" w:hAnsi="Arial" w:cs="Arial"/>
          <w:color w:val="000000" w:themeColor="text1"/>
          <w:sz w:val="22"/>
          <w:szCs w:val="22"/>
        </w:rPr>
        <w:t>.</w:t>
      </w:r>
      <w:r w:rsidRPr="00A95BE0">
        <w:rPr>
          <w:rFonts w:ascii="Arial" w:hAnsi="Arial" w:cs="Arial"/>
          <w:color w:val="000000" w:themeColor="text1"/>
          <w:sz w:val="22"/>
          <w:szCs w:val="22"/>
        </w:rPr>
        <w:t xml:space="preserve"> 2022 </w:t>
      </w:r>
      <w:r w:rsidRPr="00A95BE0">
        <w:rPr>
          <w:rFonts w:ascii="Arial" w:hAnsi="Arial" w:cs="Arial"/>
          <w:i/>
          <w:color w:val="000000" w:themeColor="text1"/>
          <w:sz w:val="22"/>
          <w:szCs w:val="22"/>
        </w:rPr>
        <w:t>Conferences and conventions</w:t>
      </w:r>
      <w:r w:rsidRPr="00A95BE0">
        <w:rPr>
          <w:rFonts w:ascii="Arial" w:hAnsi="Arial" w:cs="Arial"/>
          <w:color w:val="000000" w:themeColor="text1"/>
          <w:sz w:val="22"/>
          <w:szCs w:val="22"/>
        </w:rPr>
        <w:t>: a global industry. 4</w:t>
      </w:r>
      <w:r w:rsidRPr="00A95BE0">
        <w:rPr>
          <w:rFonts w:ascii="Arial" w:hAnsi="Arial" w:cs="Arial"/>
          <w:color w:val="000000" w:themeColor="text1"/>
          <w:sz w:val="22"/>
          <w:szCs w:val="22"/>
          <w:vertAlign w:val="superscript"/>
        </w:rPr>
        <w:t>th</w:t>
      </w:r>
      <w:r w:rsidRPr="00A95BE0">
        <w:rPr>
          <w:rFonts w:ascii="Arial" w:hAnsi="Arial" w:cs="Arial"/>
          <w:color w:val="000000" w:themeColor="text1"/>
          <w:sz w:val="22"/>
          <w:szCs w:val="22"/>
        </w:rPr>
        <w:t xml:space="preserve"> Edition. Routledge: Oxford</w:t>
      </w:r>
    </w:p>
    <w:p w14:paraId="04EF8F5A" w14:textId="77777777" w:rsidR="008308BA" w:rsidRPr="00A95BE0" w:rsidRDefault="008308BA" w:rsidP="00A95BE0">
      <w:pPr>
        <w:spacing w:before="200"/>
        <w:rPr>
          <w:rFonts w:ascii="Arial" w:hAnsi="Arial" w:cs="Arial"/>
          <w:color w:val="000000" w:themeColor="text1"/>
          <w:sz w:val="22"/>
          <w:szCs w:val="22"/>
          <w:highlight w:val="white"/>
        </w:rPr>
      </w:pPr>
      <w:r w:rsidRPr="00A95BE0">
        <w:rPr>
          <w:rFonts w:ascii="Arial" w:hAnsi="Arial" w:cs="Arial"/>
          <w:color w:val="000000" w:themeColor="text1"/>
          <w:sz w:val="22"/>
          <w:szCs w:val="22"/>
          <w:highlight w:val="white"/>
        </w:rPr>
        <w:lastRenderedPageBreak/>
        <w:t xml:space="preserve">Royalparks, 2024. </w:t>
      </w:r>
      <w:r w:rsidRPr="00A95BE0">
        <w:rPr>
          <w:rFonts w:ascii="Arial" w:hAnsi="Arial" w:cs="Arial"/>
          <w:i/>
          <w:color w:val="000000" w:themeColor="text1"/>
          <w:sz w:val="22"/>
          <w:szCs w:val="22"/>
          <w:highlight w:val="white"/>
        </w:rPr>
        <w:t>Welcome to The Royal Parks</w:t>
      </w:r>
      <w:r w:rsidRPr="00A95BE0">
        <w:rPr>
          <w:rFonts w:ascii="Arial" w:hAnsi="Arial" w:cs="Arial"/>
          <w:color w:val="000000" w:themeColor="text1"/>
          <w:sz w:val="22"/>
          <w:szCs w:val="22"/>
          <w:highlight w:val="white"/>
        </w:rPr>
        <w:t xml:space="preserve"> [Online] Available at: &lt;https://www.royalparks.org.uk/&gt;  [Accessed on: 8th October 2024]. </w:t>
      </w:r>
    </w:p>
    <w:p w14:paraId="755B20FF" w14:textId="77777777" w:rsidR="008308BA" w:rsidRPr="00A95BE0" w:rsidRDefault="008308BA" w:rsidP="00A95BE0">
      <w:pPr>
        <w:spacing w:before="200"/>
        <w:rPr>
          <w:rFonts w:ascii="Arial" w:hAnsi="Arial" w:cs="Arial"/>
          <w:color w:val="000000" w:themeColor="text1"/>
          <w:sz w:val="22"/>
          <w:szCs w:val="22"/>
          <w:highlight w:val="white"/>
        </w:rPr>
      </w:pPr>
      <w:r w:rsidRPr="00A95BE0">
        <w:rPr>
          <w:rFonts w:ascii="Arial" w:hAnsi="Arial" w:cs="Arial"/>
          <w:color w:val="000000" w:themeColor="text1"/>
          <w:sz w:val="22"/>
          <w:szCs w:val="22"/>
          <w:highlight w:val="white"/>
        </w:rPr>
        <w:t xml:space="preserve">Sadowski, G., Kavanagh, K. and Bussa, T., 2020. Critical capabilities for security information and event management. </w:t>
      </w:r>
      <w:r w:rsidRPr="00A95BE0">
        <w:rPr>
          <w:rFonts w:ascii="Arial" w:hAnsi="Arial" w:cs="Arial"/>
          <w:i/>
          <w:color w:val="000000" w:themeColor="text1"/>
          <w:sz w:val="22"/>
          <w:szCs w:val="22"/>
          <w:highlight w:val="white"/>
        </w:rPr>
        <w:t>Gartner Group Research Note</w:t>
      </w:r>
      <w:r w:rsidRPr="00A95BE0">
        <w:rPr>
          <w:rFonts w:ascii="Arial" w:hAnsi="Arial" w:cs="Arial"/>
          <w:color w:val="000000" w:themeColor="text1"/>
          <w:sz w:val="22"/>
          <w:szCs w:val="22"/>
          <w:highlight w:val="white"/>
        </w:rPr>
        <w:t xml:space="preserve">, </w:t>
      </w:r>
      <w:r w:rsidRPr="00A95BE0">
        <w:rPr>
          <w:rFonts w:ascii="Arial" w:hAnsi="Arial" w:cs="Arial"/>
          <w:i/>
          <w:color w:val="000000" w:themeColor="text1"/>
          <w:sz w:val="22"/>
          <w:szCs w:val="22"/>
          <w:highlight w:val="white"/>
        </w:rPr>
        <w:t>1</w:t>
      </w:r>
      <w:r w:rsidRPr="00A95BE0">
        <w:rPr>
          <w:rFonts w:ascii="Arial" w:hAnsi="Arial" w:cs="Arial"/>
          <w:color w:val="000000" w:themeColor="text1"/>
          <w:sz w:val="22"/>
          <w:szCs w:val="22"/>
          <w:highlight w:val="white"/>
        </w:rPr>
        <w:t>.</w:t>
      </w:r>
    </w:p>
    <w:p w14:paraId="440DC468" w14:textId="77777777" w:rsidR="008308BA" w:rsidRPr="00A95BE0" w:rsidRDefault="008308BA" w:rsidP="00A95BE0">
      <w:pPr>
        <w:widowControl w:val="0"/>
        <w:spacing w:before="200"/>
        <w:ind w:right="397"/>
        <w:rPr>
          <w:rFonts w:ascii="Arial" w:hAnsi="Arial" w:cs="Arial"/>
          <w:color w:val="000000" w:themeColor="text1"/>
          <w:sz w:val="22"/>
          <w:szCs w:val="22"/>
        </w:rPr>
      </w:pPr>
      <w:r w:rsidRPr="00A95BE0">
        <w:rPr>
          <w:rFonts w:ascii="Arial" w:hAnsi="Arial" w:cs="Arial"/>
          <w:color w:val="000000" w:themeColor="text1"/>
          <w:sz w:val="22"/>
          <w:szCs w:val="22"/>
        </w:rPr>
        <w:t xml:space="preserve">Smith, A. 2012 </w:t>
      </w:r>
      <w:r w:rsidRPr="00A95BE0">
        <w:rPr>
          <w:rFonts w:ascii="Arial" w:hAnsi="Arial" w:cs="Arial"/>
          <w:i/>
          <w:color w:val="000000" w:themeColor="text1"/>
          <w:sz w:val="22"/>
          <w:szCs w:val="22"/>
        </w:rPr>
        <w:t>Events and urban regeneration</w:t>
      </w:r>
      <w:r w:rsidRPr="00A95BE0">
        <w:rPr>
          <w:rFonts w:ascii="Arial" w:hAnsi="Arial" w:cs="Arial"/>
          <w:color w:val="000000" w:themeColor="text1"/>
          <w:sz w:val="22"/>
          <w:szCs w:val="22"/>
        </w:rPr>
        <w:t>: the strategic use of events to revitalise cities. Routledge: Oxford</w:t>
      </w:r>
    </w:p>
    <w:p w14:paraId="5F34A7AA" w14:textId="77777777" w:rsidR="008308BA" w:rsidRPr="00A95BE0" w:rsidRDefault="008308BA" w:rsidP="00A95BE0">
      <w:pPr>
        <w:widowControl w:val="0"/>
        <w:spacing w:before="200"/>
        <w:ind w:right="-92"/>
        <w:rPr>
          <w:rFonts w:ascii="Arial" w:hAnsi="Arial" w:cs="Arial"/>
          <w:color w:val="000000" w:themeColor="text1"/>
          <w:sz w:val="22"/>
          <w:szCs w:val="22"/>
          <w:highlight w:val="white"/>
        </w:rPr>
      </w:pPr>
      <w:r w:rsidRPr="00A95BE0">
        <w:rPr>
          <w:rFonts w:ascii="Arial" w:hAnsi="Arial" w:cs="Arial"/>
          <w:color w:val="000000" w:themeColor="text1"/>
          <w:sz w:val="22"/>
          <w:szCs w:val="22"/>
        </w:rPr>
        <w:t xml:space="preserve">Statista, 2023. </w:t>
      </w:r>
      <w:r w:rsidRPr="00A95BE0">
        <w:rPr>
          <w:rFonts w:ascii="Arial" w:hAnsi="Arial" w:cs="Arial"/>
          <w:i/>
          <w:color w:val="000000" w:themeColor="text1"/>
          <w:sz w:val="22"/>
          <w:szCs w:val="22"/>
        </w:rPr>
        <w:t xml:space="preserve">Activities planned over the Christmas and New Year period in Great Britain in 2019 </w:t>
      </w:r>
      <w:r w:rsidRPr="00A95BE0">
        <w:rPr>
          <w:rFonts w:ascii="Arial" w:hAnsi="Arial" w:cs="Arial"/>
          <w:color w:val="000000" w:themeColor="text1"/>
          <w:sz w:val="22"/>
          <w:szCs w:val="22"/>
        </w:rPr>
        <w:t xml:space="preserve">[Online] Available at: &lt;https://www.statista.com/statistics/503789/activities-planned-christmas-great-britain/&gt; </w:t>
      </w:r>
      <w:r w:rsidRPr="00A95BE0">
        <w:rPr>
          <w:rFonts w:ascii="Arial" w:hAnsi="Arial" w:cs="Arial"/>
          <w:color w:val="000000" w:themeColor="text1"/>
          <w:sz w:val="22"/>
          <w:szCs w:val="22"/>
          <w:highlight w:val="white"/>
        </w:rPr>
        <w:t xml:space="preserve">[Accessed on: 8th October 2024]. </w:t>
      </w:r>
    </w:p>
    <w:p w14:paraId="02111574" w14:textId="77777777" w:rsidR="008308BA" w:rsidRPr="00A95BE0" w:rsidRDefault="008308BA" w:rsidP="00A95BE0">
      <w:pPr>
        <w:widowControl w:val="0"/>
        <w:spacing w:before="200"/>
        <w:ind w:right="207"/>
        <w:rPr>
          <w:rFonts w:ascii="Arial" w:hAnsi="Arial" w:cs="Arial"/>
          <w:color w:val="000000" w:themeColor="text1"/>
          <w:sz w:val="22"/>
          <w:szCs w:val="22"/>
          <w:highlight w:val="white"/>
        </w:rPr>
      </w:pPr>
      <w:r w:rsidRPr="00A95BE0">
        <w:rPr>
          <w:rFonts w:ascii="Arial" w:hAnsi="Arial" w:cs="Arial"/>
          <w:color w:val="000000" w:themeColor="text1"/>
          <w:sz w:val="22"/>
          <w:szCs w:val="22"/>
        </w:rPr>
        <w:t>Statista, 2024.</w:t>
      </w:r>
      <w:r w:rsidRPr="00A95BE0">
        <w:rPr>
          <w:rFonts w:ascii="Arial" w:hAnsi="Arial" w:cs="Arial"/>
          <w:i/>
          <w:color w:val="000000" w:themeColor="text1"/>
          <w:sz w:val="22"/>
          <w:szCs w:val="22"/>
        </w:rPr>
        <w:t xml:space="preserve"> Number of tourists attending live music events in the United Kingdom (UK) from 2016 to 2023</w:t>
      </w:r>
      <w:r w:rsidRPr="00A95BE0">
        <w:rPr>
          <w:rFonts w:ascii="Arial" w:hAnsi="Arial" w:cs="Arial"/>
          <w:color w:val="000000" w:themeColor="text1"/>
          <w:sz w:val="22"/>
          <w:szCs w:val="22"/>
        </w:rPr>
        <w:t xml:space="preserve"> [Online] Available at: &lt;https://www.statista.com/statistics/482225/number-of-music-tourists-united-kingdom/&gt; </w:t>
      </w:r>
      <w:r w:rsidRPr="00A95BE0">
        <w:rPr>
          <w:rFonts w:ascii="Arial" w:hAnsi="Arial" w:cs="Arial"/>
          <w:color w:val="000000" w:themeColor="text1"/>
          <w:sz w:val="22"/>
          <w:szCs w:val="22"/>
          <w:highlight w:val="white"/>
        </w:rPr>
        <w:t xml:space="preserve">[Accessed on: 8th October 2024]. </w:t>
      </w:r>
    </w:p>
    <w:p w14:paraId="6470BDCF" w14:textId="77777777" w:rsidR="008308BA" w:rsidRPr="00A95BE0" w:rsidRDefault="008308BA" w:rsidP="00A95BE0">
      <w:pPr>
        <w:spacing w:before="200"/>
        <w:rPr>
          <w:rFonts w:ascii="Arial" w:hAnsi="Arial" w:cs="Arial"/>
          <w:color w:val="000000" w:themeColor="text1"/>
          <w:sz w:val="22"/>
          <w:szCs w:val="22"/>
          <w:highlight w:val="white"/>
        </w:rPr>
      </w:pPr>
      <w:r w:rsidRPr="00A95BE0">
        <w:rPr>
          <w:rFonts w:ascii="Arial" w:hAnsi="Arial" w:cs="Arial"/>
          <w:color w:val="000000" w:themeColor="text1"/>
          <w:sz w:val="22"/>
          <w:szCs w:val="22"/>
          <w:highlight w:val="white"/>
        </w:rPr>
        <w:t xml:space="preserve">Visit England, 2024. </w:t>
      </w:r>
      <w:r w:rsidRPr="00A95BE0">
        <w:rPr>
          <w:rFonts w:ascii="Arial" w:hAnsi="Arial" w:cs="Arial"/>
          <w:i/>
          <w:color w:val="000000" w:themeColor="text1"/>
          <w:sz w:val="22"/>
          <w:szCs w:val="22"/>
          <w:highlight w:val="white"/>
        </w:rPr>
        <w:t>Events in winter</w:t>
      </w:r>
      <w:r w:rsidRPr="00A95BE0">
        <w:rPr>
          <w:rFonts w:ascii="Arial" w:hAnsi="Arial" w:cs="Arial"/>
          <w:color w:val="000000" w:themeColor="text1"/>
          <w:sz w:val="22"/>
          <w:szCs w:val="22"/>
          <w:highlight w:val="white"/>
        </w:rPr>
        <w:t xml:space="preserve"> [Online] Available at:&lt;https://www.visitengland.com/things-to-do/events-in-winter&gt; [Accessed on: 8th October 2024]. </w:t>
      </w:r>
    </w:p>
    <w:p w14:paraId="545B55C3" w14:textId="77777777" w:rsidR="001A302C" w:rsidRPr="00A95BE0" w:rsidRDefault="001A302C" w:rsidP="00A95BE0">
      <w:pPr>
        <w:rPr>
          <w:rFonts w:ascii="Arial" w:hAnsi="Arial" w:cs="Arial"/>
          <w:color w:val="000000" w:themeColor="text1"/>
          <w:sz w:val="22"/>
          <w:szCs w:val="22"/>
        </w:rPr>
      </w:pPr>
    </w:p>
    <w:p w14:paraId="4EF5EB83" w14:textId="77777777" w:rsidR="001A302C" w:rsidRPr="00A95BE0" w:rsidRDefault="001A302C" w:rsidP="00A95BE0">
      <w:pPr>
        <w:rPr>
          <w:rFonts w:ascii="Arial" w:hAnsi="Arial" w:cs="Arial"/>
          <w:color w:val="000000" w:themeColor="text1"/>
          <w:sz w:val="22"/>
          <w:szCs w:val="22"/>
        </w:rPr>
      </w:pPr>
    </w:p>
    <w:p w14:paraId="4B58D9FB" w14:textId="77777777" w:rsidR="001A302C" w:rsidRPr="00A95BE0" w:rsidRDefault="001A302C" w:rsidP="00A95BE0">
      <w:pPr>
        <w:rPr>
          <w:rFonts w:ascii="Arial" w:hAnsi="Arial" w:cs="Arial"/>
          <w:color w:val="000000" w:themeColor="text1"/>
          <w:sz w:val="22"/>
          <w:szCs w:val="22"/>
        </w:rPr>
      </w:pPr>
    </w:p>
    <w:sectPr w:rsidR="001A302C" w:rsidRPr="00A95BE0">
      <w:footerReference w:type="default" r:id="rId1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C6361E" w14:textId="77777777" w:rsidR="005E4729" w:rsidRPr="007B4BFF" w:rsidRDefault="005E4729" w:rsidP="00824E4F">
      <w:pPr>
        <w:spacing w:line="240" w:lineRule="auto"/>
      </w:pPr>
      <w:r w:rsidRPr="007B4BFF">
        <w:separator/>
      </w:r>
    </w:p>
  </w:endnote>
  <w:endnote w:type="continuationSeparator" w:id="0">
    <w:p w14:paraId="5B509B0C" w14:textId="77777777" w:rsidR="005E4729" w:rsidRPr="007B4BFF" w:rsidRDefault="005E4729" w:rsidP="00824E4F">
      <w:pPr>
        <w:spacing w:line="240" w:lineRule="auto"/>
      </w:pPr>
      <w:r w:rsidRPr="007B4BF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1668610"/>
      <w:docPartObj>
        <w:docPartGallery w:val="Page Numbers (Bottom of Page)"/>
        <w:docPartUnique/>
      </w:docPartObj>
    </w:sdtPr>
    <w:sdtContent>
      <w:p w14:paraId="50D8CDFD" w14:textId="412AEF8D" w:rsidR="00824E4F" w:rsidRPr="007B4BFF" w:rsidRDefault="00824E4F">
        <w:pPr>
          <w:pStyle w:val="Footer"/>
          <w:jc w:val="right"/>
        </w:pPr>
        <w:r w:rsidRPr="007B4BFF">
          <w:fldChar w:fldCharType="begin"/>
        </w:r>
        <w:r w:rsidRPr="007B4BFF">
          <w:instrText xml:space="preserve"> PAGE   \* MERGEFORMAT </w:instrText>
        </w:r>
        <w:r w:rsidRPr="007B4BFF">
          <w:fldChar w:fldCharType="separate"/>
        </w:r>
        <w:r w:rsidR="00B03318">
          <w:rPr>
            <w:noProof/>
          </w:rPr>
          <w:t>13</w:t>
        </w:r>
        <w:r w:rsidRPr="007B4BFF">
          <w:fldChar w:fldCharType="end"/>
        </w:r>
      </w:p>
    </w:sdtContent>
  </w:sdt>
  <w:p w14:paraId="3231E506" w14:textId="77777777" w:rsidR="00824E4F" w:rsidRPr="007B4BFF" w:rsidRDefault="00824E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48E5E0" w14:textId="77777777" w:rsidR="005E4729" w:rsidRPr="007B4BFF" w:rsidRDefault="005E4729" w:rsidP="00824E4F">
      <w:pPr>
        <w:spacing w:line="240" w:lineRule="auto"/>
      </w:pPr>
      <w:r w:rsidRPr="007B4BFF">
        <w:separator/>
      </w:r>
    </w:p>
  </w:footnote>
  <w:footnote w:type="continuationSeparator" w:id="0">
    <w:p w14:paraId="2BA82C98" w14:textId="77777777" w:rsidR="005E4729" w:rsidRPr="007B4BFF" w:rsidRDefault="005E4729" w:rsidP="00824E4F">
      <w:pPr>
        <w:spacing w:line="240" w:lineRule="auto"/>
      </w:pPr>
      <w:r w:rsidRPr="007B4BF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AB01F19"/>
    <w:multiLevelType w:val="hybridMultilevel"/>
    <w:tmpl w:val="68FACEB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7104957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02C"/>
    <w:rsid w:val="00185B83"/>
    <w:rsid w:val="001A302C"/>
    <w:rsid w:val="001F7761"/>
    <w:rsid w:val="002248BA"/>
    <w:rsid w:val="002426C0"/>
    <w:rsid w:val="002834C7"/>
    <w:rsid w:val="00295E55"/>
    <w:rsid w:val="003B1A5F"/>
    <w:rsid w:val="003B23B4"/>
    <w:rsid w:val="003C1F24"/>
    <w:rsid w:val="005E4729"/>
    <w:rsid w:val="00623D2A"/>
    <w:rsid w:val="006C595B"/>
    <w:rsid w:val="006C73B1"/>
    <w:rsid w:val="00735FDE"/>
    <w:rsid w:val="007918DD"/>
    <w:rsid w:val="007B4BFF"/>
    <w:rsid w:val="007F47F7"/>
    <w:rsid w:val="00824E4F"/>
    <w:rsid w:val="008308BA"/>
    <w:rsid w:val="00A95BE0"/>
    <w:rsid w:val="00B03318"/>
    <w:rsid w:val="00B33712"/>
    <w:rsid w:val="00B50991"/>
    <w:rsid w:val="00C15396"/>
    <w:rsid w:val="00D93237"/>
    <w:rsid w:val="00DC4A23"/>
    <w:rsid w:val="00F11ECD"/>
    <w:rsid w:val="00FB041A"/>
    <w:rsid w:val="00FD3343"/>
    <w:rsid w:val="00FD619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467A2A"/>
  <w15:docId w15:val="{23386201-94A7-438B-ACC3-90485647F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824E4F"/>
    <w:pPr>
      <w:tabs>
        <w:tab w:val="center" w:pos="4680"/>
        <w:tab w:val="right" w:pos="9360"/>
      </w:tabs>
      <w:spacing w:line="240" w:lineRule="auto"/>
    </w:pPr>
  </w:style>
  <w:style w:type="character" w:customStyle="1" w:styleId="HeaderChar">
    <w:name w:val="Header Char"/>
    <w:basedOn w:val="DefaultParagraphFont"/>
    <w:link w:val="Header"/>
    <w:uiPriority w:val="99"/>
    <w:rsid w:val="00824E4F"/>
  </w:style>
  <w:style w:type="paragraph" w:styleId="Footer">
    <w:name w:val="footer"/>
    <w:basedOn w:val="Normal"/>
    <w:link w:val="FooterChar"/>
    <w:uiPriority w:val="99"/>
    <w:unhideWhenUsed/>
    <w:rsid w:val="00824E4F"/>
    <w:pPr>
      <w:tabs>
        <w:tab w:val="center" w:pos="4680"/>
        <w:tab w:val="right" w:pos="9360"/>
      </w:tabs>
      <w:spacing w:line="240" w:lineRule="auto"/>
    </w:pPr>
  </w:style>
  <w:style w:type="character" w:customStyle="1" w:styleId="FooterChar">
    <w:name w:val="Footer Char"/>
    <w:basedOn w:val="DefaultParagraphFont"/>
    <w:link w:val="Footer"/>
    <w:uiPriority w:val="99"/>
    <w:rsid w:val="00824E4F"/>
  </w:style>
  <w:style w:type="paragraph" w:styleId="TOCHeading">
    <w:name w:val="TOC Heading"/>
    <w:basedOn w:val="Heading1"/>
    <w:next w:val="Normal"/>
    <w:uiPriority w:val="39"/>
    <w:unhideWhenUsed/>
    <w:qFormat/>
    <w:rsid w:val="007F47F7"/>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F47F7"/>
    <w:pPr>
      <w:spacing w:after="100"/>
    </w:pPr>
  </w:style>
  <w:style w:type="character" w:styleId="Hyperlink">
    <w:name w:val="Hyperlink"/>
    <w:basedOn w:val="DefaultParagraphFont"/>
    <w:uiPriority w:val="99"/>
    <w:unhideWhenUsed/>
    <w:rsid w:val="007F47F7"/>
    <w:rPr>
      <w:color w:val="0000FF" w:themeColor="hyperlink"/>
      <w:u w:val="single"/>
    </w:rPr>
  </w:style>
  <w:style w:type="paragraph" w:styleId="NoSpacing">
    <w:name w:val="No Spacing"/>
    <w:uiPriority w:val="1"/>
    <w:qFormat/>
    <w:rsid w:val="007F47F7"/>
    <w:pPr>
      <w:spacing w:line="240" w:lineRule="auto"/>
    </w:pPr>
  </w:style>
  <w:style w:type="paragraph" w:styleId="ListParagraph">
    <w:name w:val="List Paragraph"/>
    <w:basedOn w:val="Normal"/>
    <w:uiPriority w:val="34"/>
    <w:qFormat/>
    <w:rsid w:val="008308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jp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jp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405AD7-3971-4841-AF0D-599D2E41F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13</Pages>
  <Words>1926</Words>
  <Characters>10172</Characters>
  <Application>Microsoft Office Word</Application>
  <DocSecurity>0</DocSecurity>
  <Lines>166</Lines>
  <Paragraphs>87</Paragraphs>
  <ScaleCrop>false</ScaleCrop>
  <Company/>
  <LinksUpToDate>false</LinksUpToDate>
  <CharactersWithSpaces>12011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 gavril</cp:lastModifiedBy>
  <cp:revision>3</cp:revision>
  <cp:lastPrinted>2024-10-14T11:58:00Z</cp:lastPrinted>
  <dcterms:created xsi:type="dcterms:W3CDTF">2024-10-08T13:13:00Z</dcterms:created>
  <dcterms:modified xsi:type="dcterms:W3CDTF">2024-10-14T12:02:00Z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e4463515705526ca9d9144fe55df538e2f5184525ee237cc17dd72d12b7ebbb2</vt:lpwstr>
  </property>
</Properties>
</file>