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29BED5F" wp14:paraId="0EB1A15E" wp14:textId="19716E5B">
      <w:pPr>
        <w:shd w:val="clear" w:color="auto" w:fill="FFFFFF" w:themeFill="background1"/>
        <w:spacing w:before="0" w:beforeAutospacing="off" w:after="0" w:afterAutospacing="off"/>
      </w:pPr>
      <w:r w:rsidRPr="129BED5F" w:rsidR="05C4F23B">
        <w:rPr>
          <w:rFonts w:ascii="Arial" w:hAnsi="Arial" w:eastAsia="Arial" w:cs="Arial"/>
          <w:b w:val="0"/>
          <w:bCs w:val="0"/>
          <w:i w:val="0"/>
          <w:iCs w:val="0"/>
          <w:caps w:val="0"/>
          <w:smallCaps w:val="0"/>
          <w:noProof w:val="0"/>
          <w:color w:val="222222"/>
          <w:sz w:val="19"/>
          <w:szCs w:val="19"/>
          <w:lang w:val="en-US"/>
        </w:rPr>
        <w:t xml:space="preserve">Free play can be described as an activity conducted by children without the involvement or control of adults (Herrington and </w:t>
      </w:r>
      <w:r w:rsidRPr="129BED5F" w:rsidR="05C4F23B">
        <w:rPr>
          <w:rFonts w:ascii="Arial" w:hAnsi="Arial" w:eastAsia="Arial" w:cs="Arial"/>
          <w:b w:val="0"/>
          <w:bCs w:val="0"/>
          <w:i w:val="0"/>
          <w:iCs w:val="0"/>
          <w:caps w:val="0"/>
          <w:smallCaps w:val="0"/>
          <w:noProof w:val="0"/>
          <w:color w:val="222222"/>
          <w:sz w:val="19"/>
          <w:szCs w:val="19"/>
          <w:lang w:val="en-US"/>
        </w:rPr>
        <w:t>Brussoni</w:t>
      </w:r>
      <w:r w:rsidRPr="129BED5F" w:rsidR="05C4F23B">
        <w:rPr>
          <w:rFonts w:ascii="Arial" w:hAnsi="Arial" w:eastAsia="Arial" w:cs="Arial"/>
          <w:b w:val="0"/>
          <w:bCs w:val="0"/>
          <w:i w:val="0"/>
          <w:iCs w:val="0"/>
          <w:caps w:val="0"/>
          <w:smallCaps w:val="0"/>
          <w:noProof w:val="0"/>
          <w:color w:val="222222"/>
          <w:sz w:val="19"/>
          <w:szCs w:val="19"/>
          <w:lang w:val="en-US"/>
        </w:rPr>
        <w:t xml:space="preserve">, 2015). According to Brock et al. (2013) play is natural for children and encourages learning. However, Whitehead et al. (2012) argue that it sometimes lacks importance, does not </w:t>
      </w:r>
      <w:r w:rsidRPr="129BED5F" w:rsidR="05C4F23B">
        <w:rPr>
          <w:rFonts w:ascii="Arial" w:hAnsi="Arial" w:eastAsia="Arial" w:cs="Arial"/>
          <w:b w:val="0"/>
          <w:bCs w:val="0"/>
          <w:i w:val="0"/>
          <w:iCs w:val="0"/>
          <w:caps w:val="0"/>
          <w:smallCaps w:val="0"/>
          <w:noProof w:val="0"/>
          <w:color w:val="222222"/>
          <w:sz w:val="19"/>
          <w:szCs w:val="19"/>
          <w:lang w:val="en-US"/>
        </w:rPr>
        <w:t>contain</w:t>
      </w:r>
      <w:r w:rsidRPr="129BED5F" w:rsidR="05C4F23B">
        <w:rPr>
          <w:rFonts w:ascii="Arial" w:hAnsi="Arial" w:eastAsia="Arial" w:cs="Arial"/>
          <w:b w:val="0"/>
          <w:bCs w:val="0"/>
          <w:i w:val="0"/>
          <w:iCs w:val="0"/>
          <w:caps w:val="0"/>
          <w:smallCaps w:val="0"/>
          <w:noProof w:val="0"/>
          <w:color w:val="222222"/>
          <w:sz w:val="19"/>
          <w:szCs w:val="19"/>
          <w:lang w:val="en-US"/>
        </w:rPr>
        <w:t xml:space="preserve"> any educational purpose and is an activity carried out by children due to their immaturity. However, much like Brock et al. (2013), some highlight that whilst playing, children learn by understanding what to do with objects, learning how to react, behave and control their bodies (Early Years Matters, 2018). Herrington and </w:t>
      </w:r>
      <w:r w:rsidRPr="129BED5F" w:rsidR="05C4F23B">
        <w:rPr>
          <w:rFonts w:ascii="Arial" w:hAnsi="Arial" w:eastAsia="Arial" w:cs="Arial"/>
          <w:b w:val="0"/>
          <w:bCs w:val="0"/>
          <w:i w:val="0"/>
          <w:iCs w:val="0"/>
          <w:caps w:val="0"/>
          <w:smallCaps w:val="0"/>
          <w:noProof w:val="0"/>
          <w:color w:val="222222"/>
          <w:sz w:val="19"/>
          <w:szCs w:val="19"/>
          <w:lang w:val="en-US"/>
        </w:rPr>
        <w:t>Brussoni</w:t>
      </w:r>
      <w:r w:rsidRPr="129BED5F" w:rsidR="05C4F23B">
        <w:rPr>
          <w:rFonts w:ascii="Arial" w:hAnsi="Arial" w:eastAsia="Arial" w:cs="Arial"/>
          <w:b w:val="0"/>
          <w:bCs w:val="0"/>
          <w:i w:val="0"/>
          <w:iCs w:val="0"/>
          <w:caps w:val="0"/>
          <w:smallCaps w:val="0"/>
          <w:noProof w:val="0"/>
          <w:color w:val="222222"/>
          <w:sz w:val="19"/>
          <w:szCs w:val="19"/>
          <w:lang w:val="en-US"/>
        </w:rPr>
        <w:t xml:space="preserve"> (2015) also explain how play is crucial to childhood, reinforcing its classification as a right of the child by the United Nations. This is supported by Moyles (2010) who </w:t>
      </w:r>
      <w:r w:rsidRPr="129BED5F" w:rsidR="05C4F23B">
        <w:rPr>
          <w:rFonts w:ascii="Arial" w:hAnsi="Arial" w:eastAsia="Arial" w:cs="Arial"/>
          <w:b w:val="0"/>
          <w:bCs w:val="0"/>
          <w:i w:val="0"/>
          <w:iCs w:val="0"/>
          <w:caps w:val="0"/>
          <w:smallCaps w:val="0"/>
          <w:noProof w:val="0"/>
          <w:color w:val="222222"/>
          <w:sz w:val="19"/>
          <w:szCs w:val="19"/>
          <w:lang w:val="en-US"/>
        </w:rPr>
        <w:t>states</w:t>
      </w:r>
      <w:r w:rsidRPr="129BED5F" w:rsidR="05C4F23B">
        <w:rPr>
          <w:rFonts w:ascii="Arial" w:hAnsi="Arial" w:eastAsia="Arial" w:cs="Arial"/>
          <w:b w:val="0"/>
          <w:bCs w:val="0"/>
          <w:i w:val="0"/>
          <w:iCs w:val="0"/>
          <w:caps w:val="0"/>
          <w:smallCaps w:val="0"/>
          <w:noProof w:val="0"/>
          <w:color w:val="222222"/>
          <w:sz w:val="19"/>
          <w:szCs w:val="19"/>
          <w:lang w:val="en-US"/>
        </w:rPr>
        <w:t xml:space="preserve"> that learning and play are </w:t>
      </w:r>
      <w:r w:rsidRPr="129BED5F" w:rsidR="05C4F23B">
        <w:rPr>
          <w:rFonts w:ascii="Arial" w:hAnsi="Arial" w:eastAsia="Arial" w:cs="Arial"/>
          <w:b w:val="0"/>
          <w:bCs w:val="0"/>
          <w:i w:val="0"/>
          <w:iCs w:val="0"/>
          <w:caps w:val="0"/>
          <w:smallCaps w:val="0"/>
          <w:noProof w:val="0"/>
          <w:color w:val="222222"/>
          <w:sz w:val="19"/>
          <w:szCs w:val="19"/>
          <w:lang w:val="en-US"/>
        </w:rPr>
        <w:t>closely linked</w:t>
      </w:r>
      <w:r w:rsidRPr="129BED5F" w:rsidR="05C4F23B">
        <w:rPr>
          <w:rFonts w:ascii="Arial" w:hAnsi="Arial" w:eastAsia="Arial" w:cs="Arial"/>
          <w:b w:val="0"/>
          <w:bCs w:val="0"/>
          <w:i w:val="0"/>
          <w:iCs w:val="0"/>
          <w:caps w:val="0"/>
          <w:smallCaps w:val="0"/>
          <w:noProof w:val="0"/>
          <w:color w:val="222222"/>
          <w:sz w:val="19"/>
          <w:szCs w:val="19"/>
          <w:lang w:val="en-US"/>
        </w:rPr>
        <w:t xml:space="preserve"> and that children instinctively learn from </w:t>
      </w:r>
      <w:r w:rsidRPr="129BED5F" w:rsidR="05C4F23B">
        <w:rPr>
          <w:rFonts w:ascii="Arial" w:hAnsi="Arial" w:eastAsia="Arial" w:cs="Arial"/>
          <w:b w:val="0"/>
          <w:bCs w:val="0"/>
          <w:i w:val="0"/>
          <w:iCs w:val="0"/>
          <w:caps w:val="0"/>
          <w:smallCaps w:val="0"/>
          <w:noProof w:val="0"/>
          <w:color w:val="222222"/>
          <w:sz w:val="19"/>
          <w:szCs w:val="19"/>
          <w:lang w:val="en-US"/>
        </w:rPr>
        <w:t>outset</w:t>
      </w:r>
      <w:r w:rsidRPr="129BED5F" w:rsidR="05C4F23B">
        <w:rPr>
          <w:rFonts w:ascii="Arial" w:hAnsi="Arial" w:eastAsia="Arial" w:cs="Arial"/>
          <w:b w:val="0"/>
          <w:bCs w:val="0"/>
          <w:i w:val="0"/>
          <w:iCs w:val="0"/>
          <w:caps w:val="0"/>
          <w:smallCaps w:val="0"/>
          <w:noProof w:val="0"/>
          <w:color w:val="222222"/>
          <w:sz w:val="19"/>
          <w:szCs w:val="19"/>
          <w:lang w:val="en-US"/>
        </w:rPr>
        <w:t xml:space="preserve">, grasping and learning concepts in the environments in which they live and grow up. </w:t>
      </w:r>
    </w:p>
    <w:p xmlns:wp14="http://schemas.microsoft.com/office/word/2010/wordml" w:rsidP="129BED5F" wp14:paraId="2562BE87" wp14:textId="13AD480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19"/>
          <w:szCs w:val="19"/>
          <w:lang w:val="en-US"/>
        </w:rPr>
      </w:pPr>
    </w:p>
    <w:p xmlns:wp14="http://schemas.microsoft.com/office/word/2010/wordml" w:rsidP="129BED5F" wp14:paraId="0FFC8FF3" wp14:textId="38AC2B9E">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19"/>
          <w:szCs w:val="19"/>
          <w:lang w:val="en-US"/>
        </w:rPr>
      </w:pPr>
      <w:r w:rsidRPr="129BED5F" w:rsidR="0ADBDED2">
        <w:rPr>
          <w:rFonts w:ascii="Arial" w:hAnsi="Arial" w:eastAsia="Arial" w:cs="Arial"/>
          <w:b w:val="0"/>
          <w:bCs w:val="0"/>
          <w:i w:val="0"/>
          <w:iCs w:val="0"/>
          <w:caps w:val="0"/>
          <w:smallCaps w:val="0"/>
          <w:noProof w:val="0"/>
          <w:color w:val="222222"/>
          <w:sz w:val="19"/>
          <w:szCs w:val="19"/>
          <w:lang w:val="en-US"/>
        </w:rPr>
        <w:t>Reference List</w:t>
      </w:r>
    </w:p>
    <w:p xmlns:wp14="http://schemas.microsoft.com/office/word/2010/wordml" w:rsidP="129BED5F" wp14:paraId="1F17CB9D" wp14:textId="09D2B721">
      <w:pPr>
        <w:pStyle w:val="Normal"/>
        <w:shd w:val="clear" w:color="auto" w:fill="FFFFFF" w:themeFill="background1"/>
        <w:spacing w:before="0" w:beforeAutospacing="off" w:after="0" w:afterAutospacing="off"/>
      </w:pPr>
      <w:r w:rsidRPr="129BED5F" w:rsidR="1D9F1091">
        <w:rPr>
          <w:rFonts w:ascii="Arial" w:hAnsi="Arial" w:eastAsia="Arial" w:cs="Arial"/>
          <w:b w:val="0"/>
          <w:bCs w:val="0"/>
          <w:i w:val="0"/>
          <w:iCs w:val="0"/>
          <w:caps w:val="0"/>
          <w:smallCaps w:val="0"/>
          <w:noProof w:val="0"/>
          <w:color w:val="222222"/>
          <w:sz w:val="19"/>
          <w:szCs w:val="19"/>
          <w:lang w:val="en-US"/>
        </w:rPr>
        <w:t xml:space="preserve">Brock, A., Dodds,S., Jarvis, P. and Olunga, Y. (2013) </w:t>
      </w:r>
      <w:r w:rsidRPr="129BED5F" w:rsidR="1D9F1091">
        <w:rPr>
          <w:rFonts w:ascii="Arial" w:hAnsi="Arial" w:eastAsia="Arial" w:cs="Arial"/>
          <w:b w:val="0"/>
          <w:bCs w:val="0"/>
          <w:i w:val="1"/>
          <w:iCs w:val="1"/>
          <w:caps w:val="0"/>
          <w:smallCaps w:val="0"/>
          <w:noProof w:val="0"/>
          <w:color w:val="222222"/>
          <w:sz w:val="19"/>
          <w:szCs w:val="19"/>
          <w:lang w:val="en-US"/>
        </w:rPr>
        <w:t>Perspectives on Play: Learning for Life</w:t>
      </w:r>
      <w:r w:rsidRPr="129BED5F" w:rsidR="1D9F1091">
        <w:rPr>
          <w:rFonts w:ascii="Arial" w:hAnsi="Arial" w:eastAsia="Arial" w:cs="Arial"/>
          <w:b w:val="0"/>
          <w:bCs w:val="0"/>
          <w:i w:val="0"/>
          <w:iCs w:val="0"/>
          <w:caps w:val="0"/>
          <w:smallCaps w:val="0"/>
          <w:noProof w:val="0"/>
          <w:color w:val="222222"/>
          <w:sz w:val="19"/>
          <w:szCs w:val="19"/>
          <w:lang w:val="en-US"/>
        </w:rPr>
        <w:t>. Oxford: Routledge.</w:t>
      </w:r>
      <w:r>
        <w:br/>
      </w:r>
    </w:p>
    <w:p xmlns:wp14="http://schemas.microsoft.com/office/word/2010/wordml" w:rsidP="129BED5F" wp14:paraId="7EBA6D8A" wp14:textId="59EFE6BA">
      <w:pPr>
        <w:shd w:val="clear" w:color="auto" w:fill="FFFFFF" w:themeFill="background1"/>
        <w:spacing w:before="0" w:beforeAutospacing="off" w:after="0" w:afterAutospacing="off"/>
      </w:pPr>
      <w:r w:rsidRPr="129BED5F" w:rsidR="05C4F23B">
        <w:rPr>
          <w:rFonts w:ascii="Arial" w:hAnsi="Arial" w:eastAsia="Arial" w:cs="Arial"/>
          <w:b w:val="0"/>
          <w:bCs w:val="0"/>
          <w:i w:val="0"/>
          <w:iCs w:val="0"/>
          <w:caps w:val="0"/>
          <w:smallCaps w:val="0"/>
          <w:noProof w:val="0"/>
          <w:color w:val="222222"/>
          <w:sz w:val="19"/>
          <w:szCs w:val="19"/>
          <w:lang w:val="en-US"/>
        </w:rPr>
        <w:t xml:space="preserve">Early Years Matters (2018) </w:t>
      </w:r>
      <w:r w:rsidRPr="129BED5F" w:rsidR="05C4F23B">
        <w:rPr>
          <w:rFonts w:ascii="Arial" w:hAnsi="Arial" w:eastAsia="Arial" w:cs="Arial"/>
          <w:b w:val="0"/>
          <w:bCs w:val="0"/>
          <w:i w:val="1"/>
          <w:iCs w:val="1"/>
          <w:caps w:val="0"/>
          <w:smallCaps w:val="0"/>
          <w:noProof w:val="0"/>
          <w:color w:val="222222"/>
          <w:sz w:val="19"/>
          <w:szCs w:val="19"/>
          <w:lang w:val="en-US"/>
        </w:rPr>
        <w:t xml:space="preserve">The important of play. </w:t>
      </w:r>
      <w:r w:rsidRPr="129BED5F" w:rsidR="05C4F23B">
        <w:rPr>
          <w:rFonts w:ascii="Arial" w:hAnsi="Arial" w:eastAsia="Arial" w:cs="Arial"/>
          <w:b w:val="0"/>
          <w:bCs w:val="0"/>
          <w:i w:val="0"/>
          <w:iCs w:val="0"/>
          <w:caps w:val="0"/>
          <w:smallCaps w:val="0"/>
          <w:noProof w:val="0"/>
          <w:color w:val="222222"/>
          <w:sz w:val="19"/>
          <w:szCs w:val="19"/>
          <w:lang w:val="en-US"/>
        </w:rPr>
        <w:t xml:space="preserve">Available at: </w:t>
      </w:r>
      <w:hyperlink r:id="R218cf50ec37b4332">
        <w:r w:rsidRPr="129BED5F" w:rsidR="05C4F23B">
          <w:rPr>
            <w:rStyle w:val="Hyperlink"/>
            <w:rFonts w:ascii="Arial" w:hAnsi="Arial" w:eastAsia="Arial" w:cs="Arial"/>
            <w:b w:val="0"/>
            <w:bCs w:val="0"/>
            <w:i w:val="0"/>
            <w:iCs w:val="0"/>
            <w:caps w:val="0"/>
            <w:smallCaps w:val="0"/>
            <w:noProof w:val="0"/>
            <w:color w:val="1155CC"/>
            <w:sz w:val="19"/>
            <w:szCs w:val="19"/>
            <w:lang w:val="en-US"/>
          </w:rPr>
          <w:t>http://www.earlyyearsmatters.co.uk/eyfs/a-unique-child/play-learning</w:t>
        </w:r>
      </w:hyperlink>
      <w:r w:rsidRPr="129BED5F" w:rsidR="05C4F23B">
        <w:rPr>
          <w:rFonts w:ascii="Arial" w:hAnsi="Arial" w:eastAsia="Arial" w:cs="Arial"/>
          <w:b w:val="0"/>
          <w:bCs w:val="0"/>
          <w:i w:val="0"/>
          <w:iCs w:val="0"/>
          <w:caps w:val="0"/>
          <w:smallCaps w:val="0"/>
          <w:noProof w:val="0"/>
          <w:color w:val="222222"/>
          <w:sz w:val="19"/>
          <w:szCs w:val="19"/>
          <w:lang w:val="en-US"/>
        </w:rPr>
        <w:t>. (Accessed: 12th September 2023).</w:t>
      </w:r>
    </w:p>
    <w:p xmlns:wp14="http://schemas.microsoft.com/office/word/2010/wordml" w:rsidP="129BED5F" wp14:paraId="070C9EDD" wp14:textId="3790913F">
      <w:pPr>
        <w:shd w:val="clear" w:color="auto" w:fill="FFFFFF" w:themeFill="background1"/>
        <w:spacing w:before="0" w:beforeAutospacing="off" w:after="0" w:afterAutospacing="off"/>
      </w:pPr>
    </w:p>
    <w:p xmlns:wp14="http://schemas.microsoft.com/office/word/2010/wordml" w:rsidP="129BED5F" wp14:paraId="39B4E793" wp14:textId="1493D7F8">
      <w:pPr>
        <w:shd w:val="clear" w:color="auto" w:fill="FFFFFF" w:themeFill="background1"/>
        <w:spacing w:before="0" w:beforeAutospacing="off" w:after="0" w:afterAutospacing="off"/>
      </w:pPr>
      <w:r w:rsidRPr="129BED5F" w:rsidR="05C4F23B">
        <w:rPr>
          <w:rFonts w:ascii="Arial" w:hAnsi="Arial" w:eastAsia="Arial" w:cs="Arial"/>
          <w:b w:val="0"/>
          <w:bCs w:val="0"/>
          <w:i w:val="0"/>
          <w:iCs w:val="0"/>
          <w:caps w:val="0"/>
          <w:smallCaps w:val="0"/>
          <w:noProof w:val="0"/>
          <w:color w:val="222222"/>
          <w:sz w:val="19"/>
          <w:szCs w:val="19"/>
          <w:lang w:val="en-US"/>
        </w:rPr>
        <w:t xml:space="preserve"> </w:t>
      </w:r>
    </w:p>
    <w:p xmlns:wp14="http://schemas.microsoft.com/office/word/2010/wordml" w:rsidP="129BED5F" wp14:paraId="2BA5EE75" wp14:textId="78057B42">
      <w:pPr>
        <w:shd w:val="clear" w:color="auto" w:fill="FFFFFF" w:themeFill="background1"/>
        <w:spacing w:before="0" w:beforeAutospacing="off" w:after="0" w:afterAutospacing="off"/>
      </w:pPr>
      <w:r w:rsidRPr="129BED5F" w:rsidR="1EB6F6EC">
        <w:rPr>
          <w:rFonts w:ascii="Arial" w:hAnsi="Arial" w:eastAsia="Arial" w:cs="Arial"/>
          <w:b w:val="0"/>
          <w:bCs w:val="0"/>
          <w:i w:val="0"/>
          <w:iCs w:val="0"/>
          <w:caps w:val="0"/>
          <w:smallCaps w:val="0"/>
          <w:noProof w:val="0"/>
          <w:color w:val="222222"/>
          <w:sz w:val="19"/>
          <w:szCs w:val="19"/>
          <w:lang w:val="en-US"/>
        </w:rPr>
        <w:t xml:space="preserve">Herrington, S. and Brussoni, M. (2015) ‘Beyond Physical Activity: The Importance of Play and Nature-Based Play spaces for children’s Health and Development’, </w:t>
      </w:r>
      <w:r w:rsidRPr="129BED5F" w:rsidR="1EB6F6EC">
        <w:rPr>
          <w:rFonts w:ascii="Arial" w:hAnsi="Arial" w:eastAsia="Arial" w:cs="Arial"/>
          <w:b w:val="0"/>
          <w:bCs w:val="0"/>
          <w:i w:val="1"/>
          <w:iCs w:val="1"/>
          <w:caps w:val="0"/>
          <w:smallCaps w:val="0"/>
          <w:noProof w:val="0"/>
          <w:color w:val="222222"/>
          <w:sz w:val="19"/>
          <w:szCs w:val="19"/>
          <w:lang w:val="en-US"/>
        </w:rPr>
        <w:t>Current Obesity Reports</w:t>
      </w:r>
      <w:r w:rsidRPr="129BED5F" w:rsidR="1EB6F6EC">
        <w:rPr>
          <w:rFonts w:ascii="Arial" w:hAnsi="Arial" w:eastAsia="Arial" w:cs="Arial"/>
          <w:b w:val="0"/>
          <w:bCs w:val="0"/>
          <w:i w:val="0"/>
          <w:iCs w:val="0"/>
          <w:caps w:val="0"/>
          <w:smallCaps w:val="0"/>
          <w:noProof w:val="0"/>
          <w:color w:val="222222"/>
          <w:sz w:val="19"/>
          <w:szCs w:val="19"/>
          <w:lang w:val="en-US"/>
        </w:rPr>
        <w:t>, 4(4), pp.477-483.</w:t>
      </w:r>
    </w:p>
    <w:p xmlns:wp14="http://schemas.microsoft.com/office/word/2010/wordml" w:rsidP="129BED5F" wp14:paraId="0F8838C4" wp14:textId="5BDD6014">
      <w:pPr>
        <w:shd w:val="clear" w:color="auto" w:fill="FFFFFF" w:themeFill="background1"/>
        <w:spacing w:before="0" w:beforeAutospacing="off" w:after="0" w:afterAutospacing="off"/>
      </w:pPr>
      <w:r>
        <w:br/>
      </w:r>
    </w:p>
    <w:p xmlns:wp14="http://schemas.microsoft.com/office/word/2010/wordml" w:rsidP="129BED5F" wp14:paraId="0A8F0926" wp14:textId="01CE2CD6">
      <w:pPr>
        <w:shd w:val="clear" w:color="auto" w:fill="FFFFFF" w:themeFill="background1"/>
        <w:spacing w:before="0" w:beforeAutospacing="off" w:after="0" w:afterAutospacing="off"/>
      </w:pPr>
      <w:r w:rsidRPr="129BED5F" w:rsidR="05C4F23B">
        <w:rPr>
          <w:rFonts w:ascii="Arial" w:hAnsi="Arial" w:eastAsia="Arial" w:cs="Arial"/>
          <w:b w:val="0"/>
          <w:bCs w:val="0"/>
          <w:i w:val="0"/>
          <w:iCs w:val="0"/>
          <w:caps w:val="0"/>
          <w:smallCaps w:val="0"/>
          <w:noProof w:val="0"/>
          <w:color w:val="222222"/>
          <w:sz w:val="19"/>
          <w:szCs w:val="19"/>
          <w:lang w:val="en-US"/>
        </w:rPr>
        <w:t xml:space="preserve">Moyles, J. (2010) </w:t>
      </w:r>
      <w:r w:rsidRPr="129BED5F" w:rsidR="05C4F23B">
        <w:rPr>
          <w:rFonts w:ascii="Arial" w:hAnsi="Arial" w:eastAsia="Arial" w:cs="Arial"/>
          <w:b w:val="0"/>
          <w:bCs w:val="0"/>
          <w:i w:val="1"/>
          <w:iCs w:val="1"/>
          <w:caps w:val="0"/>
          <w:smallCaps w:val="0"/>
          <w:noProof w:val="0"/>
          <w:color w:val="222222"/>
          <w:sz w:val="19"/>
          <w:szCs w:val="19"/>
          <w:lang w:val="en-US"/>
        </w:rPr>
        <w:t>The Excellent of Play.</w:t>
      </w:r>
      <w:r w:rsidRPr="129BED5F" w:rsidR="05C4F23B">
        <w:rPr>
          <w:rFonts w:ascii="Arial" w:hAnsi="Arial" w:eastAsia="Arial" w:cs="Arial"/>
          <w:b w:val="0"/>
          <w:bCs w:val="0"/>
          <w:i w:val="0"/>
          <w:iCs w:val="0"/>
          <w:caps w:val="0"/>
          <w:smallCaps w:val="0"/>
          <w:noProof w:val="0"/>
          <w:color w:val="222222"/>
          <w:sz w:val="19"/>
          <w:szCs w:val="19"/>
          <w:lang w:val="en-US"/>
        </w:rPr>
        <w:t xml:space="preserve">[Online]. Berkshire: Open University Press. </w:t>
      </w:r>
    </w:p>
    <w:p xmlns:wp14="http://schemas.microsoft.com/office/word/2010/wordml" w:rsidP="129BED5F" wp14:paraId="04D020A4" wp14:textId="62B41691">
      <w:pPr>
        <w:shd w:val="clear" w:color="auto" w:fill="FFFFFF" w:themeFill="background1"/>
        <w:spacing w:before="0" w:beforeAutospacing="off" w:after="0" w:afterAutospacing="off"/>
      </w:pPr>
    </w:p>
    <w:p xmlns:wp14="http://schemas.microsoft.com/office/word/2010/wordml" w:rsidP="129BED5F" wp14:paraId="4D4119D8" wp14:textId="341E1D99">
      <w:pPr>
        <w:shd w:val="clear" w:color="auto" w:fill="FFFFFF" w:themeFill="background1"/>
        <w:spacing w:before="0" w:beforeAutospacing="off" w:after="0" w:afterAutospacing="off"/>
      </w:pPr>
      <w:r w:rsidRPr="129BED5F" w:rsidR="05C4F23B">
        <w:rPr>
          <w:rFonts w:ascii="Arial" w:hAnsi="Arial" w:eastAsia="Arial" w:cs="Arial"/>
          <w:b w:val="0"/>
          <w:bCs w:val="0"/>
          <w:i w:val="0"/>
          <w:iCs w:val="0"/>
          <w:caps w:val="0"/>
          <w:smallCaps w:val="0"/>
          <w:noProof w:val="0"/>
          <w:color w:val="222222"/>
          <w:sz w:val="19"/>
          <w:szCs w:val="19"/>
          <w:lang w:val="en-US"/>
        </w:rPr>
        <w:t xml:space="preserve">Whitehead, D., Basilio, M., Kuvalja, M. and Verma, M. (2012) </w:t>
      </w:r>
      <w:r w:rsidRPr="129BED5F" w:rsidR="05C4F23B">
        <w:rPr>
          <w:rFonts w:ascii="Arial" w:hAnsi="Arial" w:eastAsia="Arial" w:cs="Arial"/>
          <w:b w:val="0"/>
          <w:bCs w:val="0"/>
          <w:i w:val="1"/>
          <w:iCs w:val="1"/>
          <w:caps w:val="0"/>
          <w:smallCaps w:val="0"/>
          <w:noProof w:val="0"/>
          <w:color w:val="222222"/>
          <w:sz w:val="19"/>
          <w:szCs w:val="19"/>
          <w:lang w:val="en-US"/>
        </w:rPr>
        <w:t>The importance of play.</w:t>
      </w:r>
      <w:r w:rsidRPr="129BED5F" w:rsidR="05C4F23B">
        <w:rPr>
          <w:rFonts w:ascii="Arial" w:hAnsi="Arial" w:eastAsia="Arial" w:cs="Arial"/>
          <w:b w:val="0"/>
          <w:bCs w:val="0"/>
          <w:i w:val="0"/>
          <w:iCs w:val="0"/>
          <w:caps w:val="0"/>
          <w:smallCaps w:val="0"/>
          <w:noProof w:val="0"/>
          <w:color w:val="222222"/>
          <w:sz w:val="19"/>
          <w:szCs w:val="19"/>
          <w:lang w:val="en-US"/>
        </w:rPr>
        <w:t xml:space="preserve"> Available at: </w:t>
      </w:r>
      <w:hyperlink r:id="R3329082c230940e5">
        <w:r w:rsidRPr="129BED5F" w:rsidR="05C4F23B">
          <w:rPr>
            <w:rStyle w:val="Hyperlink"/>
            <w:rFonts w:ascii="Arial" w:hAnsi="Arial" w:eastAsia="Arial" w:cs="Arial"/>
            <w:b w:val="0"/>
            <w:bCs w:val="0"/>
            <w:i w:val="0"/>
            <w:iCs w:val="0"/>
            <w:caps w:val="0"/>
            <w:smallCaps w:val="0"/>
            <w:noProof w:val="0"/>
            <w:color w:val="1155CC"/>
            <w:sz w:val="19"/>
            <w:szCs w:val="19"/>
            <w:lang w:val="en-US"/>
          </w:rPr>
          <w:t>http://www.importanceofplay.eu/IMG/pdf/dr</w:t>
        </w:r>
      </w:hyperlink>
      <w:r w:rsidRPr="129BED5F" w:rsidR="05C4F23B">
        <w:rPr>
          <w:rFonts w:ascii="Arial" w:hAnsi="Arial" w:eastAsia="Arial" w:cs="Arial"/>
          <w:b w:val="0"/>
          <w:bCs w:val="0"/>
          <w:i w:val="0"/>
          <w:iCs w:val="0"/>
          <w:caps w:val="0"/>
          <w:smallCaps w:val="0"/>
          <w:noProof w:val="0"/>
          <w:color w:val="222222"/>
          <w:sz w:val="19"/>
          <w:szCs w:val="19"/>
          <w:lang w:val="en-US"/>
        </w:rPr>
        <w:t xml:space="preserve"> david whitebread the importance of play.pdf. (Accessed: 13th September 2023). </w:t>
      </w:r>
    </w:p>
    <w:p xmlns:wp14="http://schemas.microsoft.com/office/word/2010/wordml" w:rsidP="129BED5F" wp14:paraId="2C078E63" wp14:textId="615D6BFB">
      <w:pPr>
        <w:pStyle w:val="Normal"/>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14815E"/>
    <w:rsid w:val="05C4F23B"/>
    <w:rsid w:val="0ADBDED2"/>
    <w:rsid w:val="129BED5F"/>
    <w:rsid w:val="1D9F1091"/>
    <w:rsid w:val="1EB6F6EC"/>
    <w:rsid w:val="224CBDA1"/>
    <w:rsid w:val="7CDCE7DF"/>
    <w:rsid w:val="7D148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815E"/>
  <w15:chartTrackingRefBased/>
  <w15:docId w15:val="{94AF1207-0B30-47C4-BAC8-8CB47D5DB8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earlyyearsmatters.co.uk/eyfs/a-unique-child/play-learning" TargetMode="External" Id="R218cf50ec37b4332" /><Relationship Type="http://schemas.openxmlformats.org/officeDocument/2006/relationships/hyperlink" Target="http://www.importanceofplay.eu/IMG/pdf/dr" TargetMode="External" Id="R3329082c230940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2023-09-17T16:36:33.3156286Z</dcterms:created>
  <dcterms:modified xsi:type="dcterms:W3CDTF">2023-09-17T16:41:20.8449115Z</dcterms:modified>
  <dc:creator>Ryan Morgans (2316355)</dc:creator>
  <lastModifiedBy>Ryan Morgans (2316355)</lastModifiedBy>
</coreProperties>
</file>