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FA63E4" w14:textId="33EEEDE2" w:rsidR="009E540C" w:rsidRPr="007D4496" w:rsidRDefault="009E540C" w:rsidP="008F5159">
      <w:pPr>
        <w:rPr>
          <w:rFonts w:ascii="Arial" w:hAnsi="Arial" w:cs="Arial"/>
          <w:b/>
          <w:bCs/>
          <w:sz w:val="48"/>
          <w:szCs w:val="48"/>
        </w:rPr>
      </w:pPr>
      <w:bookmarkStart w:id="0" w:name="OLE_LINK2"/>
      <w:r w:rsidRPr="008F5159">
        <w:rPr>
          <w:rFonts w:ascii="Arial" w:hAnsi="Arial" w:cs="Arial"/>
          <w:b/>
          <w:bCs/>
          <w:sz w:val="48"/>
          <w:szCs w:val="48"/>
        </w:rPr>
        <w:t>BMHP6029</w:t>
      </w:r>
    </w:p>
    <w:p w14:paraId="437614E2" w14:textId="26232976" w:rsidR="008F5159" w:rsidRDefault="009E540C" w:rsidP="008F5159">
      <w:pPr>
        <w:rPr>
          <w:rFonts w:ascii="Arial" w:hAnsi="Arial" w:cs="Arial"/>
          <w:b/>
          <w:bCs/>
          <w:sz w:val="48"/>
          <w:szCs w:val="48"/>
        </w:rPr>
      </w:pPr>
      <w:r w:rsidRPr="007D4496">
        <w:rPr>
          <w:rFonts w:ascii="Arial" w:hAnsi="Arial" w:cs="Arial"/>
          <w:b/>
          <w:bCs/>
          <w:sz w:val="48"/>
          <w:szCs w:val="48"/>
        </w:rPr>
        <w:t xml:space="preserve">PSYCHOPATHOLOGICAL CLASSIFICATIONS AND PROVISIONS </w:t>
      </w:r>
    </w:p>
    <w:p w14:paraId="4822A9E0" w14:textId="77777777" w:rsidR="00A97898" w:rsidRDefault="00A97898" w:rsidP="008F5159">
      <w:pPr>
        <w:rPr>
          <w:rFonts w:ascii="Arial" w:hAnsi="Arial" w:cs="Arial"/>
          <w:b/>
          <w:bCs/>
          <w:sz w:val="48"/>
          <w:szCs w:val="48"/>
        </w:rPr>
      </w:pPr>
    </w:p>
    <w:p w14:paraId="3062390F" w14:textId="77777777" w:rsidR="00A97898" w:rsidRDefault="00A97898" w:rsidP="008F5159">
      <w:pPr>
        <w:rPr>
          <w:rFonts w:ascii="Arial" w:hAnsi="Arial" w:cs="Arial"/>
          <w:b/>
          <w:bCs/>
          <w:sz w:val="48"/>
          <w:szCs w:val="48"/>
        </w:rPr>
      </w:pPr>
    </w:p>
    <w:p w14:paraId="32AF1EE3" w14:textId="3E1C4515" w:rsidR="00A97898" w:rsidRDefault="00B726A4" w:rsidP="008F5159">
      <w:pPr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b/>
          <w:bCs/>
          <w:sz w:val="48"/>
          <w:szCs w:val="48"/>
        </w:rPr>
        <w:t xml:space="preserve">LECTURER: </w:t>
      </w:r>
      <w:r w:rsidR="00835C6A">
        <w:rPr>
          <w:rFonts w:ascii="Arial" w:hAnsi="Arial" w:cs="Arial"/>
          <w:b/>
          <w:bCs/>
          <w:sz w:val="48"/>
          <w:szCs w:val="48"/>
        </w:rPr>
        <w:tab/>
      </w:r>
      <w:r w:rsidR="00835C6A" w:rsidRPr="00C94D8B"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  <w:t>OLUWADAMILOLA</w:t>
      </w:r>
      <w:r w:rsidR="00C94D8B"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  <w:t xml:space="preserve"> TAYO</w:t>
      </w:r>
    </w:p>
    <w:p w14:paraId="6C451BBD" w14:textId="44561F73" w:rsidR="00C94D8B" w:rsidRDefault="00C94D8B" w:rsidP="008F5159">
      <w:pPr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</w:pP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>STUDENT:</w:t>
      </w: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ab/>
      </w: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ab/>
      </w:r>
      <w:r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  <w:t>SOBIA HUSSAIN</w:t>
      </w:r>
    </w:p>
    <w:p w14:paraId="1BDAF789" w14:textId="034988CC" w:rsidR="00CB22B1" w:rsidRDefault="00CB22B1" w:rsidP="008F5159">
      <w:pPr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</w:pP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>ID:</w:t>
      </w: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ab/>
      </w: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ab/>
      </w: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ab/>
      </w: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ab/>
      </w: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ab/>
      </w:r>
      <w:r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  <w:t>2409460</w:t>
      </w:r>
    </w:p>
    <w:p w14:paraId="1F5947C6" w14:textId="77777777" w:rsidR="00013481" w:rsidRDefault="00013481" w:rsidP="008F5159">
      <w:pPr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</w:pPr>
    </w:p>
    <w:p w14:paraId="43FEDF5E" w14:textId="77777777" w:rsidR="00013481" w:rsidRDefault="00013481" w:rsidP="008F5159">
      <w:pPr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</w:pPr>
    </w:p>
    <w:p w14:paraId="072E806F" w14:textId="5C87E247" w:rsidR="00013481" w:rsidRDefault="00013481" w:rsidP="008F5159">
      <w:pP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</w:pPr>
      <w:r>
        <w:rPr>
          <w:rStyle w:val="Strong"/>
          <w:rFonts w:ascii="Segoe UI" w:hAnsi="Segoe UI" w:cs="Segoe UI"/>
          <w:color w:val="1D2125"/>
          <w:sz w:val="48"/>
          <w:szCs w:val="48"/>
          <w:shd w:val="clear" w:color="auto" w:fill="FFFFFF"/>
        </w:rPr>
        <w:t>COMPONENT 1</w:t>
      </w:r>
    </w:p>
    <w:p w14:paraId="098EA7F2" w14:textId="5A2F3CEF" w:rsidR="00013481" w:rsidRDefault="00013481" w:rsidP="008F5159">
      <w:pPr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</w:pPr>
      <w:r>
        <w:rPr>
          <w:rStyle w:val="Strong"/>
          <w:rFonts w:ascii="Segoe UI" w:hAnsi="Segoe UI" w:cs="Segoe UI"/>
          <w:b w:val="0"/>
          <w:bCs w:val="0"/>
          <w:color w:val="1D2125"/>
          <w:sz w:val="48"/>
          <w:szCs w:val="48"/>
          <w:shd w:val="clear" w:color="auto" w:fill="FFFFFF"/>
        </w:rPr>
        <w:t>POSTER</w:t>
      </w:r>
    </w:p>
    <w:p w14:paraId="44E74B66" w14:textId="77777777" w:rsidR="00E52AB3" w:rsidRPr="008F5159" w:rsidRDefault="00E52AB3" w:rsidP="008F5159">
      <w:pPr>
        <w:rPr>
          <w:rFonts w:ascii="Arial" w:hAnsi="Arial" w:cs="Arial"/>
          <w:sz w:val="48"/>
          <w:szCs w:val="48"/>
        </w:rPr>
      </w:pPr>
    </w:p>
    <w:p w14:paraId="07E845D1" w14:textId="77777777" w:rsidR="00E52AB3" w:rsidRDefault="00E52AB3" w:rsidP="00E52AB3">
      <w:pPr>
        <w:spacing w:line="360" w:lineRule="auto"/>
        <w:rPr>
          <w:rFonts w:ascii="Arial" w:hAnsi="Arial" w:cs="Arial"/>
          <w:sz w:val="22"/>
          <w:szCs w:val="22"/>
        </w:rPr>
      </w:pPr>
      <w:r w:rsidRPr="00B04ABA">
        <w:rPr>
          <w:rFonts w:ascii="Arial" w:hAnsi="Arial" w:cs="Arial"/>
          <w:sz w:val="22"/>
          <w:szCs w:val="22"/>
          <w:lang w:val="en-GB"/>
        </w:rPr>
        <w:t>Acknowledgement of the use of AI tools</w:t>
      </w:r>
    </w:p>
    <w:p w14:paraId="74CB07F0" w14:textId="77777777" w:rsidR="00E52AB3" w:rsidRPr="00697152" w:rsidRDefault="00E52AB3" w:rsidP="00E52AB3">
      <w:pPr>
        <w:spacing w:line="360" w:lineRule="auto"/>
        <w:rPr>
          <w:rFonts w:ascii="Arial" w:hAnsi="Arial" w:cs="Arial"/>
          <w:sz w:val="22"/>
          <w:szCs w:val="22"/>
        </w:rPr>
      </w:pPr>
      <w:r w:rsidRPr="00F77970">
        <w:rPr>
          <w:rFonts w:ascii="Arial" w:hAnsi="Arial" w:cs="Arial"/>
          <w:sz w:val="22"/>
          <w:szCs w:val="22"/>
        </w:rPr>
        <w:t>I acknowledge the use of Canva to support the design, layout and visual presentation of this academic poster</w:t>
      </w:r>
      <w:r>
        <w:rPr>
          <w:rFonts w:ascii="Arial" w:hAnsi="Arial" w:cs="Arial"/>
          <w:sz w:val="22"/>
          <w:szCs w:val="22"/>
        </w:rPr>
        <w:t xml:space="preserve">. </w:t>
      </w:r>
      <w:r w:rsidRPr="00697152">
        <w:rPr>
          <w:rFonts w:ascii="Arial" w:hAnsi="Arial" w:cs="Arial"/>
          <w:sz w:val="22"/>
          <w:szCs w:val="22"/>
          <w:lang w:val="en-GB"/>
        </w:rPr>
        <w:t xml:space="preserve">I confirm I have copies of my drafts, notes, and other resources I used, which I may be asked to provide </w:t>
      </w:r>
      <w:r>
        <w:rPr>
          <w:rFonts w:ascii="Arial" w:hAnsi="Arial" w:cs="Arial"/>
          <w:sz w:val="22"/>
          <w:szCs w:val="22"/>
          <w:lang w:val="en-GB"/>
        </w:rPr>
        <w:t>as</w:t>
      </w:r>
      <w:r w:rsidRPr="00697152">
        <w:rPr>
          <w:rFonts w:ascii="Arial" w:hAnsi="Arial" w:cs="Arial"/>
          <w:sz w:val="22"/>
          <w:szCs w:val="22"/>
          <w:lang w:val="en-GB"/>
        </w:rPr>
        <w:t xml:space="preserve"> evidence</w:t>
      </w:r>
      <w:r>
        <w:rPr>
          <w:rFonts w:ascii="Arial" w:hAnsi="Arial" w:cs="Arial"/>
          <w:sz w:val="22"/>
          <w:szCs w:val="22"/>
          <w:lang w:val="en-GB"/>
        </w:rPr>
        <w:t>.</w:t>
      </w:r>
    </w:p>
    <w:bookmarkEnd w:id="0"/>
    <w:p w14:paraId="17D4A9E6" w14:textId="77777777" w:rsidR="005C002C" w:rsidRDefault="005C002C">
      <w:pPr>
        <w:rPr>
          <w:rFonts w:ascii="Arial Narrow" w:hAnsi="Arial Narrow"/>
          <w:b/>
          <w:bCs/>
          <w:sz w:val="48"/>
          <w:szCs w:val="48"/>
        </w:rPr>
        <w:sectPr w:rsidR="005C002C" w:rsidSect="00D9093F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0E5A9893" w14:textId="17F3DAE3" w:rsidR="007D4274" w:rsidRPr="000E0D0C" w:rsidRDefault="00A820B3">
      <w:pPr>
        <w:rPr>
          <w:rFonts w:ascii="Arial Narrow" w:hAnsi="Arial Narrow"/>
          <w:b/>
          <w:sz w:val="20"/>
          <w:szCs w:val="20"/>
        </w:rPr>
        <w:sectPr w:rsidR="007D4274" w:rsidRPr="000E0D0C" w:rsidSect="007D4274">
          <w:pgSz w:w="16838" w:h="11906" w:orient="landscape"/>
          <w:pgMar w:top="1440" w:right="1440" w:bottom="1440" w:left="1440" w:header="720" w:footer="720" w:gutter="0"/>
          <w:cols w:space="720"/>
          <w:docGrid w:linePitch="360"/>
        </w:sectPr>
      </w:pPr>
      <w:r>
        <w:drawing>
          <wp:inline distT="0" distB="0" distL="0" distR="0" wp14:anchorId="0120FC14" wp14:editId="1646EC07">
            <wp:extent cx="8834120" cy="5731510"/>
            <wp:effectExtent l="0" t="0" r="5080" b="0"/>
            <wp:docPr id="151373310" name="Picture 9" descr="A poster with colorful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73310" name="Picture 9" descr="A poster with colorful text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3412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E02DF" w14:textId="3C7C32BC" w:rsidR="008F4469" w:rsidRPr="000E0D0C" w:rsidRDefault="008F4469" w:rsidP="3E2556E4">
      <w:pPr>
        <w:jc w:val="center"/>
        <w:rPr>
          <w:rFonts w:ascii="Arial" w:hAnsi="Arial" w:cs="Arial"/>
          <w:b/>
          <w:bCs/>
          <w:sz w:val="20"/>
          <w:szCs w:val="20"/>
        </w:rPr>
      </w:pPr>
      <w:r w:rsidRPr="000E0D0C">
        <w:rPr>
          <w:rFonts w:ascii="Arial" w:hAnsi="Arial" w:cs="Arial"/>
          <w:b/>
          <w:bCs/>
          <w:sz w:val="20"/>
          <w:szCs w:val="20"/>
        </w:rPr>
        <w:t xml:space="preserve">References </w:t>
      </w:r>
    </w:p>
    <w:p w14:paraId="125F6610" w14:textId="77777777" w:rsidR="00552B00" w:rsidRPr="000E0D0C" w:rsidRDefault="00552B00" w:rsidP="00552B00">
      <w:pPr>
        <w:ind w:left="2880" w:firstLine="720"/>
        <w:rPr>
          <w:rFonts w:ascii="Arial" w:hAnsi="Arial" w:cs="Arial"/>
          <w:b/>
          <w:bCs/>
          <w:sz w:val="20"/>
          <w:szCs w:val="20"/>
        </w:rPr>
      </w:pPr>
    </w:p>
    <w:p w14:paraId="759F27EA" w14:textId="3B11D77B" w:rsidR="005538DA" w:rsidRPr="000E0D0C" w:rsidRDefault="008F4469" w:rsidP="00EA6FF1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Blanco-Vieira, T., </w:t>
      </w:r>
      <w:proofErr w:type="spellStart"/>
      <w:r w:rsidRPr="000E0D0C">
        <w:rPr>
          <w:rFonts w:ascii="Arial" w:hAnsi="Arial" w:cs="Arial"/>
          <w:sz w:val="20"/>
          <w:szCs w:val="20"/>
        </w:rPr>
        <w:t>Radua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J., Marcelino, L. </w:t>
      </w:r>
      <w:r w:rsidRPr="000E0D0C">
        <w:rPr>
          <w:rFonts w:ascii="Arial" w:hAnsi="Arial" w:cs="Arial"/>
          <w:i/>
          <w:iCs/>
          <w:sz w:val="20"/>
          <w:szCs w:val="20"/>
        </w:rPr>
        <w:t>et al.</w:t>
      </w:r>
      <w:r w:rsidRPr="000E0D0C">
        <w:rPr>
          <w:rFonts w:ascii="Arial" w:hAnsi="Arial" w:cs="Arial"/>
          <w:sz w:val="20"/>
          <w:szCs w:val="20"/>
        </w:rPr>
        <w:t xml:space="preserve"> (2023) ‘The genetic epidemiology of obsessive-compulsive disorder: a systematic review and meta-analysis’, </w:t>
      </w:r>
      <w:proofErr w:type="spellStart"/>
      <w:r w:rsidRPr="000E0D0C">
        <w:rPr>
          <w:rFonts w:ascii="Arial" w:hAnsi="Arial" w:cs="Arial"/>
          <w:i/>
          <w:iCs/>
          <w:sz w:val="20"/>
          <w:szCs w:val="20"/>
        </w:rPr>
        <w:t>TranslationalPsychiatry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13, 230. </w:t>
      </w:r>
    </w:p>
    <w:p w14:paraId="395030C3" w14:textId="625CC3AE" w:rsidR="008F4469" w:rsidRPr="000E0D0C" w:rsidRDefault="008F4469" w:rsidP="00EA6FF1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>Available at: </w:t>
      </w:r>
      <w:hyperlink r:id="rId6" w:history="1">
        <w:r w:rsidR="0042105D" w:rsidRPr="000E0D0C">
          <w:rPr>
            <w:rStyle w:val="Hyperlink"/>
            <w:rFonts w:ascii="Arial" w:hAnsi="Arial" w:cs="Arial"/>
            <w:sz w:val="20"/>
            <w:szCs w:val="20"/>
          </w:rPr>
          <w:t>https://doi.org/10.1038/s41398-023-02433-2</w:t>
        </w:r>
      </w:hyperlink>
      <w:r w:rsidR="0042105D" w:rsidRPr="000E0D0C">
        <w:rPr>
          <w:rFonts w:ascii="Arial" w:hAnsi="Arial" w:cs="Arial"/>
          <w:sz w:val="20"/>
          <w:szCs w:val="20"/>
        </w:rPr>
        <w:t xml:space="preserve"> </w:t>
      </w:r>
      <w:r w:rsidRPr="000E0D0C">
        <w:rPr>
          <w:rFonts w:ascii="Segoe UI Symbol" w:hAnsi="Segoe UI Symbol" w:cs="Segoe UI Symbol"/>
          <w:sz w:val="20"/>
          <w:szCs w:val="20"/>
        </w:rPr>
        <w:t>⁠</w:t>
      </w:r>
      <w:r w:rsidR="0042105D" w:rsidRPr="000E0D0C">
        <w:rPr>
          <w:rFonts w:ascii="Arial" w:hAnsi="Arial" w:cs="Arial"/>
          <w:sz w:val="20"/>
          <w:szCs w:val="20"/>
        </w:rPr>
        <w:t xml:space="preserve"> </w:t>
      </w:r>
      <w:r w:rsidRPr="000E0D0C">
        <w:rPr>
          <w:rFonts w:ascii="Arial" w:hAnsi="Arial" w:cs="Arial"/>
          <w:sz w:val="20"/>
          <w:szCs w:val="20"/>
        </w:rPr>
        <w:t>(Accessed: 5 October 2026).</w:t>
      </w:r>
    </w:p>
    <w:p w14:paraId="64821EC1" w14:textId="77777777" w:rsidR="00793EB3" w:rsidRPr="000E0D0C" w:rsidRDefault="00793EB3" w:rsidP="00C61961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562AAB11" w14:textId="49F28613" w:rsidR="0042105D" w:rsidRPr="000E0D0C" w:rsidRDefault="008F4469" w:rsidP="00EA6FF1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Cefalu, P. (2010) ‘The doubting disease: religious scrupulosity and obsessive-compulsive disorder in historical context’, </w:t>
      </w:r>
      <w:r w:rsidRPr="000E0D0C">
        <w:rPr>
          <w:rFonts w:ascii="Arial" w:hAnsi="Arial" w:cs="Arial"/>
          <w:i/>
          <w:iCs/>
          <w:sz w:val="20"/>
          <w:szCs w:val="20"/>
        </w:rPr>
        <w:t>Journal of Medical Humanities</w:t>
      </w:r>
      <w:r w:rsidRPr="000E0D0C">
        <w:rPr>
          <w:rFonts w:ascii="Arial" w:hAnsi="Arial" w:cs="Arial"/>
          <w:sz w:val="20"/>
          <w:szCs w:val="20"/>
        </w:rPr>
        <w:t xml:space="preserve">, 31(2), pp. 111–125. </w:t>
      </w:r>
    </w:p>
    <w:p w14:paraId="546B80BB" w14:textId="77A3C869" w:rsidR="008F4469" w:rsidRPr="000E0D0C" w:rsidRDefault="008F4469" w:rsidP="00EA6FF1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>Available at: </w:t>
      </w:r>
      <w:hyperlink r:id="rId7" w:history="1">
        <w:r w:rsidR="001C74BA" w:rsidRPr="000E0D0C">
          <w:rPr>
            <w:rStyle w:val="Hyperlink"/>
            <w:rFonts w:ascii="Arial" w:hAnsi="Arial" w:cs="Arial"/>
            <w:sz w:val="20"/>
            <w:szCs w:val="20"/>
          </w:rPr>
          <w:t>https://doi.org/10.1007/s10912-010-9107-3</w:t>
        </w:r>
      </w:hyperlink>
      <w:r w:rsidR="001C74BA" w:rsidRPr="000E0D0C">
        <w:rPr>
          <w:rFonts w:ascii="Arial" w:hAnsi="Arial" w:cs="Arial"/>
          <w:sz w:val="20"/>
          <w:szCs w:val="20"/>
        </w:rPr>
        <w:t xml:space="preserve"> </w:t>
      </w:r>
      <w:r w:rsidRPr="000E0D0C">
        <w:rPr>
          <w:rFonts w:ascii="Segoe UI Symbol" w:hAnsi="Segoe UI Symbol" w:cs="Segoe UI Symbol"/>
          <w:sz w:val="20"/>
          <w:szCs w:val="20"/>
        </w:rPr>
        <w:t>⁠</w:t>
      </w:r>
      <w:proofErr w:type="gramStart"/>
      <w:r w:rsidR="001C74BA" w:rsidRPr="000E0D0C">
        <w:rPr>
          <w:rFonts w:ascii="Segoe UI Symbol" w:hAnsi="Segoe UI Symbol" w:cs="Segoe UI Symbol"/>
          <w:sz w:val="20"/>
          <w:szCs w:val="20"/>
        </w:rPr>
        <w:t xml:space="preserve"> </w:t>
      </w:r>
      <w:r w:rsidR="001C74BA" w:rsidRPr="000E0D0C">
        <w:rPr>
          <w:rFonts w:ascii="Arial" w:hAnsi="Arial" w:cs="Arial"/>
          <w:sz w:val="20"/>
          <w:szCs w:val="20"/>
        </w:rPr>
        <w:t xml:space="preserve">  </w:t>
      </w:r>
      <w:r w:rsidRPr="000E0D0C">
        <w:rPr>
          <w:rFonts w:ascii="Arial" w:hAnsi="Arial" w:cs="Arial"/>
          <w:sz w:val="20"/>
          <w:szCs w:val="20"/>
        </w:rPr>
        <w:t>(</w:t>
      </w:r>
      <w:proofErr w:type="gramEnd"/>
      <w:r w:rsidRPr="000E0D0C">
        <w:rPr>
          <w:rFonts w:ascii="Arial" w:hAnsi="Arial" w:cs="Arial"/>
          <w:sz w:val="20"/>
          <w:szCs w:val="20"/>
        </w:rPr>
        <w:t>Accessed: 5 October 2026).</w:t>
      </w:r>
    </w:p>
    <w:p w14:paraId="7C259BCB" w14:textId="77777777" w:rsidR="00C61961" w:rsidRPr="000E0D0C" w:rsidRDefault="008F4469" w:rsidP="00EA6FF1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Cohen, S.E., </w:t>
      </w:r>
      <w:proofErr w:type="spellStart"/>
      <w:r w:rsidRPr="000E0D0C">
        <w:rPr>
          <w:rFonts w:ascii="Arial" w:hAnsi="Arial" w:cs="Arial"/>
          <w:sz w:val="20"/>
          <w:szCs w:val="20"/>
        </w:rPr>
        <w:t>Zantvoord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J.B., </w:t>
      </w:r>
      <w:proofErr w:type="spellStart"/>
      <w:r w:rsidRPr="000E0D0C">
        <w:rPr>
          <w:rFonts w:ascii="Arial" w:hAnsi="Arial" w:cs="Arial"/>
          <w:sz w:val="20"/>
          <w:szCs w:val="20"/>
        </w:rPr>
        <w:t>Storosum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B.W.C., Mattila, T.K., </w:t>
      </w:r>
      <w:proofErr w:type="spellStart"/>
      <w:r w:rsidRPr="000E0D0C">
        <w:rPr>
          <w:rFonts w:ascii="Arial" w:hAnsi="Arial" w:cs="Arial"/>
          <w:sz w:val="20"/>
          <w:szCs w:val="20"/>
        </w:rPr>
        <w:t>Daams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J., </w:t>
      </w:r>
      <w:proofErr w:type="spellStart"/>
      <w:r w:rsidRPr="000E0D0C">
        <w:rPr>
          <w:rFonts w:ascii="Arial" w:hAnsi="Arial" w:cs="Arial"/>
          <w:sz w:val="20"/>
          <w:szCs w:val="20"/>
        </w:rPr>
        <w:t>Wezenberg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B., de Boer, A. and Denys, D.A.J.P. (2024) ‘Influence of study characteristics, methodological </w:t>
      </w:r>
      <w:proofErr w:type="spellStart"/>
      <w:r w:rsidRPr="000E0D0C">
        <w:rPr>
          <w:rFonts w:ascii="Arial" w:hAnsi="Arial" w:cs="Arial"/>
          <w:sz w:val="20"/>
          <w:szCs w:val="20"/>
        </w:rPr>
        <w:t>rigour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 and publication bias on efficacy of pharmacotherapy in obsessive-compulsive disorder: a systematic review and meta-analysis of </w:t>
      </w:r>
      <w:proofErr w:type="spellStart"/>
      <w:r w:rsidRPr="000E0D0C">
        <w:rPr>
          <w:rFonts w:ascii="Arial" w:hAnsi="Arial" w:cs="Arial"/>
          <w:sz w:val="20"/>
          <w:szCs w:val="20"/>
        </w:rPr>
        <w:t>randomised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placebo-controlled trials’, </w:t>
      </w:r>
      <w:r w:rsidRPr="000E0D0C">
        <w:rPr>
          <w:rFonts w:ascii="Arial" w:hAnsi="Arial" w:cs="Arial"/>
          <w:i/>
          <w:iCs/>
          <w:sz w:val="20"/>
          <w:szCs w:val="20"/>
        </w:rPr>
        <w:t>BMJ Mental Health</w:t>
      </w:r>
      <w:r w:rsidRPr="000E0D0C">
        <w:rPr>
          <w:rFonts w:ascii="Arial" w:hAnsi="Arial" w:cs="Arial"/>
          <w:sz w:val="20"/>
          <w:szCs w:val="20"/>
        </w:rPr>
        <w:t xml:space="preserve">, 27(1), e300951. </w:t>
      </w:r>
    </w:p>
    <w:p w14:paraId="3B36623F" w14:textId="56732260" w:rsidR="008F4469" w:rsidRPr="000E0D0C" w:rsidRDefault="008F4469" w:rsidP="00EA6FF1">
      <w:pPr>
        <w:spacing w:line="360" w:lineRule="auto"/>
        <w:rPr>
          <w:rFonts w:ascii="Arial" w:hAnsi="Arial" w:cs="Arial"/>
          <w:sz w:val="20"/>
          <w:szCs w:val="20"/>
        </w:rPr>
      </w:pPr>
      <w:r w:rsidRPr="4A50AE5E">
        <w:rPr>
          <w:rFonts w:ascii="Arial" w:hAnsi="Arial" w:cs="Arial"/>
          <w:sz w:val="20"/>
          <w:szCs w:val="20"/>
        </w:rPr>
        <w:t xml:space="preserve">Available at:  </w:t>
      </w:r>
      <w:hyperlink r:id="rId8">
        <w:r w:rsidR="004A697E" w:rsidRPr="4A50AE5E">
          <w:rPr>
            <w:rStyle w:val="Hyperlink"/>
            <w:rFonts w:ascii="Arial" w:hAnsi="Arial" w:cs="Arial"/>
            <w:sz w:val="20"/>
            <w:szCs w:val="20"/>
          </w:rPr>
          <w:t>https://doi.org/10.1136/bmjment-2023-300951</w:t>
        </w:r>
      </w:hyperlink>
      <w:r w:rsidR="004A697E" w:rsidRPr="4A50AE5E">
        <w:rPr>
          <w:rFonts w:ascii="Arial" w:hAnsi="Arial" w:cs="Arial"/>
          <w:sz w:val="20"/>
          <w:szCs w:val="20"/>
        </w:rPr>
        <w:t xml:space="preserve"> </w:t>
      </w:r>
      <w:r w:rsidRPr="4A50AE5E">
        <w:rPr>
          <w:rFonts w:ascii="Segoe UI Symbol" w:hAnsi="Segoe UI Symbol" w:cs="Segoe UI Symbol"/>
          <w:sz w:val="20"/>
          <w:szCs w:val="20"/>
        </w:rPr>
        <w:t>⁠</w:t>
      </w:r>
      <w:r w:rsidRPr="4A50AE5E">
        <w:rPr>
          <w:rFonts w:ascii="Arial" w:hAnsi="Arial" w:cs="Arial"/>
          <w:sz w:val="20"/>
          <w:szCs w:val="20"/>
        </w:rPr>
        <w:t xml:space="preserve"> (Accessed: 5 October 2026).</w:t>
      </w:r>
    </w:p>
    <w:p w14:paraId="76B868BC" w14:textId="77777777" w:rsidR="002C1AB8" w:rsidRDefault="008F4469" w:rsidP="000E0D0C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>Jalal, B., Chamberlain, S.R. and Sahakian, B.J. (2023) ‘</w:t>
      </w:r>
      <w:proofErr w:type="gramStart"/>
      <w:r w:rsidRPr="000E0D0C">
        <w:rPr>
          <w:rFonts w:ascii="Arial" w:hAnsi="Arial" w:cs="Arial"/>
          <w:sz w:val="20"/>
          <w:szCs w:val="20"/>
        </w:rPr>
        <w:t>Obsessive-compulsive disorder</w:t>
      </w:r>
      <w:proofErr w:type="gramEnd"/>
      <w:r w:rsidRPr="000E0D0C">
        <w:rPr>
          <w:rFonts w:ascii="Arial" w:hAnsi="Arial" w:cs="Arial"/>
          <w:sz w:val="20"/>
          <w:szCs w:val="20"/>
        </w:rPr>
        <w:t xml:space="preserve">: etiology, neuropathology, and cognitive dysfunction’, </w:t>
      </w:r>
      <w:r w:rsidRPr="000E0D0C">
        <w:rPr>
          <w:rFonts w:ascii="Arial" w:hAnsi="Arial" w:cs="Arial"/>
          <w:i/>
          <w:iCs/>
          <w:sz w:val="20"/>
          <w:szCs w:val="20"/>
        </w:rPr>
        <w:t>Brain and</w:t>
      </w:r>
      <w:r w:rsidR="005538DA" w:rsidRPr="000E0D0C">
        <w:rPr>
          <w:rFonts w:ascii="Arial" w:hAnsi="Arial" w:cs="Arial"/>
          <w:i/>
          <w:iCs/>
          <w:sz w:val="20"/>
          <w:szCs w:val="20"/>
        </w:rPr>
        <w:t xml:space="preserve"> </w:t>
      </w:r>
      <w:r w:rsidRPr="000E0D0C">
        <w:rPr>
          <w:rFonts w:ascii="Arial" w:hAnsi="Arial" w:cs="Arial"/>
          <w:i/>
          <w:iCs/>
          <w:sz w:val="20"/>
          <w:szCs w:val="20"/>
        </w:rPr>
        <w:t>Behavior</w:t>
      </w:r>
      <w:r w:rsidRPr="000E0D0C">
        <w:rPr>
          <w:rFonts w:ascii="Arial" w:hAnsi="Arial" w:cs="Arial"/>
          <w:sz w:val="20"/>
          <w:szCs w:val="20"/>
        </w:rPr>
        <w:t xml:space="preserve">,13(6), e3000. </w:t>
      </w:r>
    </w:p>
    <w:p w14:paraId="37AECC22" w14:textId="09F849FD" w:rsidR="00596D19" w:rsidRPr="000E0D0C" w:rsidRDefault="008F4469" w:rsidP="000E0D0C">
      <w:pPr>
        <w:spacing w:line="360" w:lineRule="auto"/>
        <w:rPr>
          <w:rFonts w:ascii="Arial" w:hAnsi="Arial" w:cs="Arial"/>
          <w:sz w:val="20"/>
          <w:szCs w:val="20"/>
        </w:rPr>
      </w:pPr>
      <w:r w:rsidRPr="4A50AE5E">
        <w:rPr>
          <w:rFonts w:ascii="Arial" w:hAnsi="Arial" w:cs="Arial"/>
          <w:sz w:val="20"/>
          <w:szCs w:val="20"/>
        </w:rPr>
        <w:t xml:space="preserve">Available at:  </w:t>
      </w:r>
      <w:hyperlink r:id="rId9">
        <w:r w:rsidR="004A697E" w:rsidRPr="4A50AE5E">
          <w:rPr>
            <w:rStyle w:val="Hyperlink"/>
            <w:rFonts w:ascii="Arial" w:hAnsi="Arial" w:cs="Arial"/>
            <w:sz w:val="20"/>
            <w:szCs w:val="20"/>
          </w:rPr>
          <w:t>https://doi.org/10.1002/brb3.3000</w:t>
        </w:r>
      </w:hyperlink>
      <w:r w:rsidR="004A697E" w:rsidRPr="4A50AE5E">
        <w:rPr>
          <w:rFonts w:ascii="Arial" w:hAnsi="Arial" w:cs="Arial"/>
          <w:sz w:val="20"/>
          <w:szCs w:val="20"/>
        </w:rPr>
        <w:t xml:space="preserve"> </w:t>
      </w:r>
      <w:r w:rsidRPr="4A50AE5E">
        <w:rPr>
          <w:rFonts w:ascii="Segoe UI Symbol" w:hAnsi="Segoe UI Symbol" w:cs="Segoe UI Symbol"/>
          <w:sz w:val="20"/>
          <w:szCs w:val="20"/>
        </w:rPr>
        <w:t>⁠</w:t>
      </w:r>
      <w:r w:rsidRPr="4A50AE5E">
        <w:rPr>
          <w:rFonts w:ascii="Arial" w:hAnsi="Arial" w:cs="Arial"/>
          <w:sz w:val="20"/>
          <w:szCs w:val="20"/>
        </w:rPr>
        <w:t xml:space="preserve"> (Accessed: 5 October 2026).</w:t>
      </w:r>
    </w:p>
    <w:p w14:paraId="7F03AE3F" w14:textId="409538BF" w:rsidR="00DE574B" w:rsidRPr="000E0D0C" w:rsidRDefault="008F4469" w:rsidP="00EA6FF1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Meyer, V. (1966) ‘Modification of expectations in cases with obsessional rituals’, </w:t>
      </w:r>
      <w:proofErr w:type="spellStart"/>
      <w:r w:rsidRPr="000E0D0C">
        <w:rPr>
          <w:rFonts w:ascii="Arial" w:hAnsi="Arial" w:cs="Arial"/>
          <w:i/>
          <w:iCs/>
          <w:sz w:val="20"/>
          <w:szCs w:val="20"/>
        </w:rPr>
        <w:t>Behaviour</w:t>
      </w:r>
      <w:proofErr w:type="spellEnd"/>
      <w:r w:rsidRPr="000E0D0C">
        <w:rPr>
          <w:rFonts w:ascii="Arial" w:hAnsi="Arial" w:cs="Arial"/>
          <w:i/>
          <w:iCs/>
          <w:sz w:val="20"/>
          <w:szCs w:val="20"/>
        </w:rPr>
        <w:t xml:space="preserve"> Research and Therapy</w:t>
      </w:r>
      <w:r w:rsidRPr="000E0D0C">
        <w:rPr>
          <w:rFonts w:ascii="Arial" w:hAnsi="Arial" w:cs="Arial"/>
          <w:sz w:val="20"/>
          <w:szCs w:val="20"/>
        </w:rPr>
        <w:t xml:space="preserve">, 4(4), pp. 273–280. </w:t>
      </w:r>
    </w:p>
    <w:p w14:paraId="020893BB" w14:textId="28F9DAF4" w:rsidR="008F4469" w:rsidRPr="000E0D0C" w:rsidRDefault="008F4469" w:rsidP="00EA6FF1">
      <w:pPr>
        <w:spacing w:line="360" w:lineRule="auto"/>
        <w:rPr>
          <w:rFonts w:ascii="Arial" w:hAnsi="Arial" w:cs="Arial"/>
          <w:sz w:val="20"/>
          <w:szCs w:val="20"/>
        </w:rPr>
      </w:pPr>
      <w:r w:rsidRPr="1A7DCFF7">
        <w:rPr>
          <w:rFonts w:ascii="Arial" w:hAnsi="Arial" w:cs="Arial"/>
          <w:sz w:val="20"/>
          <w:szCs w:val="20"/>
        </w:rPr>
        <w:t xml:space="preserve">Available at:  </w:t>
      </w:r>
      <w:hyperlink r:id="rId10">
        <w:r w:rsidR="00B81566" w:rsidRPr="1A7DCFF7">
          <w:rPr>
            <w:rStyle w:val="Hyperlink"/>
            <w:rFonts w:ascii="Arial" w:hAnsi="Arial" w:cs="Arial"/>
            <w:sz w:val="20"/>
            <w:szCs w:val="20"/>
          </w:rPr>
          <w:t>https://doi.org/10.1016/0005-7967(66)90023-4</w:t>
        </w:r>
      </w:hyperlink>
      <w:r w:rsidR="00B81566" w:rsidRPr="1A7DCFF7">
        <w:rPr>
          <w:rFonts w:ascii="Arial" w:hAnsi="Arial" w:cs="Arial"/>
          <w:sz w:val="20"/>
          <w:szCs w:val="20"/>
        </w:rPr>
        <w:t xml:space="preserve"> </w:t>
      </w:r>
      <w:r w:rsidRPr="1A7DCFF7">
        <w:rPr>
          <w:rFonts w:ascii="Segoe UI Symbol" w:hAnsi="Segoe UI Symbol" w:cs="Segoe UI Symbol"/>
          <w:sz w:val="20"/>
          <w:szCs w:val="20"/>
        </w:rPr>
        <w:t>⁠</w:t>
      </w:r>
      <w:r w:rsidRPr="1A7DCFF7">
        <w:rPr>
          <w:rFonts w:ascii="Arial" w:hAnsi="Arial" w:cs="Arial"/>
          <w:sz w:val="20"/>
          <w:szCs w:val="20"/>
        </w:rPr>
        <w:t xml:space="preserve"> </w:t>
      </w:r>
      <w:r w:rsidR="00793EB3" w:rsidRPr="1A7DCFF7">
        <w:rPr>
          <w:rFonts w:ascii="Arial" w:hAnsi="Arial" w:cs="Arial"/>
          <w:sz w:val="20"/>
          <w:szCs w:val="20"/>
        </w:rPr>
        <w:t>(</w:t>
      </w:r>
      <w:r w:rsidRPr="1A7DCFF7">
        <w:rPr>
          <w:rFonts w:ascii="Arial" w:hAnsi="Arial" w:cs="Arial"/>
          <w:sz w:val="20"/>
          <w:szCs w:val="20"/>
        </w:rPr>
        <w:t>Accessed: 5 October 2026).</w:t>
      </w:r>
    </w:p>
    <w:p w14:paraId="2CC14953" w14:textId="77777777" w:rsidR="00C53615" w:rsidRPr="000E0D0C" w:rsidRDefault="008F4469" w:rsidP="00E97EFC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National Institute for Health and Care Excellence (NICE) (2005) </w:t>
      </w:r>
      <w:proofErr w:type="gramStart"/>
      <w:r w:rsidRPr="000E0D0C">
        <w:rPr>
          <w:rFonts w:ascii="Arial" w:hAnsi="Arial" w:cs="Arial"/>
          <w:i/>
          <w:iCs/>
          <w:sz w:val="20"/>
          <w:szCs w:val="20"/>
        </w:rPr>
        <w:t>Obsessive-compulsive disorder</w:t>
      </w:r>
      <w:proofErr w:type="gramEnd"/>
      <w:r w:rsidRPr="000E0D0C">
        <w:rPr>
          <w:rFonts w:ascii="Arial" w:hAnsi="Arial" w:cs="Arial"/>
          <w:i/>
          <w:iCs/>
          <w:sz w:val="20"/>
          <w:szCs w:val="20"/>
        </w:rPr>
        <w:t xml:space="preserve"> and body dysmorphic disorder: treatment</w:t>
      </w:r>
      <w:r w:rsidRPr="000E0D0C">
        <w:rPr>
          <w:rFonts w:ascii="Arial" w:hAnsi="Arial" w:cs="Arial"/>
          <w:sz w:val="20"/>
          <w:szCs w:val="20"/>
        </w:rPr>
        <w:t xml:space="preserve">. Clinical guideline CG31. </w:t>
      </w:r>
    </w:p>
    <w:p w14:paraId="1E182129" w14:textId="3B8583C7" w:rsidR="008F4469" w:rsidRPr="000E0D0C" w:rsidRDefault="008F4469" w:rsidP="00E97EFC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>Available</w:t>
      </w:r>
      <w:r w:rsidR="00C53615" w:rsidRPr="000E0D0C">
        <w:rPr>
          <w:rFonts w:ascii="Arial" w:hAnsi="Arial" w:cs="Arial"/>
          <w:sz w:val="20"/>
          <w:szCs w:val="20"/>
        </w:rPr>
        <w:t xml:space="preserve"> </w:t>
      </w:r>
      <w:r w:rsidRPr="000E0D0C">
        <w:rPr>
          <w:rFonts w:ascii="Arial" w:hAnsi="Arial" w:cs="Arial"/>
          <w:sz w:val="20"/>
          <w:szCs w:val="20"/>
        </w:rPr>
        <w:t>at:  NICE CG31</w:t>
      </w:r>
      <w:r w:rsidRPr="1A7DCFF7">
        <w:rPr>
          <w:rFonts w:ascii="Segoe UI Symbol" w:hAnsi="Segoe UI Symbol" w:cs="Segoe UI Symbol"/>
          <w:sz w:val="20"/>
          <w:szCs w:val="20"/>
        </w:rPr>
        <w:t>⁠</w:t>
      </w:r>
      <w:r w:rsidRPr="000E0D0C">
        <w:rPr>
          <w:rFonts w:ascii="Arial" w:hAnsi="Arial" w:cs="Arial"/>
          <w:sz w:val="20"/>
          <w:szCs w:val="20"/>
        </w:rPr>
        <w:t xml:space="preserve"> (Accessed: 5 October 2026).</w:t>
      </w:r>
    </w:p>
    <w:p w14:paraId="32B0AD9F" w14:textId="190C220B" w:rsidR="00AF7CA0" w:rsidRPr="008E3481" w:rsidRDefault="008F4469" w:rsidP="008E3481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Oberbeck, A. and Steinberg, H. (2015) ‘Are the current concepts of obsessive disorders a novelty? From Westphal (1877) and Thomsen (1895) to ICD-10 and DSM-5’, </w:t>
      </w:r>
      <w:r w:rsidRPr="000E0D0C">
        <w:rPr>
          <w:rFonts w:ascii="Arial" w:hAnsi="Arial" w:cs="Arial"/>
          <w:i/>
          <w:iCs/>
          <w:sz w:val="20"/>
          <w:szCs w:val="20"/>
        </w:rPr>
        <w:t xml:space="preserve">Der </w:t>
      </w:r>
      <w:proofErr w:type="spellStart"/>
      <w:r w:rsidRPr="000E0D0C">
        <w:rPr>
          <w:rFonts w:ascii="Arial" w:hAnsi="Arial" w:cs="Arial"/>
          <w:i/>
          <w:iCs/>
          <w:sz w:val="20"/>
          <w:szCs w:val="20"/>
        </w:rPr>
        <w:t>Nervenarzt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86(9), pp. 1162–1167. </w:t>
      </w:r>
    </w:p>
    <w:p w14:paraId="1EBCEC87" w14:textId="477153B6" w:rsidR="008F4469" w:rsidRPr="000E0D0C" w:rsidRDefault="008F4469" w:rsidP="00E97EFC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Available at:  </w:t>
      </w:r>
      <w:hyperlink r:id="rId11" w:history="1">
        <w:r w:rsidR="00C53615" w:rsidRPr="000E0D0C">
          <w:rPr>
            <w:rStyle w:val="Hyperlink"/>
            <w:rFonts w:ascii="Arial" w:hAnsi="Arial" w:cs="Arial"/>
            <w:sz w:val="20"/>
            <w:szCs w:val="20"/>
          </w:rPr>
          <w:t>https://doi.org/10.1007/s00115-014-4229-x</w:t>
        </w:r>
      </w:hyperlink>
      <w:r w:rsidR="00C53615" w:rsidRPr="000E0D0C">
        <w:rPr>
          <w:rFonts w:ascii="Arial" w:hAnsi="Arial" w:cs="Arial"/>
          <w:sz w:val="20"/>
          <w:szCs w:val="20"/>
        </w:rPr>
        <w:t xml:space="preserve"> </w:t>
      </w:r>
      <w:r w:rsidRPr="000E0D0C">
        <w:rPr>
          <w:rFonts w:ascii="Segoe UI Symbol" w:hAnsi="Segoe UI Symbol" w:cs="Segoe UI Symbol"/>
          <w:sz w:val="20"/>
          <w:szCs w:val="20"/>
        </w:rPr>
        <w:t>⁠</w:t>
      </w:r>
      <w:r w:rsidR="008E3481">
        <w:rPr>
          <w:rFonts w:ascii="Arial" w:hAnsi="Arial" w:cs="Arial"/>
          <w:sz w:val="20"/>
          <w:szCs w:val="20"/>
        </w:rPr>
        <w:t xml:space="preserve"> </w:t>
      </w:r>
      <w:r w:rsidRPr="000E0D0C">
        <w:rPr>
          <w:rFonts w:ascii="Arial" w:hAnsi="Arial" w:cs="Arial"/>
          <w:sz w:val="20"/>
          <w:szCs w:val="20"/>
        </w:rPr>
        <w:t>(Accessed: 5 October 2026).</w:t>
      </w:r>
    </w:p>
    <w:p w14:paraId="40B8CA13" w14:textId="77777777" w:rsidR="00C53615" w:rsidRPr="000E0D0C" w:rsidRDefault="00C53615" w:rsidP="00C61961">
      <w:pPr>
        <w:spacing w:line="360" w:lineRule="auto"/>
        <w:rPr>
          <w:rFonts w:ascii="Arial" w:hAnsi="Arial" w:cs="Arial"/>
          <w:sz w:val="20"/>
          <w:szCs w:val="20"/>
        </w:rPr>
      </w:pPr>
    </w:p>
    <w:p w14:paraId="64D9C790" w14:textId="77777777" w:rsidR="002C1AB8" w:rsidRDefault="008F4469" w:rsidP="0023142C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Pittenger, C. (2023) ‘The pharmacological treatment of obsessive-compulsive disorder’, </w:t>
      </w:r>
      <w:r w:rsidRPr="000E0D0C">
        <w:rPr>
          <w:rFonts w:ascii="Arial" w:hAnsi="Arial" w:cs="Arial"/>
          <w:i/>
          <w:iCs/>
          <w:sz w:val="20"/>
          <w:szCs w:val="20"/>
        </w:rPr>
        <w:t>Psychiatric Clinics of North America</w:t>
      </w:r>
      <w:r w:rsidRPr="000E0D0C">
        <w:rPr>
          <w:rFonts w:ascii="Arial" w:hAnsi="Arial" w:cs="Arial"/>
          <w:sz w:val="20"/>
          <w:szCs w:val="20"/>
        </w:rPr>
        <w:t xml:space="preserve">, 46(1), pp. 107–119. </w:t>
      </w:r>
    </w:p>
    <w:p w14:paraId="50CABE39" w14:textId="4DA87A5D" w:rsidR="008F4469" w:rsidRPr="000E0D0C" w:rsidRDefault="008F4469" w:rsidP="0023142C">
      <w:pPr>
        <w:spacing w:line="360" w:lineRule="auto"/>
        <w:rPr>
          <w:rFonts w:ascii="Arial" w:hAnsi="Arial" w:cs="Arial"/>
          <w:sz w:val="20"/>
          <w:szCs w:val="20"/>
        </w:rPr>
      </w:pPr>
      <w:r w:rsidRPr="1D6918D0">
        <w:rPr>
          <w:rFonts w:ascii="Arial" w:hAnsi="Arial" w:cs="Arial"/>
          <w:sz w:val="20"/>
          <w:szCs w:val="20"/>
        </w:rPr>
        <w:t xml:space="preserve">Available at:  </w:t>
      </w:r>
      <w:hyperlink r:id="rId12">
        <w:r w:rsidR="00C53615" w:rsidRPr="1D6918D0">
          <w:rPr>
            <w:rStyle w:val="Hyperlink"/>
            <w:rFonts w:ascii="Arial" w:hAnsi="Arial" w:cs="Arial"/>
            <w:sz w:val="20"/>
            <w:szCs w:val="20"/>
          </w:rPr>
          <w:t>https://doi.org/10.1016/j.psc.2022.11.005</w:t>
        </w:r>
      </w:hyperlink>
      <w:r w:rsidR="00C53615" w:rsidRPr="1D6918D0">
        <w:rPr>
          <w:rFonts w:ascii="Arial" w:hAnsi="Arial" w:cs="Arial"/>
          <w:sz w:val="20"/>
          <w:szCs w:val="20"/>
        </w:rPr>
        <w:t xml:space="preserve"> </w:t>
      </w:r>
      <w:r w:rsidRPr="1D6918D0">
        <w:rPr>
          <w:rFonts w:ascii="Segoe UI Symbol" w:hAnsi="Segoe UI Symbol" w:cs="Segoe UI Symbol"/>
          <w:sz w:val="20"/>
          <w:szCs w:val="20"/>
        </w:rPr>
        <w:t>⁠</w:t>
      </w:r>
      <w:r w:rsidRPr="1D6918D0">
        <w:rPr>
          <w:rFonts w:ascii="Arial" w:hAnsi="Arial" w:cs="Arial"/>
          <w:sz w:val="20"/>
          <w:szCs w:val="20"/>
        </w:rPr>
        <w:t xml:space="preserve"> (Accessed: 5 October 2026).</w:t>
      </w:r>
    </w:p>
    <w:p w14:paraId="713B1D2D" w14:textId="77777777" w:rsidR="002C1AB8" w:rsidRDefault="002C1AB8" w:rsidP="00D855EB">
      <w:pPr>
        <w:spacing w:line="360" w:lineRule="auto"/>
        <w:rPr>
          <w:rFonts w:ascii="Arial" w:hAnsi="Arial" w:cs="Arial"/>
          <w:sz w:val="20"/>
          <w:szCs w:val="20"/>
        </w:rPr>
      </w:pPr>
    </w:p>
    <w:p w14:paraId="74D30604" w14:textId="5E9ABC6A" w:rsidR="002C1AB8" w:rsidRDefault="008F4469" w:rsidP="00D855EB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Reid, J.E., Laws, K.R., Drummond, L.M., Vismara, M., Grancini, B., </w:t>
      </w:r>
      <w:proofErr w:type="spellStart"/>
      <w:r w:rsidRPr="000E0D0C">
        <w:rPr>
          <w:rFonts w:ascii="Arial" w:hAnsi="Arial" w:cs="Arial"/>
          <w:sz w:val="20"/>
          <w:szCs w:val="20"/>
        </w:rPr>
        <w:t>Mpavaenda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D. and Fineberg, N.A. (2021) ‘Cognitive </w:t>
      </w:r>
      <w:proofErr w:type="spellStart"/>
      <w:r w:rsidRPr="000E0D0C">
        <w:rPr>
          <w:rFonts w:ascii="Arial" w:hAnsi="Arial" w:cs="Arial"/>
          <w:sz w:val="20"/>
          <w:szCs w:val="20"/>
        </w:rPr>
        <w:t>behavioural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 therapy with exposure and response prevention in the treatment of obsessive-compulsive disorder: a systematic review and meta-analysis of </w:t>
      </w:r>
      <w:proofErr w:type="spellStart"/>
      <w:r w:rsidRPr="000E0D0C">
        <w:rPr>
          <w:rFonts w:ascii="Arial" w:hAnsi="Arial" w:cs="Arial"/>
          <w:sz w:val="20"/>
          <w:szCs w:val="20"/>
        </w:rPr>
        <w:t>randomised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 controlled trials’, </w:t>
      </w:r>
      <w:r w:rsidRPr="000E0D0C">
        <w:rPr>
          <w:rFonts w:ascii="Arial" w:hAnsi="Arial" w:cs="Arial"/>
          <w:i/>
          <w:iCs/>
          <w:sz w:val="20"/>
          <w:szCs w:val="20"/>
        </w:rPr>
        <w:t>Comprehensive Psychiatry</w:t>
      </w:r>
      <w:r w:rsidRPr="000E0D0C">
        <w:rPr>
          <w:rFonts w:ascii="Arial" w:hAnsi="Arial" w:cs="Arial"/>
          <w:sz w:val="20"/>
          <w:szCs w:val="20"/>
        </w:rPr>
        <w:t xml:space="preserve">, 106, 152223. </w:t>
      </w:r>
    </w:p>
    <w:p w14:paraId="0CF07FFB" w14:textId="19E84829" w:rsidR="008F4469" w:rsidRPr="000E0D0C" w:rsidRDefault="008F4469" w:rsidP="00D855EB">
      <w:pPr>
        <w:spacing w:line="360" w:lineRule="auto"/>
        <w:rPr>
          <w:rFonts w:ascii="Arial" w:hAnsi="Arial" w:cs="Arial"/>
          <w:sz w:val="20"/>
          <w:szCs w:val="20"/>
        </w:rPr>
      </w:pPr>
      <w:r w:rsidRPr="416EAA1E">
        <w:rPr>
          <w:rFonts w:ascii="Arial" w:hAnsi="Arial" w:cs="Arial"/>
          <w:sz w:val="20"/>
          <w:szCs w:val="20"/>
        </w:rPr>
        <w:t xml:space="preserve">Available at:  </w:t>
      </w:r>
      <w:hyperlink r:id="rId13">
        <w:r w:rsidR="00A71565" w:rsidRPr="416EAA1E">
          <w:rPr>
            <w:rStyle w:val="Hyperlink"/>
            <w:rFonts w:ascii="Arial" w:hAnsi="Arial" w:cs="Arial"/>
            <w:sz w:val="20"/>
            <w:szCs w:val="20"/>
          </w:rPr>
          <w:t>https://doi.org/10.1016/j.comppsych.2021.152223</w:t>
        </w:r>
      </w:hyperlink>
      <w:r w:rsidR="00A71565" w:rsidRPr="416EAA1E">
        <w:rPr>
          <w:rFonts w:ascii="Arial" w:hAnsi="Arial" w:cs="Arial"/>
          <w:sz w:val="20"/>
          <w:szCs w:val="20"/>
        </w:rPr>
        <w:t xml:space="preserve"> </w:t>
      </w:r>
      <w:proofErr w:type="gramStart"/>
      <w:r w:rsidRPr="416EAA1E">
        <w:rPr>
          <w:rFonts w:ascii="Segoe UI Symbol" w:hAnsi="Segoe UI Symbol" w:cs="Segoe UI Symbol"/>
          <w:sz w:val="20"/>
          <w:szCs w:val="20"/>
        </w:rPr>
        <w:t>⁠</w:t>
      </w:r>
      <w:r w:rsidR="00C53615" w:rsidRPr="416EAA1E">
        <w:rPr>
          <w:rFonts w:ascii="Segoe UI Symbol" w:hAnsi="Segoe UI Symbol" w:cs="Segoe UI Symbol"/>
          <w:sz w:val="20"/>
          <w:szCs w:val="20"/>
        </w:rPr>
        <w:t xml:space="preserve"> </w:t>
      </w:r>
      <w:r w:rsidRPr="416EAA1E">
        <w:rPr>
          <w:rFonts w:ascii="Arial" w:hAnsi="Arial" w:cs="Arial"/>
          <w:sz w:val="20"/>
          <w:szCs w:val="20"/>
        </w:rPr>
        <w:t xml:space="preserve"> (</w:t>
      </w:r>
      <w:proofErr w:type="gramEnd"/>
      <w:r w:rsidRPr="416EAA1E">
        <w:rPr>
          <w:rFonts w:ascii="Arial" w:hAnsi="Arial" w:cs="Arial"/>
          <w:sz w:val="20"/>
          <w:szCs w:val="20"/>
        </w:rPr>
        <w:t>Accessed: 5 October 2026).</w:t>
      </w:r>
    </w:p>
    <w:p w14:paraId="4F081FDA" w14:textId="77777777" w:rsidR="00C61961" w:rsidRPr="000E0D0C" w:rsidRDefault="00C61961" w:rsidP="00C61961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7F6CEFA1" w14:textId="77777777" w:rsidR="00D75D92" w:rsidRDefault="008F4469" w:rsidP="0023142C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Wang, L., Chen, Y., Wang, M., Zhao, C. and Qiao, D. (2023) ‘Relationship between gene-environment interaction and obsessive-compulsive disorder: a systematic review’, </w:t>
      </w:r>
      <w:r w:rsidRPr="000E0D0C">
        <w:rPr>
          <w:rFonts w:ascii="Arial" w:hAnsi="Arial" w:cs="Arial"/>
          <w:i/>
          <w:iCs/>
          <w:sz w:val="20"/>
          <w:szCs w:val="20"/>
        </w:rPr>
        <w:t>Journal of Psychiatric Research</w:t>
      </w:r>
      <w:r w:rsidRPr="000E0D0C">
        <w:rPr>
          <w:rFonts w:ascii="Arial" w:hAnsi="Arial" w:cs="Arial"/>
          <w:sz w:val="20"/>
          <w:szCs w:val="20"/>
        </w:rPr>
        <w:t xml:space="preserve">, 164, pp. 281–290. Available at:  </w:t>
      </w:r>
      <w:hyperlink r:id="rId14" w:history="1">
        <w:r w:rsidR="00CB1B83" w:rsidRPr="000E0D0C">
          <w:rPr>
            <w:rStyle w:val="Hyperlink"/>
            <w:rFonts w:ascii="Arial" w:hAnsi="Arial" w:cs="Arial"/>
            <w:sz w:val="20"/>
            <w:szCs w:val="20"/>
          </w:rPr>
          <w:t>https://doi.org/10.1016/j.jpsychires.2023.06.004</w:t>
        </w:r>
      </w:hyperlink>
      <w:r w:rsidR="00CB1B83" w:rsidRPr="000E0D0C">
        <w:rPr>
          <w:rFonts w:ascii="Arial" w:hAnsi="Arial" w:cs="Arial"/>
          <w:sz w:val="20"/>
          <w:szCs w:val="20"/>
        </w:rPr>
        <w:t xml:space="preserve"> </w:t>
      </w:r>
      <w:r w:rsidRPr="000E0D0C">
        <w:rPr>
          <w:rFonts w:ascii="Segoe UI Symbol" w:hAnsi="Segoe UI Symbol" w:cs="Segoe UI Symbol"/>
          <w:sz w:val="20"/>
          <w:szCs w:val="20"/>
        </w:rPr>
        <w:t>⁠</w:t>
      </w:r>
    </w:p>
    <w:p w14:paraId="016A698C" w14:textId="7F41191A" w:rsidR="008F4469" w:rsidRPr="000E0D0C" w:rsidRDefault="002C1AB8" w:rsidP="0023142C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 </w:t>
      </w:r>
      <w:r w:rsidR="008F4469" w:rsidRPr="000E0D0C">
        <w:rPr>
          <w:rFonts w:ascii="Arial" w:hAnsi="Arial" w:cs="Arial"/>
          <w:sz w:val="20"/>
          <w:szCs w:val="20"/>
        </w:rPr>
        <w:t>(Accessed: 5 October 2026).</w:t>
      </w:r>
    </w:p>
    <w:p w14:paraId="0CDB7600" w14:textId="77777777" w:rsidR="005D3A38" w:rsidRPr="000E0D0C" w:rsidRDefault="005D3A38" w:rsidP="00C61961">
      <w:pPr>
        <w:spacing w:line="360" w:lineRule="auto"/>
        <w:rPr>
          <w:rFonts w:ascii="Arial" w:hAnsi="Arial" w:cs="Arial"/>
          <w:sz w:val="20"/>
          <w:szCs w:val="20"/>
        </w:rPr>
      </w:pPr>
    </w:p>
    <w:p w14:paraId="0D0B85D8" w14:textId="77777777" w:rsidR="00D855EB" w:rsidRPr="000E0D0C" w:rsidRDefault="008F4469" w:rsidP="0023142C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0E0D0C">
        <w:rPr>
          <w:rFonts w:ascii="Arial" w:hAnsi="Arial" w:cs="Arial"/>
          <w:sz w:val="20"/>
          <w:szCs w:val="20"/>
        </w:rPr>
        <w:t>Wongbusarakum</w:t>
      </w:r>
      <w:proofErr w:type="spellEnd"/>
      <w:r w:rsidRPr="000E0D0C">
        <w:rPr>
          <w:rFonts w:ascii="Arial" w:hAnsi="Arial" w:cs="Arial"/>
          <w:sz w:val="20"/>
          <w:szCs w:val="20"/>
        </w:rPr>
        <w:t xml:space="preserve">, K., Schug, E., Visher, T.C., Sulivan-Pascual, K., Mirkis, M., Rhee, P. and Frank, A.C. (2025) ‘Factors associated with delays in assessment and treatment of obsessive-compulsive disorder: a scoping review’, </w:t>
      </w:r>
      <w:r w:rsidRPr="000E0D0C">
        <w:rPr>
          <w:rFonts w:ascii="Arial" w:hAnsi="Arial" w:cs="Arial"/>
          <w:i/>
          <w:iCs/>
          <w:sz w:val="20"/>
          <w:szCs w:val="20"/>
        </w:rPr>
        <w:t>Journal of Obsessive-Compulsive and Related Disorders</w:t>
      </w:r>
      <w:r w:rsidRPr="000E0D0C">
        <w:rPr>
          <w:rFonts w:ascii="Arial" w:hAnsi="Arial" w:cs="Arial"/>
          <w:sz w:val="20"/>
          <w:szCs w:val="20"/>
        </w:rPr>
        <w:t xml:space="preserve">, 47, 100982. </w:t>
      </w:r>
    </w:p>
    <w:p w14:paraId="6A5FDD86" w14:textId="1B3A320D" w:rsidR="008F4469" w:rsidRPr="000E0D0C" w:rsidRDefault="008F4469" w:rsidP="0023142C">
      <w:pPr>
        <w:spacing w:line="360" w:lineRule="auto"/>
        <w:rPr>
          <w:rFonts w:ascii="Arial" w:hAnsi="Arial" w:cs="Arial"/>
          <w:sz w:val="20"/>
          <w:szCs w:val="20"/>
        </w:rPr>
      </w:pPr>
      <w:r w:rsidRPr="015642F7">
        <w:rPr>
          <w:rFonts w:ascii="Arial" w:hAnsi="Arial" w:cs="Arial"/>
          <w:sz w:val="20"/>
          <w:szCs w:val="20"/>
        </w:rPr>
        <w:t xml:space="preserve">Available at:  </w:t>
      </w:r>
      <w:hyperlink r:id="rId15">
        <w:r w:rsidR="005D3A38" w:rsidRPr="015642F7">
          <w:rPr>
            <w:rStyle w:val="Hyperlink"/>
            <w:rFonts w:ascii="Arial" w:hAnsi="Arial" w:cs="Arial"/>
            <w:sz w:val="20"/>
            <w:szCs w:val="20"/>
          </w:rPr>
          <w:t>https://doi.org/10.1016/j.jocrd.2025.100982</w:t>
        </w:r>
      </w:hyperlink>
      <w:r w:rsidR="005D3A38" w:rsidRPr="015642F7">
        <w:rPr>
          <w:rFonts w:ascii="Arial" w:hAnsi="Arial" w:cs="Arial"/>
          <w:sz w:val="20"/>
          <w:szCs w:val="20"/>
        </w:rPr>
        <w:t xml:space="preserve"> </w:t>
      </w:r>
      <w:r w:rsidRPr="015642F7">
        <w:rPr>
          <w:rFonts w:ascii="Segoe UI Symbol" w:hAnsi="Segoe UI Symbol" w:cs="Segoe UI Symbol"/>
          <w:sz w:val="20"/>
          <w:szCs w:val="20"/>
        </w:rPr>
        <w:t>⁠</w:t>
      </w:r>
      <w:r w:rsidRPr="015642F7">
        <w:rPr>
          <w:rFonts w:ascii="Arial" w:hAnsi="Arial" w:cs="Arial"/>
          <w:sz w:val="20"/>
          <w:szCs w:val="20"/>
        </w:rPr>
        <w:t xml:space="preserve"> (Accessed: 5 October 2026).</w:t>
      </w:r>
    </w:p>
    <w:p w14:paraId="175D3E51" w14:textId="77777777" w:rsidR="005D3A38" w:rsidRPr="000E0D0C" w:rsidRDefault="005D3A38" w:rsidP="00C61961">
      <w:pPr>
        <w:spacing w:line="360" w:lineRule="auto"/>
        <w:rPr>
          <w:rFonts w:ascii="Arial" w:hAnsi="Arial" w:cs="Arial"/>
          <w:sz w:val="20"/>
          <w:szCs w:val="20"/>
        </w:rPr>
      </w:pPr>
    </w:p>
    <w:p w14:paraId="1E731066" w14:textId="5553DB87" w:rsidR="00AF7CA0" w:rsidRPr="000E0D0C" w:rsidRDefault="008F4469" w:rsidP="00D855EB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 xml:space="preserve">World Health Organization (WHO) (2024) </w:t>
      </w:r>
      <w:r w:rsidRPr="000E0D0C">
        <w:rPr>
          <w:rFonts w:ascii="Arial" w:hAnsi="Arial" w:cs="Arial"/>
          <w:i/>
          <w:iCs/>
          <w:sz w:val="20"/>
          <w:szCs w:val="20"/>
        </w:rPr>
        <w:t xml:space="preserve">Clinical descriptions and diagnostic requirements for ICD-11 mental, </w:t>
      </w:r>
      <w:proofErr w:type="spellStart"/>
      <w:r w:rsidRPr="000E0D0C">
        <w:rPr>
          <w:rFonts w:ascii="Arial" w:hAnsi="Arial" w:cs="Arial"/>
          <w:i/>
          <w:iCs/>
          <w:sz w:val="20"/>
          <w:szCs w:val="20"/>
        </w:rPr>
        <w:t>behavioural</w:t>
      </w:r>
      <w:proofErr w:type="spellEnd"/>
      <w:r w:rsidRPr="000E0D0C">
        <w:rPr>
          <w:rFonts w:ascii="Arial" w:hAnsi="Arial" w:cs="Arial"/>
          <w:i/>
          <w:iCs/>
          <w:sz w:val="20"/>
          <w:szCs w:val="20"/>
        </w:rPr>
        <w:t xml:space="preserve"> and neurodevelopmental disorders</w:t>
      </w:r>
      <w:r w:rsidRPr="000E0D0C">
        <w:rPr>
          <w:rFonts w:ascii="Arial" w:hAnsi="Arial" w:cs="Arial"/>
          <w:sz w:val="20"/>
          <w:szCs w:val="20"/>
        </w:rPr>
        <w:t xml:space="preserve">. Geneva: World Health Organization. </w:t>
      </w:r>
    </w:p>
    <w:p w14:paraId="0F3FA6B6" w14:textId="77777777" w:rsidR="00DE574B" w:rsidRPr="000E0D0C" w:rsidRDefault="008F4469" w:rsidP="0023142C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>Available at:  WHO ICD-11 CDDR</w:t>
      </w:r>
    </w:p>
    <w:p w14:paraId="7AC24A53" w14:textId="0B92A5BC" w:rsidR="008F4469" w:rsidRPr="000E0D0C" w:rsidRDefault="008F4469" w:rsidP="0023142C">
      <w:pPr>
        <w:spacing w:line="360" w:lineRule="auto"/>
        <w:rPr>
          <w:rFonts w:ascii="Arial" w:hAnsi="Arial" w:cs="Arial"/>
          <w:sz w:val="20"/>
          <w:szCs w:val="20"/>
        </w:rPr>
      </w:pPr>
      <w:r w:rsidRPr="000E0D0C">
        <w:rPr>
          <w:rFonts w:ascii="Arial" w:hAnsi="Arial" w:cs="Arial"/>
          <w:sz w:val="20"/>
          <w:szCs w:val="20"/>
        </w:rPr>
        <w:t>(Accessed: 5 October 2026).</w:t>
      </w:r>
    </w:p>
    <w:p w14:paraId="2476C33B" w14:textId="77777777" w:rsidR="008F4469" w:rsidRDefault="008F4469" w:rsidP="00C61961">
      <w:pPr>
        <w:rPr>
          <w:rFonts w:ascii="Arial" w:hAnsi="Arial" w:cs="Arial"/>
          <w:sz w:val="22"/>
          <w:szCs w:val="22"/>
        </w:rPr>
      </w:pPr>
    </w:p>
    <w:p w14:paraId="2D4B4F1A" w14:textId="77777777" w:rsidR="00063D60" w:rsidRPr="00787CDA" w:rsidRDefault="00063D60" w:rsidP="00C61961">
      <w:pPr>
        <w:rPr>
          <w:rFonts w:ascii="Arial" w:hAnsi="Arial" w:cs="Arial"/>
          <w:sz w:val="22"/>
          <w:szCs w:val="22"/>
        </w:rPr>
      </w:pPr>
    </w:p>
    <w:sectPr w:rsidR="00063D60" w:rsidRPr="00787CDA" w:rsidSect="00D9093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arrow">
    <w:charset w:val="00"/>
    <w:family w:val="swiss"/>
    <w:pitch w:val="variable"/>
    <w:sig w:usb0="00000287" w:usb1="000008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F2677"/>
    <w:multiLevelType w:val="hybridMultilevel"/>
    <w:tmpl w:val="BD200D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863942"/>
    <w:multiLevelType w:val="hybridMultilevel"/>
    <w:tmpl w:val="D6725D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696F4C"/>
    <w:multiLevelType w:val="hybridMultilevel"/>
    <w:tmpl w:val="0FF47C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5237106">
    <w:abstractNumId w:val="1"/>
  </w:num>
  <w:num w:numId="2" w16cid:durableId="2088921461">
    <w:abstractNumId w:val="0"/>
  </w:num>
  <w:num w:numId="3" w16cid:durableId="127601555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43AB"/>
    <w:rsid w:val="00013481"/>
    <w:rsid w:val="00041B52"/>
    <w:rsid w:val="00046EAF"/>
    <w:rsid w:val="00063D60"/>
    <w:rsid w:val="000A53A4"/>
    <w:rsid w:val="000B71BA"/>
    <w:rsid w:val="000E0D0C"/>
    <w:rsid w:val="00124951"/>
    <w:rsid w:val="001422B2"/>
    <w:rsid w:val="00142600"/>
    <w:rsid w:val="00191CA9"/>
    <w:rsid w:val="00194F61"/>
    <w:rsid w:val="00196310"/>
    <w:rsid w:val="001C74BA"/>
    <w:rsid w:val="00221085"/>
    <w:rsid w:val="0023142C"/>
    <w:rsid w:val="00235B61"/>
    <w:rsid w:val="00264886"/>
    <w:rsid w:val="0027223C"/>
    <w:rsid w:val="002A3742"/>
    <w:rsid w:val="002A5AED"/>
    <w:rsid w:val="002C193F"/>
    <w:rsid w:val="002C1AB8"/>
    <w:rsid w:val="003B6274"/>
    <w:rsid w:val="003C2BD0"/>
    <w:rsid w:val="003C443D"/>
    <w:rsid w:val="0042105D"/>
    <w:rsid w:val="00446F07"/>
    <w:rsid w:val="00455E2B"/>
    <w:rsid w:val="004A697E"/>
    <w:rsid w:val="004E15C6"/>
    <w:rsid w:val="004F0D0C"/>
    <w:rsid w:val="00515F1B"/>
    <w:rsid w:val="0052542D"/>
    <w:rsid w:val="00540628"/>
    <w:rsid w:val="005432C6"/>
    <w:rsid w:val="005450C7"/>
    <w:rsid w:val="00552B00"/>
    <w:rsid w:val="005538DA"/>
    <w:rsid w:val="00584904"/>
    <w:rsid w:val="00596D19"/>
    <w:rsid w:val="005B3B2D"/>
    <w:rsid w:val="005C002C"/>
    <w:rsid w:val="005D3A38"/>
    <w:rsid w:val="0063363F"/>
    <w:rsid w:val="00670066"/>
    <w:rsid w:val="00670D9D"/>
    <w:rsid w:val="00686260"/>
    <w:rsid w:val="00697152"/>
    <w:rsid w:val="006A25CE"/>
    <w:rsid w:val="006D4E3F"/>
    <w:rsid w:val="006F4100"/>
    <w:rsid w:val="00753070"/>
    <w:rsid w:val="00766B19"/>
    <w:rsid w:val="00787CDA"/>
    <w:rsid w:val="00793975"/>
    <w:rsid w:val="00793EB3"/>
    <w:rsid w:val="007C7034"/>
    <w:rsid w:val="007D080E"/>
    <w:rsid w:val="007D16FA"/>
    <w:rsid w:val="007D4274"/>
    <w:rsid w:val="007D4496"/>
    <w:rsid w:val="00835C6A"/>
    <w:rsid w:val="00857364"/>
    <w:rsid w:val="0088632C"/>
    <w:rsid w:val="008C17EE"/>
    <w:rsid w:val="008E3481"/>
    <w:rsid w:val="008E43AB"/>
    <w:rsid w:val="008F4469"/>
    <w:rsid w:val="008F5159"/>
    <w:rsid w:val="008F6ADB"/>
    <w:rsid w:val="009004C8"/>
    <w:rsid w:val="00901AA9"/>
    <w:rsid w:val="0095359F"/>
    <w:rsid w:val="00953C9C"/>
    <w:rsid w:val="00954664"/>
    <w:rsid w:val="00966501"/>
    <w:rsid w:val="0099414F"/>
    <w:rsid w:val="009A077D"/>
    <w:rsid w:val="009D3B51"/>
    <w:rsid w:val="009E0A01"/>
    <w:rsid w:val="009E540C"/>
    <w:rsid w:val="00A65398"/>
    <w:rsid w:val="00A71565"/>
    <w:rsid w:val="00A73D60"/>
    <w:rsid w:val="00A820B3"/>
    <w:rsid w:val="00A97898"/>
    <w:rsid w:val="00AB16E1"/>
    <w:rsid w:val="00AD2446"/>
    <w:rsid w:val="00AD2E4A"/>
    <w:rsid w:val="00AF7CA0"/>
    <w:rsid w:val="00B04ABA"/>
    <w:rsid w:val="00B64DA5"/>
    <w:rsid w:val="00B726A4"/>
    <w:rsid w:val="00B81566"/>
    <w:rsid w:val="00BB6269"/>
    <w:rsid w:val="00BE11B4"/>
    <w:rsid w:val="00BF79C6"/>
    <w:rsid w:val="00C03011"/>
    <w:rsid w:val="00C22A66"/>
    <w:rsid w:val="00C53615"/>
    <w:rsid w:val="00C61961"/>
    <w:rsid w:val="00C94D8B"/>
    <w:rsid w:val="00CA481D"/>
    <w:rsid w:val="00CB1B83"/>
    <w:rsid w:val="00CB22B1"/>
    <w:rsid w:val="00CC67EA"/>
    <w:rsid w:val="00D36BF9"/>
    <w:rsid w:val="00D40CA4"/>
    <w:rsid w:val="00D75D92"/>
    <w:rsid w:val="00D855EB"/>
    <w:rsid w:val="00D9093F"/>
    <w:rsid w:val="00D96662"/>
    <w:rsid w:val="00D9759C"/>
    <w:rsid w:val="00DB44DC"/>
    <w:rsid w:val="00DE574B"/>
    <w:rsid w:val="00DE6E17"/>
    <w:rsid w:val="00E138E7"/>
    <w:rsid w:val="00E50D48"/>
    <w:rsid w:val="00E52AB3"/>
    <w:rsid w:val="00E52FFC"/>
    <w:rsid w:val="00E806B7"/>
    <w:rsid w:val="00E95BA1"/>
    <w:rsid w:val="00E97EFC"/>
    <w:rsid w:val="00EA6FF1"/>
    <w:rsid w:val="00EC2850"/>
    <w:rsid w:val="00EF1BA0"/>
    <w:rsid w:val="00F56BCB"/>
    <w:rsid w:val="00F77970"/>
    <w:rsid w:val="015642F7"/>
    <w:rsid w:val="074B452C"/>
    <w:rsid w:val="074BB6AB"/>
    <w:rsid w:val="12932B5E"/>
    <w:rsid w:val="13EC80E3"/>
    <w:rsid w:val="1670CC18"/>
    <w:rsid w:val="1A7DCFF7"/>
    <w:rsid w:val="1D6918D0"/>
    <w:rsid w:val="2EA01935"/>
    <w:rsid w:val="3E2556E4"/>
    <w:rsid w:val="416EAA1E"/>
    <w:rsid w:val="45C4EF0D"/>
    <w:rsid w:val="481D5C72"/>
    <w:rsid w:val="49D735A5"/>
    <w:rsid w:val="4A50AE5E"/>
    <w:rsid w:val="50B23FAD"/>
    <w:rsid w:val="5521E09B"/>
    <w:rsid w:val="5B3ACB7B"/>
    <w:rsid w:val="65A37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59C606"/>
  <w15:chartTrackingRefBased/>
  <w15:docId w15:val="{269BC971-F3D4-4E75-BA94-3FF063B33C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43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43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43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43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43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43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43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43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43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43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43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43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43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43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43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43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43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43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43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43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43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43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43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43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43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43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43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43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43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2105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105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35C6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6971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bmjment-2023-300951" TargetMode="External"/><Relationship Id="rId13" Type="http://schemas.openxmlformats.org/officeDocument/2006/relationships/hyperlink" Target="https://doi.org/10.1016/j.comppsych.2021.15222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07/s10912-010-9107-3" TargetMode="External"/><Relationship Id="rId12" Type="http://schemas.openxmlformats.org/officeDocument/2006/relationships/hyperlink" Target="https://doi.org/10.1016/j.psc.2022.11.005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1038/s41398-023-02433-2" TargetMode="External"/><Relationship Id="rId11" Type="http://schemas.openxmlformats.org/officeDocument/2006/relationships/hyperlink" Target="https://doi.org/10.1007/s00115-014-4229-x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doi.org/10.1016/j.jocrd.2025.100982" TargetMode="External"/><Relationship Id="rId10" Type="http://schemas.openxmlformats.org/officeDocument/2006/relationships/hyperlink" Target="https://doi.org/10.1016/0005-7967(66)90023-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2/brb3.3000" TargetMode="External"/><Relationship Id="rId14" Type="http://schemas.openxmlformats.org/officeDocument/2006/relationships/hyperlink" Target="https://doi.org/10.1016/j.jpsychires.2023.06.0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1</Pages>
  <Words>694</Words>
  <Characters>3960</Characters>
  <Application>Microsoft Office Word</Application>
  <DocSecurity>4</DocSecurity>
  <Lines>33</Lines>
  <Paragraphs>9</Paragraphs>
  <ScaleCrop>false</ScaleCrop>
  <Company/>
  <LinksUpToDate>false</LinksUpToDate>
  <CharactersWithSpaces>4645</CharactersWithSpaces>
  <SharedDoc>false</SharedDoc>
  <HLinks>
    <vt:vector size="60" baseType="variant">
      <vt:variant>
        <vt:i4>3342460</vt:i4>
      </vt:variant>
      <vt:variant>
        <vt:i4>27</vt:i4>
      </vt:variant>
      <vt:variant>
        <vt:i4>0</vt:i4>
      </vt:variant>
      <vt:variant>
        <vt:i4>5</vt:i4>
      </vt:variant>
      <vt:variant>
        <vt:lpwstr>https://doi.org/10.1016/j.jocrd.2025.100982</vt:lpwstr>
      </vt:variant>
      <vt:variant>
        <vt:lpwstr/>
      </vt:variant>
      <vt:variant>
        <vt:i4>4194371</vt:i4>
      </vt:variant>
      <vt:variant>
        <vt:i4>24</vt:i4>
      </vt:variant>
      <vt:variant>
        <vt:i4>0</vt:i4>
      </vt:variant>
      <vt:variant>
        <vt:i4>5</vt:i4>
      </vt:variant>
      <vt:variant>
        <vt:lpwstr>https://doi.org/10.1016/j.jpsychires.2023.06.004</vt:lpwstr>
      </vt:variant>
      <vt:variant>
        <vt:lpwstr/>
      </vt:variant>
      <vt:variant>
        <vt:i4>2949232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https://doi.org/10.1016/j.comppsych.2021.152223</vt:lpwstr>
      </vt:variant>
      <vt:variant>
        <vt:lpwstr/>
      </vt:variant>
      <vt:variant>
        <vt:i4>4980746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https://doi.org/10.1016/j.psc.2022.11.005</vt:lpwstr>
      </vt:variant>
      <vt:variant>
        <vt:lpwstr/>
      </vt:variant>
      <vt:variant>
        <vt:i4>524309</vt:i4>
      </vt:variant>
      <vt:variant>
        <vt:i4>15</vt:i4>
      </vt:variant>
      <vt:variant>
        <vt:i4>0</vt:i4>
      </vt:variant>
      <vt:variant>
        <vt:i4>5</vt:i4>
      </vt:variant>
      <vt:variant>
        <vt:lpwstr>https://doi.org/10.1007/s00115-014-4229-x</vt:lpwstr>
      </vt:variant>
      <vt:variant>
        <vt:lpwstr/>
      </vt:variant>
      <vt:variant>
        <vt:i4>393295</vt:i4>
      </vt:variant>
      <vt:variant>
        <vt:i4>12</vt:i4>
      </vt:variant>
      <vt:variant>
        <vt:i4>0</vt:i4>
      </vt:variant>
      <vt:variant>
        <vt:i4>5</vt:i4>
      </vt:variant>
      <vt:variant>
        <vt:lpwstr>https://doi.org/10.1016/0005-7967(66)90023-4</vt:lpwstr>
      </vt:variant>
      <vt:variant>
        <vt:lpwstr/>
      </vt:variant>
      <vt:variant>
        <vt:i4>5308486</vt:i4>
      </vt:variant>
      <vt:variant>
        <vt:i4>9</vt:i4>
      </vt:variant>
      <vt:variant>
        <vt:i4>0</vt:i4>
      </vt:variant>
      <vt:variant>
        <vt:i4>5</vt:i4>
      </vt:variant>
      <vt:variant>
        <vt:lpwstr>https://doi.org/10.1002/brb3.3000</vt:lpwstr>
      </vt:variant>
      <vt:variant>
        <vt:lpwstr/>
      </vt:variant>
      <vt:variant>
        <vt:i4>6684768</vt:i4>
      </vt:variant>
      <vt:variant>
        <vt:i4>6</vt:i4>
      </vt:variant>
      <vt:variant>
        <vt:i4>0</vt:i4>
      </vt:variant>
      <vt:variant>
        <vt:i4>5</vt:i4>
      </vt:variant>
      <vt:variant>
        <vt:lpwstr>https://doi.org/10.1136/bmjment-2023-300951</vt:lpwstr>
      </vt:variant>
      <vt:variant>
        <vt:lpwstr/>
      </vt:variant>
      <vt:variant>
        <vt:i4>851992</vt:i4>
      </vt:variant>
      <vt:variant>
        <vt:i4>3</vt:i4>
      </vt:variant>
      <vt:variant>
        <vt:i4>0</vt:i4>
      </vt:variant>
      <vt:variant>
        <vt:i4>5</vt:i4>
      </vt:variant>
      <vt:variant>
        <vt:lpwstr>https://doi.org/10.1007/s10912-010-9107-3</vt:lpwstr>
      </vt:variant>
      <vt:variant>
        <vt:lpwstr/>
      </vt:variant>
      <vt:variant>
        <vt:i4>2687031</vt:i4>
      </vt:variant>
      <vt:variant>
        <vt:i4>0</vt:i4>
      </vt:variant>
      <vt:variant>
        <vt:i4>0</vt:i4>
      </vt:variant>
      <vt:variant>
        <vt:i4>5</vt:i4>
      </vt:variant>
      <vt:variant>
        <vt:lpwstr>https://doi.org/10.1038/s41398-023-02433-2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Sobia Hussain (2409460)</dc:creator>
  <cp:keywords/>
  <dc:description/>
  <cp:lastModifiedBy>Sobia Hussain (2409460)</cp:lastModifiedBy>
  <cp:revision>111</cp:revision>
  <dcterms:created xsi:type="dcterms:W3CDTF">2026-10-05T20:54:00Z</dcterms:created>
  <dcterms:modified xsi:type="dcterms:W3CDTF">2026-10-21T16:49:00Z</dcterms:modified>
</cp:coreProperties>
</file>