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719DB09" w14:textId="77777777" w:rsidR="00B73FCC" w:rsidRDefault="00B73FCC" w:rsidP="00B73FCC">
      <w:pPr>
        <w:pStyle w:val="Title"/>
        <w:pBdr>
          <w:bottom w:val="single" w:sz="6" w:space="1" w:color="auto"/>
        </w:pBdr>
        <w:rPr>
          <w:rFonts w:ascii="Times New Roman" w:hAnsi="Times New Roman" w:cs="Times New Roman"/>
          <w:b/>
        </w:rPr>
      </w:pPr>
      <w:r w:rsidRPr="00B73FCC">
        <w:rPr>
          <w:rFonts w:ascii="Times New Roman" w:hAnsi="Times New Roman" w:cs="Times New Roman"/>
          <w:b/>
        </w:rPr>
        <w:t>Justice Beyond Silence: Evaluating Negative and Positive Peace in Theory and Practice</w:t>
      </w:r>
    </w:p>
    <w:p w14:paraId="25F4A59A" w14:textId="77777777" w:rsidR="00B73FCC" w:rsidRPr="00B73FCC" w:rsidRDefault="00B73FCC" w:rsidP="00A940B0">
      <w:r w:rsidRPr="00B73FCC">
        <w:br/>
      </w:r>
      <w:r w:rsidRPr="00B73FCC">
        <w:br w:type="page"/>
      </w:r>
    </w:p>
    <w:p w14:paraId="3581BF0E" w14:textId="77777777" w:rsidR="00F0162E" w:rsidRDefault="00F0162E" w:rsidP="00F0162E">
      <w:pPr>
        <w:pStyle w:val="Heading1"/>
      </w:pPr>
      <w:r w:rsidRPr="00F0162E">
        <w:lastRenderedPageBreak/>
        <w:t>Introduction: What is Peace? What is Peace Studies?</w:t>
      </w:r>
    </w:p>
    <w:p w14:paraId="4D8B3D76" w14:textId="77777777" w:rsidR="00F0162E" w:rsidRDefault="00F0162E" w:rsidP="00F0162E">
      <w:r>
        <w:t>Properties of peace are not just lack of violence, it is also what is just, what is equities, what is holistic well-being. This is due to Johan Galtung’s basic ideas of negative peace (absence of explicit violence) and positive peace (presence of social justice and the conditions for harmony) (Galtung, 1969). These two dimensions give shape to the modern discipline of Peace Studies.</w:t>
      </w:r>
    </w:p>
    <w:p w14:paraId="71C1B107" w14:textId="77777777" w:rsidR="00F0162E" w:rsidRDefault="00F0162E" w:rsidP="00F0162E">
      <w:r>
        <w:t>Peace Studies is an interdisciplinary field of critical inquiry in all the causes of violence, means of conflict resolution, and establishing structural conditions of peace. It is beyond diplomacy and ceasefires, with knowledge from sociology, ethics, political science and anthropology. According to Chapter 6, Peace Studies emphasizes creating relations and systems that prevent the direct and stru</w:t>
      </w:r>
      <w:r w:rsidR="00B73FCC">
        <w:t>ctural violence (Chapter 6</w:t>
      </w:r>
      <w:r>
        <w:t>).</w:t>
      </w:r>
    </w:p>
    <w:p w14:paraId="2EB15F97" w14:textId="77777777" w:rsidR="00F0162E" w:rsidRPr="00F0162E" w:rsidRDefault="00F0162E" w:rsidP="00F0162E">
      <w:r>
        <w:t>In the following three essays we speak through this framework in order to explore real world examples, philosophical insights and conflict intervention strategies to assess the understanding, building and sustaining of peace.</w:t>
      </w:r>
    </w:p>
    <w:p w14:paraId="65ACFC0B" w14:textId="77777777" w:rsidR="00F0162E" w:rsidRDefault="00F0162E" w:rsidP="00F0162E">
      <w:pPr>
        <w:pStyle w:val="Heading1"/>
      </w:pPr>
      <w:r w:rsidRPr="00F0162E">
        <w:t>Negative and Positive Peace in South Africa</w:t>
      </w:r>
    </w:p>
    <w:p w14:paraId="384E2A2F" w14:textId="77777777" w:rsidR="00F0162E" w:rsidRDefault="00F0162E" w:rsidP="00F0162E">
      <w:r>
        <w:t>Johan Galtung’s dichotomy between negative or mere absence of direct violence and positive peace or social justice and equity proves a powerful way to assess post-apartheid South Africa. Despite having largely missed out on civil war and insurgency since the demise of apartheid in 1994, the continent of deep rooted inequality and structural violence indicates that peace in South Africa is at best partial and fragile.</w:t>
      </w:r>
    </w:p>
    <w:p w14:paraId="29B50E0A" w14:textId="77777777" w:rsidR="00F0162E" w:rsidRDefault="00F0162E" w:rsidP="00F0162E">
      <w:pPr>
        <w:pStyle w:val="Heading2"/>
      </w:pPr>
      <w:r>
        <w:lastRenderedPageBreak/>
        <w:t>Negative Peace Achieved</w:t>
      </w:r>
    </w:p>
    <w:p w14:paraId="21E85B9E" w14:textId="77777777" w:rsidR="00F0162E" w:rsidRDefault="00F0162E" w:rsidP="00F0162E">
      <w:r>
        <w:t xml:space="preserve">The collapse of apartheid and South Africa’s first democratic elections in 1994 were take a huge step forward in the nation’s history. In this process, the country transitioned to a peaceful political transition under the leadership of Nelson Mandela and the African National Congress (ANC). An important arrow in this process was the formation of the Truth and Reconciliation Commission (TRC) chaired by Archbishop Desmond Tutu. Process of confession and amnesty, rather than retribution, was </w:t>
      </w:r>
      <w:proofErr w:type="spellStart"/>
      <w:r>
        <w:t>favoured</w:t>
      </w:r>
      <w:proofErr w:type="spellEnd"/>
      <w:r>
        <w:t xml:space="preserve"> and highlighted by the TRC, which underscored purpose of healing and national unity. By emphasizing restorative justice over punitive measures, the white minority felt restrained from violent backlash and the transition remained relatively stable.</w:t>
      </w:r>
    </w:p>
    <w:p w14:paraId="6A0F88E6" w14:textId="77777777" w:rsidR="00F0162E" w:rsidRDefault="00F0162E" w:rsidP="00F0162E">
      <w:r>
        <w:t>Overall, it successfully achieved the negative peace, in accordance with the de</w:t>
      </w:r>
      <w:r w:rsidR="00B73FCC">
        <w:t>finition of the term (Chapter 6</w:t>
      </w:r>
      <w:r>
        <w:t>). Although the TRC helped heal psychic trauma and individual responsibility, it did not deal structurally and systemically with virtually all the injustices suffered. In addition, South Africa is also confronted with high violent crime rates all the while dealing with frequent outbreaks of xenophobic violence, often focused on African immigrants. These events appear to show the curbing of the direct political violence, however, social tensions and insecurities remain unresolved and pose a threat to the sustainability even of negative peace.</w:t>
      </w:r>
    </w:p>
    <w:p w14:paraId="7103CAD9" w14:textId="77777777" w:rsidR="00F0162E" w:rsidRDefault="00F0162E" w:rsidP="00F0162E">
      <w:pPr>
        <w:pStyle w:val="Heading2"/>
      </w:pPr>
      <w:r>
        <w:t>Positive Peace Unfulfilled</w:t>
      </w:r>
    </w:p>
    <w:p w14:paraId="3989EB3B" w14:textId="77777777" w:rsidR="00F0162E" w:rsidRDefault="00F0162E" w:rsidP="00F0162E">
      <w:r>
        <w:t xml:space="preserve">The advent of the </w:t>
      </w:r>
      <w:proofErr w:type="spellStart"/>
      <w:r>
        <w:t>post apartheid</w:t>
      </w:r>
      <w:proofErr w:type="spellEnd"/>
      <w:r>
        <w:t xml:space="preserve"> era failed to bring about the socio economic transformation many thought would be conceivable. Although political freedom, South Africa remains one of the country with the greatest inequality in the world. Despite colonial and apartheid planning for economic and educational segregation that geographically and racially aligned, continuing economic and educational disparities remain closely aligned with racial lines. Over the past </w:t>
      </w:r>
      <w:r>
        <w:lastRenderedPageBreak/>
        <w:t>century, opportunities for economic and service availability for Black South Africans have not been matched to political enfranchisement.</w:t>
      </w:r>
    </w:p>
    <w:p w14:paraId="7B120EC5" w14:textId="77777777" w:rsidR="00B73FCC" w:rsidRDefault="00B73FCC" w:rsidP="00B73FCC">
      <w:r>
        <w:t xml:space="preserve">Galtung (1969) defined positive peace as an institution where structural has been removed and there is equity, participation and social justice. </w:t>
      </w:r>
      <w:proofErr w:type="spellStart"/>
      <w:r>
        <w:t>Investigatioange</w:t>
      </w:r>
      <w:proofErr w:type="spellEnd"/>
      <w:r>
        <w:t>, however, has shown that South Africa’s neoliberal economic policies and largely absent land reform have failed to redistribute wealth or the structure the ownership pattern. Much of the land is held in white hands, and the work of responding to these circumstances includes being denied access to housing, healthcare, and employment.</w:t>
      </w:r>
    </w:p>
    <w:p w14:paraId="7ECDA1AF" w14:textId="77777777" w:rsidR="00B73FCC" w:rsidRDefault="00B73FCC" w:rsidP="00B73FCC">
      <w:r>
        <w:t>It is indicative of failure to accomplish positive peace in these areas because there is no meaningful progress in these. According to Chapter 6 of Peace Studies (n.d.), peace is not limited to institutions but also to fair access to resources, dignity and opportunity for all (Chapter 6). Among such structural violence, the continued marginalization of such great segments of the population is a salient reminder of the more restless and subtle forms of violence that Galtung warns against, such as the one that continues to be suffered by vast sectors of the population.</w:t>
      </w:r>
    </w:p>
    <w:p w14:paraId="31C0BC2C" w14:textId="77777777" w:rsidR="00B73FCC" w:rsidRDefault="00B73FCC" w:rsidP="00B73FCC">
      <w:pPr>
        <w:pStyle w:val="Heading2"/>
      </w:pPr>
      <w:r>
        <w:t>Shortcomings of Transitional Justice</w:t>
      </w:r>
    </w:p>
    <w:p w14:paraId="49FFB8BA" w14:textId="77777777" w:rsidR="00B73FCC" w:rsidRDefault="00B73FCC" w:rsidP="00B73FCC">
      <w:r>
        <w:t>In many ways, the TRC was ground breaking but in scope it was limited. It paid little attention to the role played by corporations and institutions which were materially benefited by apartheid. Economic justice or systemic reform was not a major pursuit. The reparations are minimal and land redistribution efforts have led to stalled or watered down efforts because of political inertia or a fear of the flight in investors.</w:t>
      </w:r>
    </w:p>
    <w:p w14:paraId="725EA21E" w14:textId="77777777" w:rsidR="00B73FCC" w:rsidRDefault="00B73FCC" w:rsidP="00B73FCC">
      <w:r>
        <w:t xml:space="preserve">This is one of those places to which one comes only by a narrow interpretation of justice whereby there is freedom from some burden at the same time as they go without redress. This is </w:t>
      </w:r>
      <w:r>
        <w:lastRenderedPageBreak/>
        <w:t>especially apt because of Galtung’s argument that structural inequality is indeed itself a form of violence. Peace is incomplete until then: that is, without addressing economic disparities and the institutional legacies of apartheid.</w:t>
      </w:r>
    </w:p>
    <w:p w14:paraId="337E3DFA" w14:textId="77777777" w:rsidR="00B73FCC" w:rsidRDefault="00B73FCC" w:rsidP="00B73FCC">
      <w:pPr>
        <w:pStyle w:val="Heading2"/>
      </w:pPr>
      <w:r>
        <w:t>Grassroots Mobilization and the Path Forward</w:t>
      </w:r>
    </w:p>
    <w:p w14:paraId="0D1C7B03" w14:textId="77777777" w:rsidR="00B73FCC" w:rsidRDefault="00B73FCC" w:rsidP="00B73FCC">
      <w:r>
        <w:t xml:space="preserve">South Africa’s civil society is thriving despite such challenges. Issues including the unaffordable education, urban evictions as well as informal settlement rights are being raised by movements such as #FeesMustFall and </w:t>
      </w:r>
      <w:proofErr w:type="spellStart"/>
      <w:r>
        <w:t>Abahlali</w:t>
      </w:r>
      <w:proofErr w:type="spellEnd"/>
      <w:r>
        <w:t xml:space="preserve"> </w:t>
      </w:r>
      <w:proofErr w:type="spellStart"/>
      <w:r>
        <w:t>baseMjondolo</w:t>
      </w:r>
      <w:proofErr w:type="spellEnd"/>
      <w:r>
        <w:t xml:space="preserve">. B(e) These grassroots efforts reflect the Peace Studies focus on </w:t>
      </w:r>
      <w:proofErr w:type="gramStart"/>
      <w:r>
        <w:t>bottom up</w:t>
      </w:r>
      <w:proofErr w:type="gramEnd"/>
      <w:r>
        <w:t xml:space="preserve"> transformation and democratization of justice (Chapter 6).</w:t>
      </w:r>
    </w:p>
    <w:p w14:paraId="18A7D7BE" w14:textId="77777777" w:rsidR="00F0162E" w:rsidRDefault="00F0162E" w:rsidP="00B73FCC">
      <w:pPr>
        <w:pStyle w:val="Heading1"/>
      </w:pPr>
      <w:r w:rsidRPr="00F0162E">
        <w:t>Kant’s Conditions for Perpetual Peace in the Modern International System</w:t>
      </w:r>
    </w:p>
    <w:p w14:paraId="7A0C4998" w14:textId="77777777" w:rsidR="00B73FCC" w:rsidRDefault="00B73FCC" w:rsidP="00B73FCC">
      <w:r>
        <w:t>In his essay Perpetual Peace (1795), Immanuel Kant outlined the conditions necessary for the future to be free from the scourge of war: three (republican constitutions, federalist federation of states, cosmopolitan rights). The ideas represented by these kinds of foreign policy ideas are still important to contemporary global politics, though they are only partly realized.</w:t>
      </w:r>
    </w:p>
    <w:p w14:paraId="4470478D" w14:textId="77777777" w:rsidR="00B73FCC" w:rsidRDefault="00B73FCC" w:rsidP="00B73FCC">
      <w:pPr>
        <w:pStyle w:val="Heading2"/>
      </w:pPr>
      <w:r>
        <w:t>Republican Constitutions and Democratic Peace</w:t>
      </w:r>
    </w:p>
    <w:p w14:paraId="2275C577" w14:textId="77777777" w:rsidR="00B73FCC" w:rsidRDefault="00B73FCC" w:rsidP="00B73FCC">
      <w:r>
        <w:t>According to Kant, republics led by the consent of the people are less likely to enter into war. The result of this principle was Democratic Peace Theory, that democracies rarely war on each other (Kant, 2008).</w:t>
      </w:r>
    </w:p>
    <w:p w14:paraId="1B252686" w14:textId="77777777" w:rsidR="00B73FCC" w:rsidRDefault="00B73FCC" w:rsidP="00B73FCC">
      <w:r>
        <w:t xml:space="preserve">Many modern democracies, however, live in districts of peace (Canada, Germany, Japan). As noted in Chapter 10, however, the democratic backsliding jeopardizes this principle. Countries </w:t>
      </w:r>
      <w:r>
        <w:lastRenderedPageBreak/>
        <w:t>like Hungary and Brazil exhibit growing authoritarianism within nominally democratic systems (Chapter 10).</w:t>
      </w:r>
    </w:p>
    <w:p w14:paraId="7B43904F" w14:textId="77777777" w:rsidR="00B73FCC" w:rsidRDefault="00B73FCC" w:rsidP="00B73FCC">
      <w:pPr>
        <w:pStyle w:val="Heading2"/>
      </w:pPr>
      <w:r>
        <w:t>Federation of Free States</w:t>
      </w:r>
    </w:p>
    <w:p w14:paraId="6A04184A" w14:textId="77777777" w:rsidR="00B73FCC" w:rsidRDefault="00B73FCC" w:rsidP="00B73FCC">
      <w:r>
        <w:t xml:space="preserve">A federation of autonomous states pledged to peace was what Kant rejected in </w:t>
      </w:r>
      <w:proofErr w:type="spellStart"/>
      <w:r>
        <w:t>favour</w:t>
      </w:r>
      <w:proofErr w:type="spellEnd"/>
      <w:r>
        <w:t xml:space="preserve"> of a world state. United Nations and European Union today, though form similar to the form of Kant’s ideal, do not work like the ideal. For instance, the five permanent members enjoy the veto power in the UN Security Council, which shapes it based on power imbalances on the global level. Although these institutions have kept much of the world relatively peaceful, they have not managed to stop atrocities in Syria, Yemen and in Myanmar (Chapter 10), showing the limits of voluntary cooperation without enforcing mechanisms.</w:t>
      </w:r>
    </w:p>
    <w:p w14:paraId="3A24B6CF" w14:textId="77777777" w:rsidR="00B73FCC" w:rsidRDefault="00B73FCC" w:rsidP="00B73FCC">
      <w:pPr>
        <w:pStyle w:val="Heading2"/>
      </w:pPr>
      <w:r>
        <w:t>Cosmopolitan Rights and Global Inequality</w:t>
      </w:r>
    </w:p>
    <w:p w14:paraId="2D85FA91" w14:textId="77777777" w:rsidR="00B73FCC" w:rsidRDefault="00B73FCC" w:rsidP="00B73FCC">
      <w:r>
        <w:t xml:space="preserve">According to his third requirement, universal hospitality, the followers of Kant are to treat foreigners with respect. This is true in the world of today for refugee protection and human right laws. Yet, </w:t>
      </w:r>
      <w:proofErr w:type="spellStart"/>
      <w:r>
        <w:t>anti immigration</w:t>
      </w:r>
      <w:proofErr w:type="spellEnd"/>
      <w:r>
        <w:t xml:space="preserve"> policies, border militarization and detention centers violate this principle, </w:t>
      </w:r>
      <w:proofErr w:type="spellStart"/>
      <w:r>
        <w:t>espcially</w:t>
      </w:r>
      <w:proofErr w:type="spellEnd"/>
      <w:r>
        <w:t xml:space="preserve"> in the Global North (Chapter 10). The unequal treatment of migrants contradicts Kant’s moral cosmopolitanism. Global displacement is caused by climate change, war and economic instability, but countries cling to sovereignty over shared humanity.</w:t>
      </w:r>
    </w:p>
    <w:p w14:paraId="07EA5E93" w14:textId="77777777" w:rsidR="00B73FCC" w:rsidRDefault="00B73FCC" w:rsidP="00B73FCC">
      <w:pPr>
        <w:pStyle w:val="Heading2"/>
      </w:pPr>
      <w:r>
        <w:t>Kant vs. Kang: Two Visions of Peace</w:t>
      </w:r>
    </w:p>
    <w:p w14:paraId="453AF555" w14:textId="77777777" w:rsidR="00B73FCC" w:rsidRDefault="00B73FCC" w:rsidP="00B73FCC">
      <w:r>
        <w:t xml:space="preserve">Ferris (2023) maintains that Kang </w:t>
      </w:r>
      <w:proofErr w:type="spellStart"/>
      <w:r>
        <w:t>Youwei</w:t>
      </w:r>
      <w:proofErr w:type="spellEnd"/>
      <w:r>
        <w:t xml:space="preserve"> gives an excellent critique of Kant’s Westphalian Liberalism. The global state that Kant feared would become despotic, Kang countered, requires rather a world government that is communitarian and democratic. Ferris (2023) further, suggests that Kang’s proposition is far more than legal structures in proposing ethical training and </w:t>
      </w:r>
      <w:r>
        <w:lastRenderedPageBreak/>
        <w:t>international solidarity as the grounds for peace. His work charts experiences where peacebuilding fails to achieve the political legalism and shows that Kantian peace may not be sufficient in an interconnected world.</w:t>
      </w:r>
    </w:p>
    <w:p w14:paraId="01E2A61C" w14:textId="77777777" w:rsidR="00F0162E" w:rsidRPr="00F0162E" w:rsidRDefault="00F0162E" w:rsidP="00B73FCC">
      <w:pPr>
        <w:pStyle w:val="Heading1"/>
      </w:pPr>
      <w:r w:rsidRPr="00F0162E">
        <w:t>Essay 3: Conflict Stages and Strategies for De-escalation</w:t>
      </w:r>
    </w:p>
    <w:p w14:paraId="6F0B26AF" w14:textId="77777777" w:rsidR="00B73FCC" w:rsidRPr="00B73FCC" w:rsidRDefault="00B73FCC" w:rsidP="00B73FCC">
      <w:r w:rsidRPr="00B73FCC">
        <w:t>To facilitate successful transformation of conflict, all three stages of conflict—escalation, stalemate, and resolution—are critically important. They all represent a different level of intensity and level of complexity that call for specific strategies in order to address growing dynamics. The peacebuilders must understand these phases within a context of recognizing them as outlined in Chapter 6 of Peace Studies in order to use appropriate tools and interventions in the right time (Chapter 6).</w:t>
      </w:r>
    </w:p>
    <w:p w14:paraId="19D7EF5B" w14:textId="77777777" w:rsidR="00B73FCC" w:rsidRPr="00B73FCC" w:rsidRDefault="00B73FCC" w:rsidP="00B73FCC">
      <w:pPr>
        <w:pStyle w:val="Heading2"/>
        <w:rPr>
          <w:rFonts w:eastAsia="Times New Roman"/>
        </w:rPr>
      </w:pPr>
      <w:r w:rsidRPr="00B73FCC">
        <w:rPr>
          <w:rFonts w:eastAsia="Times New Roman"/>
        </w:rPr>
        <w:t>Stage 1: Escalation</w:t>
      </w:r>
    </w:p>
    <w:p w14:paraId="0C063022" w14:textId="77777777" w:rsidR="00B73FCC" w:rsidRPr="00B73FCC" w:rsidRDefault="00B73FCC" w:rsidP="00B73FCC">
      <w:r w:rsidRPr="00B73FCC">
        <w:t xml:space="preserve">In initial phase of a conflict, escalation involves rising tensions; </w:t>
      </w:r>
      <w:proofErr w:type="spellStart"/>
      <w:r w:rsidRPr="00B73FCC">
        <w:t>badgowns</w:t>
      </w:r>
      <w:proofErr w:type="spellEnd"/>
      <w:r w:rsidRPr="00B73FCC">
        <w:t xml:space="preserve"> in communication; polarization between groups, persons. Perceived injustices, competition for scarce resources, identity based grievances are the causes of conflicts in this stage. Hostility is also fueled by misunderstandings and mistrust, and parties start to see each other as threats, and belligerence can reinforce divisions as well as occur in a zero-sum way.</w:t>
      </w:r>
    </w:p>
    <w:p w14:paraId="6471330F" w14:textId="77777777" w:rsidR="00B73FCC" w:rsidRPr="00B73FCC" w:rsidRDefault="00B73FCC" w:rsidP="00B73FCC">
      <w:r w:rsidRPr="00B73FCC">
        <w:t>On the other hand peace builders will have to utilize preventative de-escalation strategies in order to prevent furthe</w:t>
      </w:r>
      <w:r>
        <w:t xml:space="preserve">r deterioration. </w:t>
      </w:r>
      <w:r w:rsidRPr="00B73FCC">
        <w:t>Communication and dialogue initiatives, such narrow ones as clearing up mis</w:t>
      </w:r>
      <w:r>
        <w:t xml:space="preserve">perceptions and building trust. </w:t>
      </w:r>
      <w:r w:rsidRPr="00B73FCC">
        <w:t>Secondly, confidence building measures (CBMs) such as joint cultural programs or cooperative development projects that prom</w:t>
      </w:r>
      <w:r>
        <w:t xml:space="preserve">ote empathy and undermine fear. </w:t>
      </w:r>
      <w:r w:rsidRPr="00B73FCC">
        <w:t xml:space="preserve">Track II diplomacy (Track II refers here to the track used for highway travel, and it consists of nonpolitical informal actors—NGOs, academics, religious </w:t>
      </w:r>
      <w:r w:rsidRPr="00B73FCC">
        <w:lastRenderedPageBreak/>
        <w:t>leaders—who attempt to negotiate among themselves and to bring in the political players as discussion progresses).</w:t>
      </w:r>
      <w:r>
        <w:t xml:space="preserve"> </w:t>
      </w:r>
      <w:r w:rsidRPr="00B73FCC">
        <w:t>They both bring the humanity to the other side and relational understanding before violence occurs. As outlined in Chapter 6, early engagement is important in mitigating hostilities to ensure prevention from induction of formal conflict (Chapter 6).</w:t>
      </w:r>
    </w:p>
    <w:p w14:paraId="65C0B4D1" w14:textId="77777777" w:rsidR="00B73FCC" w:rsidRPr="00B73FCC" w:rsidRDefault="00B73FCC" w:rsidP="00B73FCC">
      <w:pPr>
        <w:pStyle w:val="Heading2"/>
        <w:rPr>
          <w:rFonts w:eastAsia="Times New Roman"/>
        </w:rPr>
      </w:pPr>
      <w:r w:rsidRPr="00B73FCC">
        <w:rPr>
          <w:rFonts w:eastAsia="Times New Roman"/>
        </w:rPr>
        <w:t>Stage 2: Stalemate</w:t>
      </w:r>
    </w:p>
    <w:p w14:paraId="2CE5A51F" w14:textId="77777777" w:rsidR="00B73FCC" w:rsidRPr="00B73FCC" w:rsidRDefault="00B73FCC" w:rsidP="00B73FCC">
      <w:r w:rsidRPr="00B73FCC">
        <w:t>At stalemate stage, the costs of further conflict are high and both parties are aware that they cannot win. Such a situation could turn into a frozen conflict (i.e., a conflict in which violence erupts only intermittently, is marked by distrust and opposing narratives, and witnessed an increasing entrenchment of its narratives). It may also make compromise harder and harder to find in public rhetoric.</w:t>
      </w:r>
    </w:p>
    <w:p w14:paraId="00FC5F05" w14:textId="77777777" w:rsidR="00F0162E" w:rsidRDefault="00B73FCC" w:rsidP="00B73FCC">
      <w:r w:rsidRPr="00B73FCC">
        <w:t>Intervention in this phase is skillful and requires the same with the involvement of the two parties</w:t>
      </w:r>
      <w:r>
        <w:t>. Effective strategies include; t</w:t>
      </w:r>
      <w:r w:rsidRPr="00B73FCC">
        <w:t>o create neutrality in mediation and arbitration between the entrenched par</w:t>
      </w:r>
      <w:r>
        <w:t xml:space="preserve">ties to resolve their disputes. </w:t>
      </w:r>
      <w:r w:rsidRPr="00B73FCC">
        <w:t xml:space="preserve">Protected zones and humanitarian ceases fires, which allow for civilians to be relieved while engaging </w:t>
      </w:r>
      <w:r>
        <w:t xml:space="preserve">in negotiations. </w:t>
      </w:r>
      <w:r w:rsidRPr="00B73FCC">
        <w:t>The case of Oslo Accords, the backchannel diplomacy; the informal, secret negotiation</w:t>
      </w:r>
      <w:r>
        <w:t xml:space="preserve"> yielding to formal agreements. </w:t>
      </w:r>
      <w:r w:rsidRPr="00B73FCC">
        <w:t>This is a stage when the third party negotiators play a particular and very important role because they are able to provide a safe space for dialogue and to bridge communication gaps. This gives them the trust to be able to further build trust and come up with mutually agreeable terms of de-escalation.</w:t>
      </w:r>
    </w:p>
    <w:p w14:paraId="6CD6049A" w14:textId="77777777" w:rsidR="00B73FCC" w:rsidRDefault="00B73FCC" w:rsidP="00B73FCC">
      <w:pPr>
        <w:pStyle w:val="Heading2"/>
      </w:pPr>
      <w:r>
        <w:t>Stage 3: Resolution and Peacebuilding</w:t>
      </w:r>
    </w:p>
    <w:p w14:paraId="697B7437" w14:textId="77777777" w:rsidR="00B73FCC" w:rsidRDefault="00B73FCC" w:rsidP="00B73FCC">
      <w:r>
        <w:t xml:space="preserve">The most overlooked phase, primarily because the media frequently focuses on other phases, is the last one, the post-settlement with </w:t>
      </w:r>
      <w:proofErr w:type="spellStart"/>
      <w:proofErr w:type="gramStart"/>
      <w:r>
        <w:t>a</w:t>
      </w:r>
      <w:proofErr w:type="spellEnd"/>
      <w:proofErr w:type="gramEnd"/>
      <w:r>
        <w:t xml:space="preserve"> emphasis on reconstruction phase is an imperative for sustained peace. It calls for healing people at personal, community, organizational, and societal </w:t>
      </w:r>
      <w:r>
        <w:lastRenderedPageBreak/>
        <w:t xml:space="preserve">level – it </w:t>
      </w:r>
      <w:proofErr w:type="gramStart"/>
      <w:r>
        <w:t>has to</w:t>
      </w:r>
      <w:proofErr w:type="gramEnd"/>
      <w:r>
        <w:t xml:space="preserve"> fix relationships, people’s issues, institutions as well. Some of the crucial ideas to emanate from peace building are; Transitional justice such as a truth telling, reparations and other forms of by which societies admit to a wrong done and seek to move on. Disarmament, demobilization, and reintegration (DDR) programs, essential for the safe return of ex-combatants to civilian life. In turn, structural causes that require intervention to address include; The above are the structural causes that require proneness to intervention, for instance; As Ferris (2023) and Kang </w:t>
      </w:r>
      <w:proofErr w:type="spellStart"/>
      <w:r>
        <w:t>Youwei</w:t>
      </w:r>
      <w:proofErr w:type="spellEnd"/>
      <w:r>
        <w:t xml:space="preserve"> have noted, in addition to obvious guarantees, such things as civic education, ethical reformation, and cosmopolitan consciousness are important for changing people’s subjective perception and avoiding the cyclical switching in-between the two states, which are war and peace.</w:t>
      </w:r>
    </w:p>
    <w:p w14:paraId="4026597E" w14:textId="77777777" w:rsidR="00F0162E" w:rsidRPr="00F0162E" w:rsidRDefault="00F0162E" w:rsidP="00F0162E">
      <w:pPr>
        <w:spacing w:after="0" w:line="240" w:lineRule="auto"/>
        <w:rPr>
          <w:rFonts w:eastAsia="Times New Roman" w:cs="Times New Roman"/>
          <w:szCs w:val="24"/>
        </w:rPr>
      </w:pPr>
    </w:p>
    <w:p w14:paraId="1A4405C0" w14:textId="77777777" w:rsidR="00F0162E" w:rsidRPr="00F0162E" w:rsidRDefault="00F0162E" w:rsidP="00F0162E">
      <w:pPr>
        <w:pStyle w:val="Heading1"/>
      </w:pPr>
      <w:r w:rsidRPr="00F0162E">
        <w:t xml:space="preserve">References </w:t>
      </w:r>
    </w:p>
    <w:p w14:paraId="3E9D5B76" w14:textId="77777777" w:rsidR="00F0162E" w:rsidRPr="00F0162E" w:rsidRDefault="00F0162E" w:rsidP="00F0162E">
      <w:r w:rsidRPr="00F0162E">
        <w:t xml:space="preserve">Ferris, D.H., 2023. </w:t>
      </w:r>
      <w:r w:rsidRPr="00F0162E">
        <w:rPr>
          <w:i/>
          <w:iCs/>
        </w:rPr>
        <w:t>Democratic Peace beyond Westphalia: Kang and Kant</w:t>
      </w:r>
      <w:r w:rsidRPr="00F0162E">
        <w:t xml:space="preserve">. Comparative Political Theory, 3, pp.32–52. </w:t>
      </w:r>
      <w:hyperlink r:id="rId5" w:history="1">
        <w:r w:rsidR="00B73FCC" w:rsidRPr="00B96717">
          <w:rPr>
            <w:rStyle w:val="Hyperlink"/>
          </w:rPr>
          <w:t>https://doi.org/10.1163/26669773-bja10042</w:t>
        </w:r>
      </w:hyperlink>
      <w:r w:rsidR="00B73FCC">
        <w:t xml:space="preserve"> </w:t>
      </w:r>
    </w:p>
    <w:p w14:paraId="35CA8700" w14:textId="77777777" w:rsidR="00F0162E" w:rsidRPr="00F0162E" w:rsidRDefault="00F0162E" w:rsidP="00F0162E">
      <w:r w:rsidRPr="00F0162E">
        <w:t xml:space="preserve">Galtung, J., 1969. Violence, Peace, and Peace Research. </w:t>
      </w:r>
      <w:r w:rsidRPr="00F0162E">
        <w:rPr>
          <w:i/>
          <w:iCs/>
        </w:rPr>
        <w:t>Journal of Peace Research</w:t>
      </w:r>
      <w:r w:rsidRPr="00F0162E">
        <w:t>, 6(3), pp.167–191.</w:t>
      </w:r>
    </w:p>
    <w:p w14:paraId="35A9C944" w14:textId="77777777" w:rsidR="00F0162E" w:rsidRPr="00F0162E" w:rsidRDefault="00F0162E" w:rsidP="00F0162E">
      <w:r w:rsidRPr="00F0162E">
        <w:t xml:space="preserve">Kant, I., 2008. </w:t>
      </w:r>
      <w:r w:rsidRPr="00F0162E">
        <w:rPr>
          <w:i/>
          <w:iCs/>
        </w:rPr>
        <w:t>Towards Perpetual Peace and Other Writings on Politics, Peace, and History</w:t>
      </w:r>
      <w:r w:rsidRPr="00F0162E">
        <w:t xml:space="preserve">. Edited by P. </w:t>
      </w:r>
      <w:proofErr w:type="spellStart"/>
      <w:r w:rsidRPr="00F0162E">
        <w:t>Kleingeld</w:t>
      </w:r>
      <w:proofErr w:type="spellEnd"/>
      <w:r w:rsidRPr="00F0162E">
        <w:t>. New Haven: Yale University Press.</w:t>
      </w:r>
    </w:p>
    <w:p w14:paraId="4D9B0D5E" w14:textId="77777777" w:rsidR="00F0162E" w:rsidRPr="00F0162E" w:rsidRDefault="00F0162E" w:rsidP="00F0162E">
      <w:r w:rsidRPr="00F0162E">
        <w:t xml:space="preserve">Chapter 6 </w:t>
      </w:r>
      <w:r w:rsidRPr="00F0162E">
        <w:rPr>
          <w:i/>
          <w:iCs/>
        </w:rPr>
        <w:t>[Peace Studies Material]</w:t>
      </w:r>
      <w:r w:rsidRPr="00F0162E">
        <w:t xml:space="preserve">. </w:t>
      </w:r>
    </w:p>
    <w:p w14:paraId="505CBCEB" w14:textId="77777777" w:rsidR="00C87FCD" w:rsidRPr="00F0162E" w:rsidRDefault="00F0162E" w:rsidP="00F0162E">
      <w:r w:rsidRPr="00F0162E">
        <w:t xml:space="preserve">Chapter 10 </w:t>
      </w:r>
      <w:r w:rsidRPr="00F0162E">
        <w:rPr>
          <w:i/>
          <w:iCs/>
        </w:rPr>
        <w:t>[Peace Studies Material]</w:t>
      </w:r>
      <w:r w:rsidRPr="00F0162E">
        <w:t>.</w:t>
      </w:r>
      <w:r w:rsidR="00B73FCC" w:rsidRPr="00F0162E">
        <w:t xml:space="preserve"> </w:t>
      </w:r>
    </w:p>
    <w:sectPr w:rsidR="00C87FCD" w:rsidRPr="00F0162E">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2ED3729"/>
    <w:multiLevelType w:val="multilevel"/>
    <w:tmpl w:val="B992B1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DDD4386"/>
    <w:multiLevelType w:val="multilevel"/>
    <w:tmpl w:val="57002F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45365B98"/>
    <w:multiLevelType w:val="multilevel"/>
    <w:tmpl w:val="268C24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47693E54"/>
    <w:multiLevelType w:val="multilevel"/>
    <w:tmpl w:val="B9AED9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5FD12B8C"/>
    <w:multiLevelType w:val="multilevel"/>
    <w:tmpl w:val="9022E7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79157F62"/>
    <w:multiLevelType w:val="multilevel"/>
    <w:tmpl w:val="540E25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511065125">
    <w:abstractNumId w:val="0"/>
  </w:num>
  <w:num w:numId="2" w16cid:durableId="818155911">
    <w:abstractNumId w:val="3"/>
  </w:num>
  <w:num w:numId="3" w16cid:durableId="503083721">
    <w:abstractNumId w:val="5"/>
  </w:num>
  <w:num w:numId="4" w16cid:durableId="1288193994">
    <w:abstractNumId w:val="2"/>
  </w:num>
  <w:num w:numId="5" w16cid:durableId="892696882">
    <w:abstractNumId w:val="4"/>
  </w:num>
  <w:num w:numId="6" w16cid:durableId="34433282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0162E"/>
    <w:rsid w:val="001442EA"/>
    <w:rsid w:val="004D121A"/>
    <w:rsid w:val="00A940B0"/>
    <w:rsid w:val="00B73849"/>
    <w:rsid w:val="00B73FCC"/>
    <w:rsid w:val="00C87FCD"/>
    <w:rsid w:val="00EF7E7A"/>
    <w:rsid w:val="00F0162E"/>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D4867A"/>
  <w15:chartTrackingRefBased/>
  <w15:docId w15:val="{415B86A5-2ED5-4D34-B0A8-C35B1007B7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F7E7A"/>
    <w:pPr>
      <w:spacing w:line="480" w:lineRule="auto"/>
    </w:pPr>
    <w:rPr>
      <w:rFonts w:ascii="Times New Roman" w:hAnsi="Times New Roman"/>
      <w:sz w:val="24"/>
    </w:rPr>
  </w:style>
  <w:style w:type="paragraph" w:styleId="Heading1">
    <w:name w:val="heading 1"/>
    <w:basedOn w:val="Normal"/>
    <w:next w:val="Normal"/>
    <w:link w:val="Heading1Char"/>
    <w:uiPriority w:val="9"/>
    <w:qFormat/>
    <w:rsid w:val="00EF7E7A"/>
    <w:pPr>
      <w:outlineLvl w:val="0"/>
    </w:pPr>
    <w:rPr>
      <w:b/>
      <w:sz w:val="32"/>
    </w:rPr>
  </w:style>
  <w:style w:type="paragraph" w:styleId="Heading2">
    <w:name w:val="heading 2"/>
    <w:basedOn w:val="Normal"/>
    <w:next w:val="Normal"/>
    <w:link w:val="Heading2Char"/>
    <w:uiPriority w:val="9"/>
    <w:unhideWhenUsed/>
    <w:qFormat/>
    <w:rsid w:val="00EF7E7A"/>
    <w:pPr>
      <w:keepNext/>
      <w:keepLines/>
      <w:spacing w:before="40" w:after="0"/>
      <w:outlineLvl w:val="1"/>
    </w:pPr>
    <w:rPr>
      <w:rFonts w:eastAsiaTheme="majorEastAsia" w:cstheme="majorBidi"/>
      <w:b/>
      <w:sz w:val="26"/>
      <w:szCs w:val="26"/>
    </w:rPr>
  </w:style>
  <w:style w:type="paragraph" w:styleId="Heading3">
    <w:name w:val="heading 3"/>
    <w:basedOn w:val="Normal"/>
    <w:next w:val="Normal"/>
    <w:link w:val="Heading3Char"/>
    <w:uiPriority w:val="9"/>
    <w:unhideWhenUsed/>
    <w:qFormat/>
    <w:rsid w:val="004D121A"/>
    <w:pPr>
      <w:keepNext/>
      <w:keepLines/>
      <w:spacing w:before="40" w:after="0"/>
      <w:outlineLvl w:val="2"/>
    </w:pPr>
    <w:rPr>
      <w:rFonts w:eastAsiaTheme="majorEastAsia" w:cstheme="majorBidi"/>
      <w:b/>
      <w:color w:val="000000" w:themeColor="text1"/>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F7E7A"/>
    <w:rPr>
      <w:rFonts w:ascii="Times New Roman" w:hAnsi="Times New Roman"/>
      <w:b/>
      <w:sz w:val="32"/>
    </w:rPr>
  </w:style>
  <w:style w:type="character" w:customStyle="1" w:styleId="Heading2Char">
    <w:name w:val="Heading 2 Char"/>
    <w:basedOn w:val="DefaultParagraphFont"/>
    <w:link w:val="Heading2"/>
    <w:uiPriority w:val="9"/>
    <w:rsid w:val="00EF7E7A"/>
    <w:rPr>
      <w:rFonts w:ascii="Times New Roman" w:eastAsiaTheme="majorEastAsia" w:hAnsi="Times New Roman" w:cstheme="majorBidi"/>
      <w:b/>
      <w:sz w:val="26"/>
      <w:szCs w:val="26"/>
    </w:rPr>
  </w:style>
  <w:style w:type="character" w:styleId="SubtleEmphasis">
    <w:name w:val="Subtle Emphasis"/>
    <w:aliases w:val="Normaal"/>
    <w:basedOn w:val="DefaultParagraphFont"/>
    <w:uiPriority w:val="19"/>
    <w:qFormat/>
    <w:rsid w:val="00EF7E7A"/>
    <w:rPr>
      <w:rFonts w:ascii="Times New Roman" w:hAnsi="Times New Roman"/>
      <w:i w:val="0"/>
      <w:iCs/>
      <w:color w:val="404040" w:themeColor="text1" w:themeTint="BF"/>
      <w:sz w:val="24"/>
    </w:rPr>
  </w:style>
  <w:style w:type="character" w:customStyle="1" w:styleId="Heading3Char">
    <w:name w:val="Heading 3 Char"/>
    <w:basedOn w:val="DefaultParagraphFont"/>
    <w:link w:val="Heading3"/>
    <w:uiPriority w:val="9"/>
    <w:rsid w:val="004D121A"/>
    <w:rPr>
      <w:rFonts w:ascii="Times New Roman" w:eastAsiaTheme="majorEastAsia" w:hAnsi="Times New Roman" w:cstheme="majorBidi"/>
      <w:b/>
      <w:color w:val="000000" w:themeColor="text1"/>
      <w:sz w:val="24"/>
      <w:szCs w:val="24"/>
    </w:rPr>
  </w:style>
  <w:style w:type="character" w:styleId="Strong">
    <w:name w:val="Strong"/>
    <w:basedOn w:val="DefaultParagraphFont"/>
    <w:uiPriority w:val="22"/>
    <w:qFormat/>
    <w:rsid w:val="00F0162E"/>
    <w:rPr>
      <w:b/>
      <w:bCs/>
    </w:rPr>
  </w:style>
  <w:style w:type="character" w:styleId="Emphasis">
    <w:name w:val="Emphasis"/>
    <w:basedOn w:val="DefaultParagraphFont"/>
    <w:uiPriority w:val="20"/>
    <w:qFormat/>
    <w:rsid w:val="00F0162E"/>
    <w:rPr>
      <w:i/>
      <w:iCs/>
    </w:rPr>
  </w:style>
  <w:style w:type="character" w:styleId="Hyperlink">
    <w:name w:val="Hyperlink"/>
    <w:basedOn w:val="DefaultParagraphFont"/>
    <w:uiPriority w:val="99"/>
    <w:unhideWhenUsed/>
    <w:rsid w:val="00B73FCC"/>
    <w:rPr>
      <w:color w:val="0563C1" w:themeColor="hyperlink"/>
      <w:u w:val="single"/>
    </w:rPr>
  </w:style>
  <w:style w:type="paragraph" w:styleId="Title">
    <w:name w:val="Title"/>
    <w:basedOn w:val="Normal"/>
    <w:next w:val="Normal"/>
    <w:link w:val="TitleChar"/>
    <w:uiPriority w:val="10"/>
    <w:qFormat/>
    <w:rsid w:val="00B73FCC"/>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73FCC"/>
    <w:rPr>
      <w:rFonts w:asciiTheme="majorHAnsi" w:eastAsiaTheme="majorEastAsia" w:hAnsiTheme="majorHAnsi" w:cstheme="majorBidi"/>
      <w:spacing w:val="-10"/>
      <w:kern w:val="28"/>
      <w:sz w:val="56"/>
      <w:szCs w:val="5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889412412">
      <w:bodyDiv w:val="1"/>
      <w:marLeft w:val="0"/>
      <w:marRight w:val="0"/>
      <w:marTop w:val="0"/>
      <w:marBottom w:val="0"/>
      <w:divBdr>
        <w:top w:val="none" w:sz="0" w:space="0" w:color="auto"/>
        <w:left w:val="none" w:sz="0" w:space="0" w:color="auto"/>
        <w:bottom w:val="none" w:sz="0" w:space="0" w:color="auto"/>
        <w:right w:val="none" w:sz="0" w:space="0" w:color="auto"/>
      </w:divBdr>
    </w:div>
    <w:div w:id="19582913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doi.org/10.1163/26669773-bja10042"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9</Pages>
  <Words>2066</Words>
  <Characters>11780</Characters>
  <Application>Microsoft Office Word</Application>
  <DocSecurity>0</DocSecurity>
  <Lines>98</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13819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SANWAL</dc:creator>
  <cp:keywords/>
  <dc:description/>
  <cp:lastModifiedBy>Ibrahim Mohamed Mohamed Hussein Mohamed (2132801)</cp:lastModifiedBy>
  <cp:revision>2</cp:revision>
  <dcterms:created xsi:type="dcterms:W3CDTF">2025-05-03T16:35:00Z</dcterms:created>
  <dcterms:modified xsi:type="dcterms:W3CDTF">2025-05-03T16:35:00Z</dcterms:modified>
</cp:coreProperties>
</file>