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rPr>
          <w:rFonts w:ascii="Times New Roman" w:hAnsi="Times New Roman" w:cs="Times New Roman"/>
          <w:b/>
          <w:sz w:val="24"/>
          <w:szCs w:val="24"/>
        </w:rPr>
      </w:pPr>
    </w:p>
    <w:p>
      <w:pPr>
        <w:spacing w:line="480" w:lineRule="auto"/>
        <w:rPr>
          <w:rFonts w:ascii="Times New Roman" w:hAnsi="Times New Roman" w:cs="Times New Roman"/>
          <w:b/>
          <w:sz w:val="24"/>
          <w:szCs w:val="24"/>
        </w:rPr>
      </w:pPr>
    </w:p>
    <w:p>
      <w:pPr>
        <w:spacing w:line="480" w:lineRule="auto"/>
        <w:rPr>
          <w:rFonts w:ascii="Times New Roman" w:hAnsi="Times New Roman" w:cs="Times New Roman"/>
          <w:b/>
          <w:sz w:val="24"/>
          <w:szCs w:val="24"/>
        </w:rPr>
      </w:pPr>
    </w:p>
    <w:p>
      <w:pPr>
        <w:spacing w:line="480" w:lineRule="auto"/>
        <w:rPr>
          <w:rFonts w:ascii="Times New Roman" w:hAnsi="Times New Roman" w:cs="Times New Roman"/>
          <w:b/>
          <w:sz w:val="24"/>
          <w:szCs w:val="24"/>
        </w:rPr>
      </w:pPr>
    </w:p>
    <w:p>
      <w:pPr>
        <w:jc w:val="center"/>
        <w:rPr>
          <w:rFonts w:hint="default" w:ascii="Times New Roman" w:hAnsi="Times New Roman" w:cs="Times New Roman"/>
          <w:b/>
          <w:bCs/>
          <w:sz w:val="52"/>
          <w:szCs w:val="52"/>
          <w:lang w:val="en-US" w:eastAsia="zh-CN"/>
        </w:rPr>
      </w:pPr>
      <w:r>
        <w:rPr>
          <w:rFonts w:hint="default" w:ascii="Times New Roman" w:hAnsi="Times New Roman" w:cs="Times New Roman"/>
          <w:b/>
          <w:bCs/>
          <w:sz w:val="52"/>
          <w:szCs w:val="52"/>
          <w:lang w:val="en-US" w:eastAsia="zh-CN"/>
        </w:rPr>
        <w:t>Corporate Governance &amp; Social Responsibility</w:t>
      </w:r>
    </w:p>
    <w:p>
      <w:pPr>
        <w:spacing w:line="480" w:lineRule="auto"/>
        <w:rPr>
          <w:rFonts w:ascii="Times New Roman" w:hAnsi="Times New Roman" w:cs="Times New Roman"/>
          <w:b w:val="0"/>
          <w:bCs/>
          <w:sz w:val="32"/>
          <w:szCs w:val="32"/>
        </w:rPr>
      </w:pPr>
    </w:p>
    <w:p>
      <w:pPr>
        <w:spacing w:line="480" w:lineRule="auto"/>
        <w:jc w:val="center"/>
        <w:rPr>
          <w:rFonts w:hint="eastAsia" w:eastAsia="宋体" w:cs="Times New Roman"/>
          <w:b w:val="0"/>
          <w:bCs/>
          <w:sz w:val="24"/>
          <w:szCs w:val="24"/>
          <w:lang w:val="en-US" w:eastAsia="zh-CN"/>
        </w:rPr>
      </w:pPr>
      <w:r>
        <w:rPr>
          <w:rFonts w:hint="eastAsia" w:eastAsia="宋体" w:cs="Times New Roman"/>
          <w:b w:val="0"/>
          <w:bCs/>
          <w:sz w:val="24"/>
          <w:szCs w:val="24"/>
          <w:lang w:val="en-US" w:eastAsia="zh-CN"/>
        </w:rPr>
        <w:t>Philanthropists</w:t>
      </w:r>
    </w:p>
    <w:p>
      <w:pPr>
        <w:spacing w:line="480" w:lineRule="auto"/>
        <w:jc w:val="center"/>
        <w:rPr>
          <w:rFonts w:ascii="Times New Roman" w:hAnsi="Times New Roman" w:cs="Times New Roman"/>
          <w:b w:val="0"/>
          <w:bCs/>
          <w:sz w:val="24"/>
          <w:szCs w:val="24"/>
        </w:rPr>
      </w:pPr>
      <w:r>
        <w:rPr>
          <w:rFonts w:ascii="Times New Roman" w:hAnsi="Times New Roman" w:cs="Times New Roman"/>
          <w:b w:val="0"/>
          <w:bCs/>
          <w:sz w:val="24"/>
          <w:szCs w:val="24"/>
        </w:rPr>
        <w:t>John Rockefeller and Andrew Carnegie</w:t>
      </w:r>
    </w:p>
    <w:p>
      <w:pPr>
        <w:spacing w:line="480" w:lineRule="auto"/>
        <w:jc w:val="center"/>
        <w:rPr>
          <w:rFonts w:ascii="Times New Roman" w:hAnsi="Times New Roman" w:cs="Times New Roman"/>
          <w:sz w:val="24"/>
          <w:szCs w:val="24"/>
        </w:rPr>
        <w:sectPr>
          <w:pgSz w:w="12240" w:h="15840"/>
          <w:pgMar w:top="1440" w:right="1440" w:bottom="1440" w:left="1440" w:header="720" w:footer="720" w:gutter="0"/>
          <w:cols w:space="720" w:num="1"/>
          <w:titlePg/>
          <w:docGrid w:linePitch="360" w:charSpace="0"/>
        </w:sectPr>
      </w:pPr>
    </w:p>
    <w:p>
      <w:pPr>
        <w:pStyle w:val="2"/>
        <w:jc w:val="center"/>
        <w:rPr>
          <w:rFonts w:hint="eastAsia"/>
          <w:lang w:val="en-US" w:eastAsia="zh-CN"/>
        </w:rPr>
      </w:pPr>
      <w:r>
        <w:rPr>
          <w:rFonts w:hint="eastAsia"/>
          <w:lang w:val="en-US" w:eastAsia="zh-CN"/>
        </w:rPr>
        <w:t>Essay</w:t>
      </w:r>
    </w:p>
    <w:p>
      <w:pPr>
        <w:spacing w:line="480" w:lineRule="auto"/>
        <w:rPr>
          <w:rFonts w:ascii="Times New Roman" w:hAnsi="Times New Roman" w:cs="Times New Roman"/>
          <w:b/>
          <w:sz w:val="28"/>
          <w:szCs w:val="28"/>
        </w:rPr>
      </w:pPr>
      <w:r>
        <w:rPr>
          <w:rFonts w:ascii="Times New Roman" w:hAnsi="Times New Roman" w:cs="Times New Roman"/>
          <w:b/>
          <w:sz w:val="28"/>
          <w:szCs w:val="28"/>
        </w:rPr>
        <w:t>Stakeholders</w:t>
      </w:r>
    </w:p>
    <w:p>
      <w:pPr>
        <w:spacing w:line="480" w:lineRule="auto"/>
        <w:rPr>
          <w:rFonts w:hint="eastAsia" w:ascii="Times New Roman" w:hAnsi="Times New Roman" w:eastAsia="宋体" w:cs="Times New Roman"/>
          <w:sz w:val="24"/>
          <w:szCs w:val="24"/>
          <w:lang w:val="en-US" w:eastAsia="zh-CN"/>
        </w:rPr>
      </w:pPr>
      <w:r>
        <w:rPr>
          <w:rFonts w:ascii="Times New Roman" w:hAnsi="Times New Roman" w:cs="Times New Roman"/>
          <w:sz w:val="24"/>
          <w:szCs w:val="24"/>
        </w:rPr>
        <w:t>John Rockefeller was an entrepreneur, a CEO, and a popular business leader between 1839 and 1937 (</w:t>
      </w:r>
      <w:r>
        <w:rPr>
          <w:rFonts w:ascii="Times New Roman" w:hAnsi="Times New Roman" w:eastAsia="Times New Roman" w:cs="Times New Roman"/>
          <w:sz w:val="24"/>
          <w:szCs w:val="24"/>
        </w:rPr>
        <w:t>Byrd &amp; Cooperman, 2016)</w:t>
      </w:r>
      <w:r>
        <w:rPr>
          <w:rFonts w:ascii="Times New Roman" w:hAnsi="Times New Roman" w:cs="Times New Roman"/>
          <w:sz w:val="24"/>
          <w:szCs w:val="24"/>
        </w:rPr>
        <w:t>. He was the head of Standard Oil Company had a stakeholder interest in owning an oil refinery. Further, John played the stakeholder role of being an employee, producer of shippers, and a merchant at Hewitt &amp; Tuttle. On the other hand</w:t>
      </w:r>
      <w:r>
        <w:rPr>
          <w:rFonts w:hint="eastAsia" w:eastAsia="宋体" w:cs="Times New Roman"/>
          <w:sz w:val="24"/>
          <w:szCs w:val="24"/>
          <w:lang w:val="en-US" w:eastAsia="zh-CN"/>
        </w:rPr>
        <w:t>.</w:t>
      </w:r>
    </w:p>
    <w:p>
      <w:pPr>
        <w:spacing w:line="480" w:lineRule="auto"/>
        <w:rPr>
          <w:rFonts w:ascii="Times New Roman" w:hAnsi="Times New Roman" w:cs="Times New Roman"/>
          <w:sz w:val="24"/>
          <w:szCs w:val="24"/>
        </w:rPr>
      </w:pPr>
      <w:r>
        <w:rPr>
          <w:rFonts w:ascii="Times New Roman" w:hAnsi="Times New Roman" w:cs="Times New Roman"/>
          <w:sz w:val="24"/>
          <w:szCs w:val="24"/>
        </w:rPr>
        <w:t>Andrew Carnegie was the owner of a steel empire, which he run for years and later sold.</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 xml:space="preserve"> Besides, he also worked as an employee of Railroad Company in 1865 the same year in which he started working with Union Army to repair damaged telegraph lines and railroad. Both Rockefeller and Carnegie had interests of being business owners, which prompted them to build their empires based on opportunities presented in the American market. </w:t>
      </w:r>
    </w:p>
    <w:p>
      <w:pPr>
        <w:spacing w:line="480" w:lineRule="auto"/>
        <w:rPr>
          <w:rFonts w:ascii="Times New Roman" w:hAnsi="Times New Roman" w:cs="Times New Roman"/>
          <w:sz w:val="24"/>
          <w:szCs w:val="24"/>
        </w:rPr>
      </w:pPr>
    </w:p>
    <w:p>
      <w:pPr>
        <w:spacing w:line="480" w:lineRule="auto"/>
        <w:rPr>
          <w:rFonts w:ascii="Times New Roman" w:hAnsi="Times New Roman" w:cs="Times New Roman"/>
          <w:b/>
          <w:sz w:val="28"/>
          <w:szCs w:val="28"/>
        </w:rPr>
      </w:pPr>
      <w:r>
        <w:rPr>
          <w:rFonts w:ascii="Times New Roman" w:hAnsi="Times New Roman" w:cs="Times New Roman"/>
          <w:b/>
          <w:sz w:val="28"/>
          <w:szCs w:val="28"/>
        </w:rPr>
        <w:t xml:space="preserve">Governance </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According to </w:t>
      </w:r>
      <w:r>
        <w:rPr>
          <w:rFonts w:ascii="Times New Roman" w:hAnsi="Times New Roman" w:eastAsia="Times New Roman" w:cs="Times New Roman"/>
          <w:sz w:val="24"/>
          <w:szCs w:val="24"/>
        </w:rPr>
        <w:t>Rosenblum (2016)</w:t>
      </w:r>
      <w:r>
        <w:rPr>
          <w:rFonts w:ascii="Times New Roman" w:hAnsi="Times New Roman" w:cs="Times New Roman"/>
          <w:sz w:val="24"/>
          <w:szCs w:val="24"/>
        </w:rPr>
        <w:t xml:space="preserve">, governance is stewardship and formation of formal and informal rules regulating the public, arena in which the societal and economic actors are in a position to interact in making decisions. John Rockefeller and Andrew Carnegie adopted unique governance aspects that led to the establishment of favorable economic and societal environmental settings favoring the Americans. </w:t>
      </w: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John Rockefeller and Andrew Carnegie are the greatest American businesspersons ever known. The two alongside other three are remembered for their innovative and entrepreneurial spirits towards growing their Standard oil and Steel empires respectively. Both John and Andrew had entrepreneurial spirits such that right from their age they sought to be owners rather than working with other individuals. Thus, each sought for opportunities in the American economy at the time to set up individual empires that were aimed at meeting the market gaps existing in the American economy.</w:t>
      </w: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r>
        <w:rPr>
          <w:rFonts w:ascii="Times New Roman" w:hAnsi="Times New Roman" w:cs="Times New Roman"/>
          <w:sz w:val="24"/>
          <w:szCs w:val="24"/>
        </w:rPr>
        <w:t>John Rockefeller discovered that it was possible to refine crude oil into kerosene that quality is illuminating oil for automobiles and lamps. John was opportunistic in that he realized that American families required lighting up their houses, hence setting up Standard Oil Company in 1863. Thus, in his ownership role, John sought to create aspects that would better the lives of the Americans. In his governance, John adopted a cost-efficient and vertical integration model that was in a position to produce, refine, and distribute oil that presented a favorable economic and market opportunities for the Americans who would otherwise struggle to obtain the oil.  Besides, his inspiration for running the oil empire was to help others in the society. A significant portion of returns from the oil company was dedicated to charity. For example, in 1855, Rockefeller’s giving extended to many people and institutions such as churches and universities with the aim of enhancing their lives (</w:t>
      </w:r>
      <w:r>
        <w:rPr>
          <w:rFonts w:ascii="Times New Roman" w:hAnsi="Times New Roman" w:eastAsia="Times New Roman" w:cs="Times New Roman"/>
          <w:sz w:val="24"/>
          <w:szCs w:val="24"/>
        </w:rPr>
        <w:t>Leblond, 2016).</w:t>
      </w:r>
      <w:r>
        <w:rPr>
          <w:rFonts w:ascii="Times New Roman" w:hAnsi="Times New Roman" w:cs="Times New Roman"/>
          <w:sz w:val="24"/>
          <w:szCs w:val="24"/>
        </w:rPr>
        <w:t xml:space="preserve"> Another aspect of governance was making investments. After accumulating wealth from the oil company, John merged into various investments in diverse sectors in the American economy. Investments opportunities are an excellent governance aspect that enhances the security levels of the stakeholders in an organization as well as the society in which the business is being run. </w:t>
      </w: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r>
        <w:rPr>
          <w:rFonts w:ascii="Times New Roman" w:hAnsi="Times New Roman" w:cs="Times New Roman"/>
          <w:sz w:val="24"/>
          <w:szCs w:val="24"/>
        </w:rPr>
        <w:t>On the other hand, the governance aspects of Andrew are visible with his interactions with the workers and different involvements in enhancing the well-being of the society. Carnegie was viewed as a friend to the employees who were in a position to handle all situations peacefully. Andrew was keen on upholding the rights of the employees and creating a conducive environment for the workers. Other than that, Andrew believed that all the wealthy had the moral obligation of serving as stewards of the society. In relation, Carnegie was devoted his wealth to ensuring international peace as well as supporting developments in education. He founded many universities and schools, as he believed that every person was entitled to the best education (</w:t>
      </w:r>
      <w:r>
        <w:rPr>
          <w:rFonts w:ascii="Times New Roman" w:hAnsi="Times New Roman" w:eastAsia="Times New Roman" w:cs="Times New Roman"/>
          <w:sz w:val="24"/>
          <w:szCs w:val="24"/>
        </w:rPr>
        <w:t>Geiger, 2017).</w:t>
      </w:r>
      <w:r>
        <w:rPr>
          <w:rFonts w:ascii="Times New Roman" w:hAnsi="Times New Roman" w:cs="Times New Roman"/>
          <w:sz w:val="24"/>
          <w:szCs w:val="24"/>
        </w:rPr>
        <w:t xml:space="preserve"> He further, set up free public libraries. In ensuring international peace, Andrew led to the establishment of trusts that were focused on identifying the causes of war. He led to the creation of a Peace Palace in Hague that houses an extensive library of the international law resources aimed at investigating the causes of war. Thus, Andrew’s governance was focused on creating a better society regarding education, peace, and well-being. </w:t>
      </w:r>
    </w:p>
    <w:p>
      <w:pPr>
        <w:spacing w:line="480" w:lineRule="auto"/>
        <w:rPr>
          <w:rFonts w:ascii="Times New Roman" w:hAnsi="Times New Roman" w:cs="Times New Roman"/>
          <w:sz w:val="24"/>
          <w:szCs w:val="24"/>
        </w:rPr>
      </w:pPr>
    </w:p>
    <w:p>
      <w:pPr>
        <w:spacing w:line="480" w:lineRule="auto"/>
        <w:rPr>
          <w:rFonts w:ascii="Times New Roman" w:hAnsi="Times New Roman" w:cs="Times New Roman"/>
          <w:b/>
          <w:sz w:val="28"/>
          <w:szCs w:val="28"/>
        </w:rPr>
      </w:pPr>
      <w:r>
        <w:rPr>
          <w:rFonts w:ascii="Times New Roman" w:hAnsi="Times New Roman" w:cs="Times New Roman"/>
          <w:b/>
          <w:sz w:val="28"/>
          <w:szCs w:val="28"/>
        </w:rPr>
        <w:t xml:space="preserve">Modern Day Governance </w:t>
      </w:r>
    </w:p>
    <w:p>
      <w:pPr>
        <w:spacing w:line="480" w:lineRule="auto"/>
        <w:rPr>
          <w:rFonts w:ascii="Times New Roman" w:hAnsi="Times New Roman" w:cs="Times New Roman"/>
          <w:sz w:val="24"/>
          <w:szCs w:val="24"/>
        </w:rPr>
      </w:pPr>
      <w:r>
        <w:rPr>
          <w:rFonts w:ascii="Times New Roman" w:hAnsi="Times New Roman" w:cs="Times New Roman"/>
          <w:sz w:val="24"/>
          <w:szCs w:val="24"/>
        </w:rPr>
        <w:t>The modern governance rules are focused on accumulating profits to support the growth of organizations. Modern organizations have place valued on the attainment of the largest market share and forgotten their social responsibility in ensuring that they should work towards establishing stable and conducive social and market settings for people within the organizations. Here, the objectives and long-term goals of the organizations are based on profits, sales, market share, and competitive position of the organization (</w:t>
      </w:r>
      <w:r>
        <w:rPr>
          <w:rFonts w:ascii="Times New Roman" w:hAnsi="Times New Roman" w:eastAsia="Times New Roman" w:cs="Times New Roman"/>
          <w:sz w:val="24"/>
          <w:szCs w:val="24"/>
        </w:rPr>
        <w:t>Clark &amp; Huang, 2014)</w:t>
      </w:r>
      <w:r>
        <w:rPr>
          <w:rFonts w:ascii="Times New Roman" w:hAnsi="Times New Roman" w:cs="Times New Roman"/>
          <w:sz w:val="24"/>
          <w:szCs w:val="24"/>
        </w:rPr>
        <w:t xml:space="preserve">.  However, in running operations in the modern organizations, an ethical approach is adopted to govern the actions and behaviors adopted by stakeholders. </w:t>
      </w: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The rules in the modern governance are partial blessings to the stakeholders, as customers tend to benefit from quality products and constant supply of services and products. However, the community offering resources used in the organization, have limited benefits from the organization, as the rules established are limited within the success of the company and few or no attention given to the well-being or market gap existing in the society. John Rockefeller and Andrew Carnegie governance were fully accountable for the happenings in the society such that each of them aimed at bettering the society and using their organizational resources to create a sustainable community, hence being more of a blessing than a curse. </w:t>
      </w:r>
    </w:p>
    <w:p>
      <w:pPr>
        <w:spacing w:line="480" w:lineRule="auto"/>
        <w:rPr>
          <w:rFonts w:ascii="Times New Roman" w:hAnsi="Times New Roman" w:cs="Times New Roman"/>
          <w:sz w:val="24"/>
          <w:szCs w:val="24"/>
        </w:rPr>
      </w:pPr>
    </w:p>
    <w:p>
      <w:pPr>
        <w:spacing w:line="480" w:lineRule="auto"/>
        <w:rPr>
          <w:rFonts w:ascii="Times New Roman" w:hAnsi="Times New Roman" w:cs="Times New Roman"/>
          <w:b/>
          <w:sz w:val="28"/>
          <w:szCs w:val="28"/>
        </w:rPr>
      </w:pPr>
      <w:r>
        <w:rPr>
          <w:rFonts w:ascii="Times New Roman" w:hAnsi="Times New Roman" w:cs="Times New Roman"/>
          <w:b/>
          <w:sz w:val="28"/>
          <w:szCs w:val="28"/>
        </w:rPr>
        <w:t xml:space="preserve">Philanthropic Activities </w:t>
      </w:r>
    </w:p>
    <w:p>
      <w:pPr>
        <w:spacing w:line="480" w:lineRule="auto"/>
        <w:rPr>
          <w:rStyle w:val="11"/>
          <w:rFonts w:ascii="Times New Roman" w:hAnsi="Times New Roman" w:cs="Times New Roman"/>
          <w:sz w:val="24"/>
          <w:szCs w:val="24"/>
        </w:rPr>
      </w:pPr>
      <w:r>
        <w:rPr>
          <w:rFonts w:ascii="Times New Roman" w:hAnsi="Times New Roman" w:cs="Times New Roman"/>
          <w:sz w:val="24"/>
          <w:szCs w:val="24"/>
        </w:rPr>
        <w:t xml:space="preserve">Philanthropy entails charitable giving to humans in large scale, and it is more than giving such that an organization or a person </w:t>
      </w:r>
      <w:r>
        <w:rPr>
          <w:rStyle w:val="11"/>
          <w:rFonts w:ascii="Times New Roman" w:hAnsi="Times New Roman" w:cs="Times New Roman"/>
          <w:sz w:val="24"/>
          <w:szCs w:val="24"/>
        </w:rPr>
        <w:t>adopts an altruistic interest to enhance human welfare. The act of helping others and concentrating on boosting the well-being of others in the society does not necessarily justify wealth making. However, one has to be hardworking to be in a position to attain resources and finances to assists others. The ultimate will to assist others and to create a sustainable society is a major factor that prompts the philanthropists (</w:t>
      </w:r>
      <w:r>
        <w:rPr>
          <w:rFonts w:ascii="Times New Roman" w:hAnsi="Times New Roman" w:eastAsia="Times New Roman" w:cs="Times New Roman"/>
          <w:sz w:val="24"/>
          <w:szCs w:val="24"/>
        </w:rPr>
        <w:t>Clark &amp; Huang, 2014)</w:t>
      </w:r>
      <w:r>
        <w:rPr>
          <w:rStyle w:val="11"/>
          <w:rFonts w:ascii="Times New Roman" w:hAnsi="Times New Roman" w:cs="Times New Roman"/>
          <w:sz w:val="24"/>
          <w:szCs w:val="24"/>
        </w:rPr>
        <w:t>. Wealth should not limit people from engaging in behaviors and actions that create a conducive social, economic, and political environment. So long as one has the will to assist people and perceives that people are bound to enjoy the best in the society, then hard work and devotions towards will support them in bettering the society holding wealth as a constant.</w:t>
      </w:r>
    </w:p>
    <w:p>
      <w:pPr>
        <w:spacing w:line="480" w:lineRule="auto"/>
        <w:rPr>
          <w:rStyle w:val="11"/>
          <w:rFonts w:ascii="Times New Roman" w:hAnsi="Times New Roman" w:cs="Times New Roman"/>
          <w:sz w:val="24"/>
          <w:szCs w:val="24"/>
        </w:rPr>
      </w:pPr>
    </w:p>
    <w:p>
      <w:pPr>
        <w:spacing w:line="480" w:lineRule="auto"/>
        <w:rPr>
          <w:rFonts w:ascii="Times New Roman" w:hAnsi="Times New Roman" w:cs="Times New Roman"/>
          <w:sz w:val="24"/>
          <w:szCs w:val="24"/>
        </w:rPr>
      </w:pPr>
      <w:r>
        <w:rPr>
          <w:rStyle w:val="11"/>
          <w:rFonts w:ascii="Times New Roman" w:hAnsi="Times New Roman" w:cs="Times New Roman"/>
          <w:sz w:val="24"/>
          <w:szCs w:val="24"/>
        </w:rPr>
        <w:t xml:space="preserve">The actions of </w:t>
      </w:r>
      <w:r>
        <w:rPr>
          <w:rFonts w:ascii="Times New Roman" w:hAnsi="Times New Roman" w:cs="Times New Roman"/>
          <w:sz w:val="24"/>
          <w:szCs w:val="24"/>
        </w:rPr>
        <w:t>John Rockefeller and Andrew Carnegie foundations do not justify the past actions of John Rockefeller’s Standard oil company and Andrew Carnegie’s steel empire. Rockefeller foundation was bound to engaging in charitable activities that he claimed were an act of promoting family values. Further, the foundations support developments in the education system, where it led to the establishment of the University of Chicago. Other than that, John’s foundation advocated for actions in dealing with poverty, racism, diseases, and ignorance, which were social issues prevalent in the American society. On the contrary, John Rockefeller’s Standard oil company was faced with antitrust issues. The company adopted monopolistic behaviors that were unstoppable by the US economy such that the company dominated the public goods, which increased the burden to the citizens. Standard oil constantly broke Ohio Law, and the CEO put no actions in place to situate that the company served the needs of the customers.</w:t>
      </w: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r>
        <w:rPr>
          <w:rFonts w:ascii="Times New Roman" w:hAnsi="Times New Roman" w:cs="Times New Roman"/>
          <w:sz w:val="24"/>
          <w:szCs w:val="24"/>
        </w:rPr>
        <w:t>Moreover, Andrew foundation similar to John’s foundation was engaged in making donations to boost the well-being of people in the society. He set up free public libraries and enhanced public education through setting up schools and universities to ensure that all the students attained the best education. Besides, the foundation led to the establishment of international laws that aimed at ensuring international peace in the nation. On the contrary, Carnegie was not as sensitive to his workers as he was to the American society. After holding a strike, Carnegie never took time to determine the factors leading to workers strike, instead he left the country to avoid being involved in the strike. Carnegie used Pinkerton Agents to handle the workers that led to violent breakouts in the organization after which militia was summoned to settle the issue (</w:t>
      </w:r>
      <w:r>
        <w:rPr>
          <w:rFonts w:ascii="Times New Roman" w:hAnsi="Times New Roman" w:eastAsia="Times New Roman" w:cs="Times New Roman"/>
          <w:sz w:val="24"/>
          <w:szCs w:val="24"/>
        </w:rPr>
        <w:t>Kaufman, 2016).</w:t>
      </w:r>
      <w:r>
        <w:rPr>
          <w:rFonts w:ascii="Times New Roman" w:hAnsi="Times New Roman" w:cs="Times New Roman"/>
          <w:sz w:val="24"/>
          <w:szCs w:val="24"/>
        </w:rPr>
        <w:t xml:space="preserve"> It was unjustifiable that, Andrew run away from his responsibility of meeting the demands of his workers. Ethical leaders are accountable for all their actions and take responsibility in ensuring that things are in order in the organization. </w:t>
      </w:r>
    </w:p>
    <w:p>
      <w:pPr>
        <w:spacing w:line="480" w:lineRule="auto"/>
        <w:rPr>
          <w:rFonts w:ascii="Times New Roman" w:hAnsi="Times New Roman" w:cs="Times New Roman"/>
          <w:sz w:val="24"/>
          <w:szCs w:val="24"/>
        </w:rPr>
      </w:pPr>
    </w:p>
    <w:p>
      <w:pPr>
        <w:spacing w:line="480" w:lineRule="auto"/>
        <w:rPr>
          <w:rFonts w:ascii="Times New Roman" w:hAnsi="Times New Roman" w:cs="Times New Roman"/>
          <w:b/>
          <w:sz w:val="28"/>
          <w:szCs w:val="28"/>
        </w:rPr>
      </w:pPr>
      <w:r>
        <w:rPr>
          <w:rFonts w:ascii="Times New Roman" w:hAnsi="Times New Roman" w:cs="Times New Roman"/>
          <w:b/>
          <w:sz w:val="28"/>
          <w:szCs w:val="28"/>
        </w:rPr>
        <w:t>Merits of Philanthropic Activities for businesses in 21</w:t>
      </w:r>
      <w:r>
        <w:rPr>
          <w:rFonts w:ascii="Times New Roman" w:hAnsi="Times New Roman" w:cs="Times New Roman"/>
          <w:b/>
          <w:sz w:val="28"/>
          <w:szCs w:val="28"/>
          <w:vertAlign w:val="superscript"/>
        </w:rPr>
        <w:t>st</w:t>
      </w:r>
      <w:r>
        <w:rPr>
          <w:rFonts w:ascii="Times New Roman" w:hAnsi="Times New Roman" w:cs="Times New Roman"/>
          <w:b/>
          <w:sz w:val="28"/>
          <w:szCs w:val="28"/>
        </w:rPr>
        <w:t xml:space="preserve"> Century </w:t>
      </w:r>
    </w:p>
    <w:p>
      <w:pPr>
        <w:spacing w:line="480" w:lineRule="auto"/>
        <w:rPr>
          <w:rFonts w:ascii="Times New Roman" w:hAnsi="Times New Roman" w:cs="Times New Roman"/>
          <w:sz w:val="24"/>
          <w:szCs w:val="24"/>
        </w:rPr>
      </w:pPr>
      <w:r>
        <w:rPr>
          <w:rFonts w:ascii="Times New Roman" w:hAnsi="Times New Roman" w:cs="Times New Roman"/>
          <w:sz w:val="24"/>
          <w:szCs w:val="24"/>
        </w:rPr>
        <w:t>Philanthropy is associated with increased expectations from the public as companies get into contact with communities as they present their donations and charitable services. Philanthropic activities in the 21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century are highly valued as they enhance the public image of an organization. Companies that are assertive and keen in their philanthropic activities promote the firm’s brand image. For example, Microsoft attained an increased customer satisfaction score in August 2011 after paying the workers volunteer activities. Similarly, philanthropic activities are effective in hiding the negative publicity of an organization. Donations and volunteer activities work in bettering the lifestyles and the conditions of people in the society. Thus, a company that concentrates on meeting those needs will have its negative image dissolved in the good deeds.</w:t>
      </w: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Nevertheless, philanthropic activities tend to attract support to the companies. Businesses are in a position to attract investors through charitable activities that obtain increased favor from the public. Most investors are attracted to companies that obtain support from the public and other organizations are they are certain of the financial stability of the organization. Besides, there is a low employee turnover in companies that engage in supporting the community or have established community-related programs. A sense of pride is prevalent among workers that are associated with firms that are publicly known for working for the better of the community as the credits are distributed among the company’s stakeholders. A large customer base is also obtained from the charitable activities adopted by an organization. This is crucial as it ensures constant sales that lead to increased profits hence growth. </w:t>
      </w: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r>
        <w:rPr>
          <w:rFonts w:ascii="Times New Roman" w:hAnsi="Times New Roman" w:cs="Times New Roman"/>
          <w:sz w:val="24"/>
          <w:szCs w:val="24"/>
        </w:rPr>
        <w:t>Increased connections and networking are obtained in an organization that upholds philanthropic activities. Philanthropy is considered a gateway towards power such that philanthropic organizations are considered the most powerful (</w:t>
      </w:r>
      <w:r>
        <w:rPr>
          <w:rFonts w:ascii="Times New Roman" w:hAnsi="Times New Roman" w:eastAsia="Times New Roman" w:cs="Times New Roman"/>
          <w:sz w:val="24"/>
          <w:szCs w:val="24"/>
        </w:rPr>
        <w:t>Petit, 2016).</w:t>
      </w:r>
      <w:r>
        <w:rPr>
          <w:rFonts w:ascii="Times New Roman" w:hAnsi="Times New Roman" w:cs="Times New Roman"/>
          <w:sz w:val="24"/>
          <w:szCs w:val="24"/>
        </w:rPr>
        <w:t xml:space="preserve"> Individuals in the organization and the organization itself tend to attain increased respect and trust from other organizations and prominent individuals who seek to be associated with its charitable programs. Connections come in when individuals, individuals, and charitable organizations seeking to collaborate with the organization in creating a sustainable organization. This is crucial as the company obtains increased opportunities for expanding and enhancing their operations. Furthermore, the organization is sought in different media groups such as TV programs and different social media platforms to highlight their projects in the bettering the society. The philanthropic company is also used as an example of a successful organization that is sensitive to both the growth of the firm as well as the creation of a better society. As a result, the company gains popularity, making it the priority among the suppliers, customers, investors, and employees, which works, is supporting the long-term sustainability of the organization. </w:t>
      </w: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b/>
          <w:sz w:val="28"/>
          <w:szCs w:val="28"/>
        </w:rPr>
      </w:pPr>
      <w:r>
        <w:rPr>
          <w:rFonts w:ascii="Times New Roman" w:hAnsi="Times New Roman" w:cs="Times New Roman"/>
          <w:b/>
          <w:sz w:val="28"/>
          <w:szCs w:val="28"/>
        </w:rPr>
        <w:t>Categories of John Rockefeller and Andrew Carnegie</w:t>
      </w:r>
    </w:p>
    <w:p>
      <w:pPr>
        <w:spacing w:line="480" w:lineRule="auto"/>
        <w:rPr>
          <w:rFonts w:ascii="Times New Roman" w:hAnsi="Times New Roman" w:cs="Times New Roman"/>
          <w:sz w:val="24"/>
          <w:szCs w:val="24"/>
        </w:rPr>
      </w:pPr>
      <w:r>
        <w:rPr>
          <w:rFonts w:ascii="Times New Roman" w:hAnsi="Times New Roman" w:cs="Times New Roman"/>
          <w:sz w:val="24"/>
          <w:szCs w:val="24"/>
        </w:rPr>
        <w:t>I would classify, John Rockefeller and Andrew Carnegie as being good people. Despite their unjustifiable acts as prevalent in their different organizations, John Rockefeller and Andrew Carnegie established foundations that worked in making the American society a better place for the citizens. Although John’s standard oil company violated most of Ohio’s laws, the company was set to meet the interests of the Americans. On the other hand, Andrew’s steel empire exposed the workers to harsh working conditions, and Andrew addressed none of their concerns. His company worked on bettering the machinery and transportation systems easier for the people. I would classify John Rockefeller and Andrew Carnegie as being philanthropists as their greatest concern was establishing developments that would enhance the well-being of the society. They all engaged in donation systems, working in bettering education, and eradicating major social issues such as poverty. The greatest contributions in the lives of John Rockefeller and Andrew Carnegie after succeeding in their business inventions were spending their time, finances, and reputation on charitable activities that created a sustainable economic and social environment (</w:t>
      </w:r>
      <w:r>
        <w:rPr>
          <w:rFonts w:ascii="Times New Roman" w:hAnsi="Times New Roman" w:eastAsia="Times New Roman" w:cs="Times New Roman"/>
          <w:sz w:val="24"/>
          <w:szCs w:val="24"/>
        </w:rPr>
        <w:t>Petit, 2016).</w:t>
      </w:r>
      <w:r>
        <w:rPr>
          <w:rFonts w:ascii="Times New Roman" w:hAnsi="Times New Roman" w:cs="Times New Roman"/>
          <w:sz w:val="24"/>
          <w:szCs w:val="24"/>
        </w:rPr>
        <w:t xml:space="preserve"> Lastly, the perceptions of John Rockefeller and Andrew Carnegie were that the society deserved to attain the best right from education to security, hence the concern on bettering all gaps in American society. </w:t>
      </w:r>
    </w:p>
    <w:p>
      <w:pPr>
        <w:spacing w:line="480" w:lineRule="auto"/>
        <w:jc w:val="both"/>
        <w:rPr>
          <w:rFonts w:ascii="Times New Roman" w:hAnsi="Times New Roman" w:cs="Times New Roman"/>
          <w:b/>
          <w:bCs/>
          <w:sz w:val="32"/>
          <w:szCs w:val="32"/>
        </w:rPr>
      </w:pPr>
      <w:r>
        <w:rPr>
          <w:rFonts w:ascii="Times New Roman" w:hAnsi="Times New Roman" w:cs="Times New Roman"/>
          <w:b/>
          <w:bCs/>
          <w:sz w:val="32"/>
          <w:szCs w:val="32"/>
        </w:rPr>
        <w:br w:type="page"/>
      </w:r>
    </w:p>
    <w:p>
      <w:pPr>
        <w:spacing w:line="480" w:lineRule="auto"/>
        <w:jc w:val="both"/>
        <w:rPr>
          <w:rFonts w:ascii="Times New Roman" w:hAnsi="Times New Roman" w:cs="Times New Roman"/>
          <w:b/>
          <w:bCs/>
          <w:sz w:val="32"/>
          <w:szCs w:val="32"/>
        </w:rPr>
      </w:pPr>
      <w:r>
        <w:rPr>
          <w:rFonts w:ascii="Times New Roman" w:hAnsi="Times New Roman" w:cs="Times New Roman"/>
          <w:b/>
          <w:bCs/>
          <w:sz w:val="32"/>
          <w:szCs w:val="32"/>
        </w:rPr>
        <w:t>References</w:t>
      </w:r>
    </w:p>
    <w:p>
      <w:pPr>
        <w:rPr>
          <w:rFonts w:hint="eastAsia"/>
        </w:rPr>
      </w:pPr>
      <w:r>
        <w:rPr>
          <w:rFonts w:hint="eastAsia"/>
        </w:rPr>
        <w:t xml:space="preserve">Byrd, J., &amp; Cooperman, E. (2016, January). </w:t>
      </w:r>
      <w:r>
        <w:rPr>
          <w:rFonts w:hint="eastAsia"/>
          <w:i/>
          <w:iCs/>
        </w:rPr>
        <w:t>Shareholder Activism for Stranded Asset Risk: An Analysis of Investor Reactions for Fossil Fuel Companies</w:t>
      </w:r>
      <w:r>
        <w:rPr>
          <w:rFonts w:hint="eastAsia"/>
        </w:rPr>
        <w:t>. In Roundtable Presentation at the Alliance for Res earch on Corporate Sustainability, eight the Annual Research Conference.</w:t>
      </w:r>
    </w:p>
    <w:p>
      <w:pPr>
        <w:rPr>
          <w:rFonts w:hint="eastAsia"/>
        </w:rPr>
      </w:pPr>
    </w:p>
    <w:p>
      <w:pPr>
        <w:rPr>
          <w:rFonts w:hint="eastAsia"/>
        </w:rPr>
      </w:pPr>
      <w:r>
        <w:rPr>
          <w:rFonts w:hint="eastAsia"/>
        </w:rPr>
        <w:t xml:space="preserve">Clark, M., &amp; Huang, C. C. (2014). </w:t>
      </w:r>
      <w:r>
        <w:rPr>
          <w:rFonts w:hint="eastAsia"/>
          <w:i/>
          <w:iCs/>
        </w:rPr>
        <w:t>Andrew Carnegie: From Making Wealth to Creating Modern Philanthropy</w:t>
      </w:r>
      <w:r>
        <w:rPr>
          <w:rFonts w:hint="eastAsia"/>
        </w:rPr>
        <w:t>.</w:t>
      </w:r>
    </w:p>
    <w:p>
      <w:pPr>
        <w:rPr>
          <w:rFonts w:hint="eastAsia"/>
        </w:rPr>
      </w:pPr>
      <w:bookmarkStart w:id="0" w:name="_GoBack"/>
      <w:bookmarkEnd w:id="0"/>
    </w:p>
    <w:p>
      <w:pPr>
        <w:keepNext w:val="0"/>
        <w:keepLines w:val="0"/>
        <w:pageBreakBefore w:val="0"/>
        <w:widowControl/>
        <w:kinsoku/>
        <w:wordWrap/>
        <w:overflowPunct/>
        <w:topLinePunct w:val="0"/>
        <w:autoSpaceDE/>
        <w:autoSpaceDN/>
        <w:bidi w:val="0"/>
        <w:adjustRightInd/>
        <w:snapToGrid/>
        <w:spacing w:after="0" w:line="240" w:lineRule="auto"/>
        <w:textAlignment w:val="auto"/>
        <w:outlineLvl w:val="9"/>
        <w:rPr>
          <w:rFonts w:hint="eastAsia"/>
        </w:rPr>
      </w:pPr>
      <w:r>
        <w:rPr>
          <w:rFonts w:hint="eastAsia"/>
        </w:rPr>
        <w:t>Corporate Social Responsibility: Cheaper Than a Pension Fund</w:t>
      </w:r>
    </w:p>
    <w:p>
      <w:pPr>
        <w:keepNext w:val="0"/>
        <w:keepLines w:val="0"/>
        <w:pageBreakBefore w:val="0"/>
        <w:widowControl/>
        <w:kinsoku/>
        <w:wordWrap/>
        <w:overflowPunct/>
        <w:topLinePunct w:val="0"/>
        <w:autoSpaceDE/>
        <w:autoSpaceDN/>
        <w:bidi w:val="0"/>
        <w:adjustRightInd/>
        <w:snapToGrid/>
        <w:spacing w:after="0" w:line="240" w:lineRule="auto"/>
        <w:textAlignment w:val="auto"/>
        <w:outlineLvl w:val="9"/>
        <w:rPr>
          <w:rFonts w:hint="eastAsia"/>
        </w:rPr>
      </w:pPr>
      <w:r>
        <w:rPr>
          <w:rFonts w:hint="default" w:ascii="Calibri" w:hAnsi="Calibri" w:cs="Calibri"/>
          <w:sz w:val="24"/>
          <w:szCs w:val="24"/>
          <w:lang w:val="en-US" w:eastAsia="zh-CN"/>
        </w:rPr>
        <w:t>Available at：</w:t>
      </w:r>
      <w:r>
        <w:rPr>
          <w:rFonts w:hint="default" w:ascii="Calibri" w:hAnsi="Calibri" w:cs="Calibri"/>
          <w:sz w:val="24"/>
          <w:szCs w:val="24"/>
          <w:lang w:val="en-US" w:eastAsia="zh-CN"/>
        </w:rPr>
        <w:fldChar w:fldCharType="begin"/>
      </w:r>
      <w:r>
        <w:rPr>
          <w:rFonts w:hint="default" w:ascii="Calibri" w:hAnsi="Calibri" w:cs="Calibri"/>
          <w:sz w:val="24"/>
          <w:szCs w:val="24"/>
          <w:lang w:val="en-US" w:eastAsia="zh-CN"/>
        </w:rPr>
        <w:instrText xml:space="preserve"> HYPERLINK "https://www.forbes.com/sites/dougguthrie/2012/02/08/corporate-social-responsibility-cheaper-than-a-pension-fund/#3522bb323744" </w:instrText>
      </w:r>
      <w:r>
        <w:rPr>
          <w:rFonts w:hint="default" w:ascii="Calibri" w:hAnsi="Calibri" w:cs="Calibri"/>
          <w:sz w:val="24"/>
          <w:szCs w:val="24"/>
          <w:lang w:val="en-US" w:eastAsia="zh-CN"/>
        </w:rPr>
        <w:fldChar w:fldCharType="separate"/>
      </w:r>
      <w:r>
        <w:rPr>
          <w:rStyle w:val="8"/>
          <w:rFonts w:hint="default" w:ascii="Calibri" w:hAnsi="Calibri" w:cs="Calibri"/>
          <w:sz w:val="24"/>
          <w:szCs w:val="24"/>
          <w:lang w:val="en-US" w:eastAsia="zh-CN"/>
        </w:rPr>
        <w:t>https://www.forbes.com/sites/dougguthrie/2012/02/08/corporate-social-responsibility-cheaper-than-a-pension-fund/#3522bb323744</w:t>
      </w:r>
      <w:r>
        <w:rPr>
          <w:rFonts w:hint="default" w:ascii="Calibri" w:hAnsi="Calibri" w:cs="Calibri"/>
          <w:sz w:val="24"/>
          <w:szCs w:val="24"/>
          <w:lang w:val="en-US" w:eastAsia="zh-CN"/>
        </w:rPr>
        <w:fldChar w:fldCharType="end"/>
      </w:r>
      <w:r>
        <w:rPr>
          <w:rFonts w:hint="default" w:ascii="Calibri" w:hAnsi="Calibri" w:cs="Calibri"/>
          <w:sz w:val="24"/>
          <w:szCs w:val="24"/>
          <w:lang w:val="en-US" w:eastAsia="zh-CN"/>
        </w:rPr>
        <w:t xml:space="preserve">[Access date: </w:t>
      </w:r>
      <w:r>
        <w:rPr>
          <w:rFonts w:hint="eastAsia" w:ascii="Calibri" w:hAnsi="Calibri" w:cs="Calibri"/>
          <w:sz w:val="24"/>
          <w:szCs w:val="24"/>
          <w:lang w:val="en-US" w:eastAsia="zh-CN"/>
        </w:rPr>
        <w:t>Apr</w:t>
      </w:r>
      <w:r>
        <w:rPr>
          <w:rFonts w:hint="default" w:ascii="Calibri" w:hAnsi="Calibri" w:cs="Calibri"/>
          <w:sz w:val="24"/>
          <w:szCs w:val="24"/>
          <w:lang w:val="en-US" w:eastAsia="zh-CN"/>
        </w:rPr>
        <w:t xml:space="preserve"> </w:t>
      </w:r>
      <w:r>
        <w:rPr>
          <w:rFonts w:hint="eastAsia" w:ascii="Calibri" w:hAnsi="Calibri" w:cs="Calibri"/>
          <w:sz w:val="24"/>
          <w:szCs w:val="24"/>
          <w:lang w:val="en-US" w:eastAsia="zh-CN"/>
        </w:rPr>
        <w:t>24</w:t>
      </w:r>
      <w:r>
        <w:rPr>
          <w:rFonts w:hint="default" w:ascii="Calibri" w:hAnsi="Calibri" w:cs="Calibri"/>
          <w:sz w:val="24"/>
          <w:szCs w:val="24"/>
          <w:lang w:val="en-US" w:eastAsia="zh-CN"/>
        </w:rPr>
        <w:t>, 201</w:t>
      </w:r>
      <w:r>
        <w:rPr>
          <w:rFonts w:hint="eastAsia" w:ascii="Calibri" w:hAnsi="Calibri" w:cs="Calibri"/>
          <w:sz w:val="24"/>
          <w:szCs w:val="24"/>
          <w:lang w:val="en-US" w:eastAsia="zh-CN"/>
        </w:rPr>
        <w:t>8</w:t>
      </w:r>
      <w:r>
        <w:rPr>
          <w:rFonts w:hint="default" w:ascii="Calibri" w:hAnsi="Calibri" w:cs="Calibri"/>
          <w:sz w:val="24"/>
          <w:szCs w:val="24"/>
          <w:lang w:val="en-US" w:eastAsia="zh-CN"/>
        </w:rPr>
        <w:t>]</w:t>
      </w:r>
    </w:p>
    <w:p>
      <w:pPr>
        <w:rPr>
          <w:rFonts w:hint="eastAsia"/>
        </w:rPr>
      </w:pPr>
    </w:p>
    <w:p>
      <w:pPr>
        <w:rPr>
          <w:rFonts w:hint="default"/>
          <w:lang w:val="en-US" w:eastAsia="zh-CN"/>
        </w:rPr>
      </w:pPr>
      <w:r>
        <w:rPr>
          <w:rFonts w:hint="default"/>
          <w:lang w:val="en-US" w:eastAsia="zh-CN"/>
        </w:rPr>
        <w:t>Davis., K. and R. L. Blomstrom: 1975,</w:t>
      </w:r>
      <w:r>
        <w:rPr>
          <w:rFonts w:hint="default"/>
          <w:i/>
          <w:iCs/>
          <w:lang w:val="en-US" w:eastAsia="zh-CN"/>
        </w:rPr>
        <w:t xml:space="preserve"> Business andSociety: Environment and Responsibility, </w:t>
      </w:r>
      <w:r>
        <w:rPr>
          <w:rFonts w:hint="default"/>
          <w:lang w:val="en-US" w:eastAsia="zh-CN"/>
        </w:rPr>
        <w:t>3rd ed.</w:t>
      </w:r>
      <w:r>
        <w:rPr>
          <w:rFonts w:hint="eastAsia"/>
          <w:lang w:val="en-US" w:eastAsia="zh-CN"/>
        </w:rPr>
        <w:t xml:space="preserve"> </w:t>
      </w:r>
      <w:r>
        <w:rPr>
          <w:rFonts w:hint="default"/>
          <w:lang w:val="en-US" w:eastAsia="zh-CN"/>
        </w:rPr>
        <w:t>(McGraw-Hill, New York).</w:t>
      </w:r>
    </w:p>
    <w:p>
      <w:pPr>
        <w:rPr>
          <w:rFonts w:hint="default"/>
          <w:lang w:val="en-US" w:eastAsia="zh-CN"/>
        </w:rPr>
      </w:pPr>
    </w:p>
    <w:p>
      <w:pPr>
        <w:keepNext w:val="0"/>
        <w:keepLines w:val="0"/>
        <w:pageBreakBefore w:val="0"/>
        <w:widowControl/>
        <w:kinsoku/>
        <w:wordWrap/>
        <w:overflowPunct/>
        <w:topLinePunct w:val="0"/>
        <w:autoSpaceDE/>
        <w:autoSpaceDN/>
        <w:bidi w:val="0"/>
        <w:adjustRightInd/>
        <w:snapToGrid/>
        <w:spacing w:after="0" w:line="240" w:lineRule="auto"/>
        <w:textAlignment w:val="auto"/>
        <w:outlineLvl w:val="9"/>
        <w:rPr>
          <w:rFonts w:hint="default" w:ascii="Calibri" w:hAnsi="Calibri" w:cs="Calibri"/>
          <w:sz w:val="24"/>
          <w:szCs w:val="24"/>
          <w:lang w:val="en-US" w:eastAsia="zh-CN"/>
        </w:rPr>
      </w:pPr>
      <w:r>
        <w:rPr>
          <w:rFonts w:hint="default" w:ascii="Calibri" w:hAnsi="Calibri" w:cs="Calibri"/>
          <w:sz w:val="24"/>
          <w:szCs w:val="24"/>
          <w:lang w:val="en-US" w:eastAsia="zh-CN"/>
        </w:rPr>
        <w:t>Examples Of Corporate Social Responsibility Management Essay</w:t>
      </w:r>
    </w:p>
    <w:p>
      <w:pPr>
        <w:keepNext w:val="0"/>
        <w:keepLines w:val="0"/>
        <w:pageBreakBefore w:val="0"/>
        <w:widowControl/>
        <w:kinsoku/>
        <w:wordWrap/>
        <w:overflowPunct/>
        <w:topLinePunct w:val="0"/>
        <w:autoSpaceDE/>
        <w:autoSpaceDN/>
        <w:bidi w:val="0"/>
        <w:adjustRightInd/>
        <w:snapToGrid/>
        <w:spacing w:after="0" w:line="240" w:lineRule="auto"/>
        <w:textAlignment w:val="auto"/>
        <w:outlineLvl w:val="9"/>
        <w:rPr>
          <w:rFonts w:hint="default" w:ascii="Calibri" w:hAnsi="Calibri" w:cs="Calibri"/>
          <w:sz w:val="24"/>
          <w:szCs w:val="24"/>
          <w:lang w:val="en-US" w:eastAsia="zh-CN"/>
        </w:rPr>
      </w:pPr>
      <w:r>
        <w:rPr>
          <w:rFonts w:hint="default" w:ascii="Calibri" w:hAnsi="Calibri" w:cs="Calibri"/>
          <w:sz w:val="24"/>
          <w:szCs w:val="24"/>
          <w:lang w:val="en-US" w:eastAsia="zh-CN"/>
        </w:rPr>
        <w:t>Available at：</w:t>
      </w:r>
      <w:r>
        <w:rPr>
          <w:rFonts w:hint="default" w:ascii="Calibri" w:hAnsi="Calibri" w:cs="Calibri"/>
          <w:sz w:val="24"/>
          <w:szCs w:val="24"/>
          <w:lang w:val="en-US" w:eastAsia="zh-CN"/>
        </w:rPr>
        <w:fldChar w:fldCharType="begin"/>
      </w:r>
      <w:r>
        <w:rPr>
          <w:rFonts w:hint="default" w:ascii="Calibri" w:hAnsi="Calibri" w:cs="Calibri"/>
          <w:sz w:val="24"/>
          <w:szCs w:val="24"/>
          <w:lang w:val="en-US" w:eastAsia="zh-CN"/>
        </w:rPr>
        <w:instrText xml:space="preserve"> HYPERLINK "https://www.ukessays.com/essays/management/examples-of-corporate-social-responsibility-management-essay.php" </w:instrText>
      </w:r>
      <w:r>
        <w:rPr>
          <w:rFonts w:hint="default" w:ascii="Calibri" w:hAnsi="Calibri" w:cs="Calibri"/>
          <w:sz w:val="24"/>
          <w:szCs w:val="24"/>
          <w:lang w:val="en-US" w:eastAsia="zh-CN"/>
        </w:rPr>
        <w:fldChar w:fldCharType="separate"/>
      </w:r>
      <w:r>
        <w:rPr>
          <w:rStyle w:val="8"/>
          <w:rFonts w:hint="default" w:ascii="Calibri" w:hAnsi="Calibri" w:cs="Calibri"/>
          <w:sz w:val="24"/>
          <w:szCs w:val="24"/>
          <w:lang w:val="en-US" w:eastAsia="zh-CN"/>
        </w:rPr>
        <w:t>https://www.ukessays.com/essays/management/examples-of-corporate-social-responsibility-management-essay.php</w:t>
      </w:r>
      <w:r>
        <w:rPr>
          <w:rFonts w:hint="default" w:ascii="Calibri" w:hAnsi="Calibri" w:cs="Calibri"/>
          <w:sz w:val="24"/>
          <w:szCs w:val="24"/>
          <w:lang w:val="en-US" w:eastAsia="zh-CN"/>
        </w:rPr>
        <w:fldChar w:fldCharType="end"/>
      </w:r>
      <w:r>
        <w:rPr>
          <w:rFonts w:hint="eastAsia" w:ascii="Calibri" w:hAnsi="Calibri" w:cs="Calibri"/>
          <w:sz w:val="24"/>
          <w:szCs w:val="24"/>
          <w:lang w:val="en-US" w:eastAsia="zh-CN"/>
        </w:rPr>
        <w:t xml:space="preserve"> </w:t>
      </w:r>
      <w:r>
        <w:rPr>
          <w:rFonts w:hint="default" w:ascii="Calibri" w:hAnsi="Calibri" w:cs="Calibri"/>
          <w:sz w:val="24"/>
          <w:szCs w:val="24"/>
          <w:lang w:val="en-US" w:eastAsia="zh-CN"/>
        </w:rPr>
        <w:t xml:space="preserve">[Access date: </w:t>
      </w:r>
      <w:r>
        <w:rPr>
          <w:rFonts w:hint="eastAsia" w:ascii="Calibri" w:hAnsi="Calibri" w:cs="Calibri"/>
          <w:sz w:val="24"/>
          <w:szCs w:val="24"/>
          <w:lang w:val="en-US" w:eastAsia="zh-CN"/>
        </w:rPr>
        <w:t>Apr</w:t>
      </w:r>
      <w:r>
        <w:rPr>
          <w:rFonts w:hint="default" w:ascii="Calibri" w:hAnsi="Calibri" w:cs="Calibri"/>
          <w:sz w:val="24"/>
          <w:szCs w:val="24"/>
          <w:lang w:val="en-US" w:eastAsia="zh-CN"/>
        </w:rPr>
        <w:t xml:space="preserve"> </w:t>
      </w:r>
      <w:r>
        <w:rPr>
          <w:rFonts w:hint="eastAsia" w:ascii="Calibri" w:hAnsi="Calibri" w:cs="Calibri"/>
          <w:sz w:val="24"/>
          <w:szCs w:val="24"/>
          <w:lang w:val="en-US" w:eastAsia="zh-CN"/>
        </w:rPr>
        <w:t>20</w:t>
      </w:r>
      <w:r>
        <w:rPr>
          <w:rFonts w:hint="default" w:ascii="Calibri" w:hAnsi="Calibri" w:cs="Calibri"/>
          <w:sz w:val="24"/>
          <w:szCs w:val="24"/>
          <w:lang w:val="en-US" w:eastAsia="zh-CN"/>
        </w:rPr>
        <w:t>, 201</w:t>
      </w:r>
      <w:r>
        <w:rPr>
          <w:rFonts w:hint="eastAsia" w:ascii="Calibri" w:hAnsi="Calibri" w:cs="Calibri"/>
          <w:sz w:val="24"/>
          <w:szCs w:val="24"/>
          <w:lang w:val="en-US" w:eastAsia="zh-CN"/>
        </w:rPr>
        <w:t>8</w:t>
      </w:r>
      <w:r>
        <w:rPr>
          <w:rFonts w:hint="default" w:ascii="Calibri" w:hAnsi="Calibri" w:cs="Calibri"/>
          <w:sz w:val="24"/>
          <w:szCs w:val="24"/>
          <w:lang w:val="en-US" w:eastAsia="zh-CN"/>
        </w:rPr>
        <w:t>]</w:t>
      </w:r>
    </w:p>
    <w:p>
      <w:pPr>
        <w:rPr>
          <w:rFonts w:hint="eastAsia"/>
          <w:lang w:val="en-US" w:eastAsia="zh-CN"/>
        </w:rPr>
      </w:pPr>
    </w:p>
    <w:p>
      <w:pPr>
        <w:rPr>
          <w:rFonts w:hint="eastAsia"/>
        </w:rPr>
      </w:pPr>
      <w:r>
        <w:rPr>
          <w:rFonts w:hint="eastAsia"/>
        </w:rPr>
        <w:t xml:space="preserve">Geiger, R. L. (2017). </w:t>
      </w:r>
      <w:r>
        <w:rPr>
          <w:rFonts w:hint="eastAsia"/>
          <w:i/>
          <w:iCs/>
        </w:rPr>
        <w:t>To advance knowledge: The growth of American research universities</w:t>
      </w:r>
      <w:r>
        <w:rPr>
          <w:rFonts w:hint="eastAsia"/>
        </w:rPr>
        <w:t>, 1900-1940. Routledge.</w:t>
      </w:r>
    </w:p>
    <w:p>
      <w:pPr>
        <w:rPr>
          <w:rFonts w:hint="eastAsia"/>
        </w:rPr>
      </w:pPr>
    </w:p>
    <w:p>
      <w:pPr>
        <w:keepNext w:val="0"/>
        <w:keepLines w:val="0"/>
        <w:pageBreakBefore w:val="0"/>
        <w:widowControl/>
        <w:kinsoku/>
        <w:wordWrap/>
        <w:overflowPunct/>
        <w:topLinePunct w:val="0"/>
        <w:autoSpaceDE/>
        <w:autoSpaceDN/>
        <w:bidi w:val="0"/>
        <w:adjustRightInd/>
        <w:snapToGrid/>
        <w:spacing w:after="0" w:line="260" w:lineRule="auto"/>
        <w:textAlignment w:val="auto"/>
        <w:outlineLvl w:val="9"/>
        <w:rPr>
          <w:rFonts w:hint="eastAsia"/>
        </w:rPr>
      </w:pPr>
      <w:r>
        <w:rPr>
          <w:rFonts w:hint="eastAsia"/>
        </w:rPr>
        <w:t>Introduction to the Corporate Social Responsibility</w:t>
      </w:r>
    </w:p>
    <w:p>
      <w:pPr>
        <w:keepNext w:val="0"/>
        <w:keepLines w:val="0"/>
        <w:pageBreakBefore w:val="0"/>
        <w:widowControl/>
        <w:kinsoku/>
        <w:wordWrap/>
        <w:overflowPunct/>
        <w:topLinePunct w:val="0"/>
        <w:autoSpaceDE/>
        <w:autoSpaceDN/>
        <w:bidi w:val="0"/>
        <w:adjustRightInd/>
        <w:snapToGrid/>
        <w:spacing w:after="0" w:line="260" w:lineRule="auto"/>
        <w:textAlignment w:val="auto"/>
        <w:outlineLvl w:val="9"/>
        <w:rPr>
          <w:rFonts w:hint="eastAsia" w:ascii="Calibri" w:hAnsi="Calibri" w:cs="Calibri"/>
          <w:sz w:val="24"/>
          <w:szCs w:val="24"/>
          <w:lang w:val="en-US" w:eastAsia="zh-CN"/>
        </w:rPr>
      </w:pPr>
      <w:r>
        <w:rPr>
          <w:rFonts w:hint="default" w:ascii="Calibri" w:hAnsi="Calibri" w:cs="Calibri"/>
          <w:sz w:val="24"/>
          <w:szCs w:val="24"/>
          <w:lang w:val="en-US" w:eastAsia="zh-CN"/>
        </w:rPr>
        <w:t>Available at：</w:t>
      </w:r>
      <w:r>
        <w:rPr>
          <w:rFonts w:hint="default" w:ascii="Calibri" w:hAnsi="Calibri" w:cs="Calibri"/>
          <w:sz w:val="24"/>
          <w:szCs w:val="24"/>
          <w:lang w:val="en-US" w:eastAsia="zh-CN"/>
        </w:rPr>
        <w:fldChar w:fldCharType="begin"/>
      </w:r>
      <w:r>
        <w:rPr>
          <w:rFonts w:hint="default" w:ascii="Calibri" w:hAnsi="Calibri" w:cs="Calibri"/>
          <w:sz w:val="24"/>
          <w:szCs w:val="24"/>
          <w:lang w:val="en-US" w:eastAsia="zh-CN"/>
        </w:rPr>
        <w:instrText xml:space="preserve"> HYPERLINK "http://dmpe.github.io/PapersAndArticles/IntroToCSR/" </w:instrText>
      </w:r>
      <w:r>
        <w:rPr>
          <w:rFonts w:hint="default" w:ascii="Calibri" w:hAnsi="Calibri" w:cs="Calibri"/>
          <w:sz w:val="24"/>
          <w:szCs w:val="24"/>
          <w:lang w:val="en-US" w:eastAsia="zh-CN"/>
        </w:rPr>
        <w:fldChar w:fldCharType="separate"/>
      </w:r>
      <w:r>
        <w:rPr>
          <w:rStyle w:val="8"/>
          <w:rFonts w:hint="default" w:ascii="Calibri" w:hAnsi="Calibri" w:cs="Calibri"/>
          <w:sz w:val="24"/>
          <w:szCs w:val="24"/>
          <w:lang w:val="en-US" w:eastAsia="zh-CN"/>
        </w:rPr>
        <w:t>http://dmpe.github.io/PapersAndArticles/IntroToCSR/</w:t>
      </w:r>
      <w:r>
        <w:rPr>
          <w:rFonts w:hint="default" w:ascii="Calibri" w:hAnsi="Calibri" w:cs="Calibri"/>
          <w:sz w:val="24"/>
          <w:szCs w:val="24"/>
          <w:lang w:val="en-US" w:eastAsia="zh-CN"/>
        </w:rPr>
        <w:fldChar w:fldCharType="end"/>
      </w:r>
      <w:r>
        <w:rPr>
          <w:rFonts w:hint="default" w:ascii="Calibri" w:hAnsi="Calibri" w:cs="Calibri"/>
          <w:sz w:val="24"/>
          <w:szCs w:val="24"/>
          <w:lang w:val="en-US" w:eastAsia="zh-CN"/>
        </w:rPr>
        <w:t xml:space="preserve">[Access date: </w:t>
      </w:r>
      <w:r>
        <w:rPr>
          <w:rFonts w:hint="eastAsia" w:ascii="Calibri" w:hAnsi="Calibri" w:cs="Calibri"/>
          <w:sz w:val="24"/>
          <w:szCs w:val="24"/>
          <w:lang w:val="en-US" w:eastAsia="zh-CN"/>
        </w:rPr>
        <w:t>Apr</w:t>
      </w:r>
      <w:r>
        <w:rPr>
          <w:rFonts w:hint="default" w:ascii="Calibri" w:hAnsi="Calibri" w:cs="Calibri"/>
          <w:sz w:val="24"/>
          <w:szCs w:val="24"/>
          <w:lang w:val="en-US" w:eastAsia="zh-CN"/>
        </w:rPr>
        <w:t xml:space="preserve"> </w:t>
      </w:r>
      <w:r>
        <w:rPr>
          <w:rFonts w:hint="eastAsia" w:ascii="Calibri" w:hAnsi="Calibri" w:cs="Calibri"/>
          <w:sz w:val="24"/>
          <w:szCs w:val="24"/>
          <w:lang w:val="en-US" w:eastAsia="zh-CN"/>
        </w:rPr>
        <w:t>25</w:t>
      </w:r>
      <w:r>
        <w:rPr>
          <w:rFonts w:hint="default" w:ascii="Calibri" w:hAnsi="Calibri" w:cs="Calibri"/>
          <w:sz w:val="24"/>
          <w:szCs w:val="24"/>
          <w:lang w:val="en-US" w:eastAsia="zh-CN"/>
        </w:rPr>
        <w:t>, 201</w:t>
      </w:r>
      <w:r>
        <w:rPr>
          <w:rFonts w:hint="eastAsia" w:ascii="Calibri" w:hAnsi="Calibri" w:cs="Calibri"/>
          <w:sz w:val="24"/>
          <w:szCs w:val="24"/>
          <w:lang w:val="en-US" w:eastAsia="zh-CN"/>
        </w:rPr>
        <w:t>8</w:t>
      </w:r>
      <w:r>
        <w:rPr>
          <w:rFonts w:hint="default" w:ascii="Calibri" w:hAnsi="Calibri" w:cs="Calibri"/>
          <w:sz w:val="24"/>
          <w:szCs w:val="24"/>
          <w:lang w:val="en-US" w:eastAsia="zh-CN"/>
        </w:rPr>
        <w:t>]</w:t>
      </w:r>
    </w:p>
    <w:p>
      <w:pPr>
        <w:rPr>
          <w:rFonts w:hint="eastAsia"/>
        </w:rPr>
      </w:pPr>
    </w:p>
    <w:p>
      <w:pPr>
        <w:rPr>
          <w:rFonts w:hint="eastAsia"/>
        </w:rPr>
      </w:pPr>
      <w:r>
        <w:rPr>
          <w:rFonts w:hint="eastAsia"/>
        </w:rPr>
        <w:t xml:space="preserve">Kaufman, B. E. (2016). </w:t>
      </w:r>
      <w:r>
        <w:rPr>
          <w:rFonts w:hint="eastAsia"/>
          <w:sz w:val="21"/>
          <w:szCs w:val="21"/>
        </w:rPr>
        <w:t>Experience with company unions and their treatment under the Wagner act: A four frames of reference an</w:t>
      </w:r>
      <w:r>
        <w:rPr>
          <w:rFonts w:hint="eastAsia"/>
        </w:rPr>
        <w:t xml:space="preserve">alysis. </w:t>
      </w:r>
      <w:r>
        <w:rPr>
          <w:rFonts w:hint="eastAsia"/>
          <w:i/>
          <w:iCs/>
        </w:rPr>
        <w:t>Industrial Relations: A Journal of Economy and Society</w:t>
      </w:r>
      <w:r>
        <w:rPr>
          <w:rFonts w:hint="eastAsia"/>
        </w:rPr>
        <w:t>, 55(1), 3-39 .</w:t>
      </w:r>
    </w:p>
    <w:p>
      <w:pPr>
        <w:rPr>
          <w:rFonts w:hint="eastAsia"/>
        </w:rPr>
      </w:pPr>
    </w:p>
    <w:p>
      <w:pPr>
        <w:rPr>
          <w:rFonts w:hint="eastAsia" w:eastAsia="宋体"/>
          <w:i w:val="0"/>
          <w:iCs w:val="0"/>
          <w:lang w:val="en-US" w:eastAsia="zh-CN"/>
        </w:rPr>
      </w:pPr>
      <w:r>
        <w:rPr>
          <w:rFonts w:hint="eastAsia"/>
        </w:rPr>
        <w:t xml:space="preserve">Leblond, C. (2016). Andrew Carnegie And Managerial Darwinism: From Scientific Discourse To Management Concepts At The Turn Of The 20thcentury. </w:t>
      </w:r>
      <w:r>
        <w:rPr>
          <w:rFonts w:hint="eastAsia"/>
          <w:i/>
          <w:iCs/>
        </w:rPr>
        <w:t>Using and Abusing Science: Science and Political Discours E from Burke's "French Revolution" to Obama's Science Fair.</w:t>
      </w:r>
      <w:r>
        <w:rPr>
          <w:rFonts w:hint="eastAsia" w:eastAsia="宋体"/>
          <w:i w:val="0"/>
          <w:iCs w:val="0"/>
          <w:lang w:val="en-US" w:eastAsia="zh-CN"/>
        </w:rPr>
        <w:t>45</w:t>
      </w:r>
    </w:p>
    <w:p>
      <w:pPr>
        <w:rPr>
          <w:rFonts w:hint="eastAsia" w:eastAsia="宋体"/>
          <w:i w:val="0"/>
          <w:iCs w:val="0"/>
          <w:lang w:val="en-US" w:eastAsia="zh-CN"/>
        </w:rPr>
      </w:pPr>
    </w:p>
    <w:p>
      <w:pPr>
        <w:rPr>
          <w:rFonts w:hint="default"/>
          <w:i/>
          <w:iCs/>
          <w:lang w:val="en-US" w:eastAsia="zh-CN"/>
        </w:rPr>
      </w:pPr>
      <w:r>
        <w:rPr>
          <w:rFonts w:hint="default"/>
          <w:lang w:val="en-US" w:eastAsia="zh-CN"/>
        </w:rPr>
        <w:t>Myrna Wulfson</w:t>
      </w:r>
      <w:r>
        <w:rPr>
          <w:rFonts w:hint="eastAsia"/>
          <w:lang w:val="en-US" w:eastAsia="zh-CN"/>
        </w:rPr>
        <w:t xml:space="preserve">. </w:t>
      </w:r>
      <w:r>
        <w:rPr>
          <w:rFonts w:hint="default"/>
          <w:i/>
          <w:iCs/>
          <w:lang w:val="en-US" w:eastAsia="zh-CN"/>
        </w:rPr>
        <w:t>The Ethics of CorporateSocial Responsibility andPhilanthropic Ventures</w:t>
      </w:r>
    </w:p>
    <w:p>
      <w:pPr>
        <w:rPr>
          <w:rFonts w:hint="eastAsia"/>
        </w:rPr>
      </w:pPr>
    </w:p>
    <w:p>
      <w:pPr>
        <w:rPr>
          <w:rFonts w:hint="eastAsia"/>
        </w:rPr>
      </w:pPr>
      <w:r>
        <w:rPr>
          <w:rFonts w:hint="eastAsia"/>
        </w:rPr>
        <w:t xml:space="preserve">Rosenblum, S. A. (2016). </w:t>
      </w:r>
      <w:r>
        <w:rPr>
          <w:rFonts w:hint="eastAsia"/>
          <w:i/>
          <w:iCs/>
        </w:rPr>
        <w:t>Hedge Fund Activism, Short-Termism, and a New Paradigm of Corporate Governance</w:t>
      </w:r>
      <w:r>
        <w:rPr>
          <w:rFonts w:hint="eastAsia"/>
        </w:rPr>
        <w:t>. Yale LJF, 126, 538.</w:t>
      </w:r>
    </w:p>
    <w:p>
      <w:pPr>
        <w:rPr>
          <w:rFonts w:hint="eastAsia"/>
        </w:rPr>
      </w:pPr>
    </w:p>
    <w:p>
      <w:pPr>
        <w:rPr>
          <w:rFonts w:hint="default"/>
          <w:i/>
          <w:iCs/>
          <w:lang w:val="en-US" w:eastAsia="zh-CN"/>
        </w:rPr>
      </w:pPr>
    </w:p>
    <w:sectPr>
      <w:pgSz w:w="12240" w:h="15840"/>
      <w:pgMar w:top="1440" w:right="1440" w:bottom="1440" w:left="1440" w:header="720" w:footer="720" w:gutter="0"/>
      <w:cols w:space="720"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等线">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zQ0MDYHUpbGJiZGhko6SsGpxcWZ+XkgBYa1ABvctFYsAAAA"/>
  </w:docVars>
  <w:rsids>
    <w:rsidRoot w:val="00280786"/>
    <w:rsid w:val="00001E49"/>
    <w:rsid w:val="0002349B"/>
    <w:rsid w:val="00035052"/>
    <w:rsid w:val="00040F7C"/>
    <w:rsid w:val="00044968"/>
    <w:rsid w:val="00045C28"/>
    <w:rsid w:val="00045EF4"/>
    <w:rsid w:val="0004707A"/>
    <w:rsid w:val="000704A1"/>
    <w:rsid w:val="0008718F"/>
    <w:rsid w:val="0009265A"/>
    <w:rsid w:val="000935D8"/>
    <w:rsid w:val="000A37C6"/>
    <w:rsid w:val="000D5B88"/>
    <w:rsid w:val="000E44BD"/>
    <w:rsid w:val="001346CB"/>
    <w:rsid w:val="00134E2C"/>
    <w:rsid w:val="00147D41"/>
    <w:rsid w:val="00150D8E"/>
    <w:rsid w:val="00160529"/>
    <w:rsid w:val="00164EE6"/>
    <w:rsid w:val="0018552A"/>
    <w:rsid w:val="00195022"/>
    <w:rsid w:val="001A6505"/>
    <w:rsid w:val="001B3CD0"/>
    <w:rsid w:val="001C25EB"/>
    <w:rsid w:val="001D2963"/>
    <w:rsid w:val="001D312E"/>
    <w:rsid w:val="001D541C"/>
    <w:rsid w:val="001D668E"/>
    <w:rsid w:val="001E5F28"/>
    <w:rsid w:val="001E681C"/>
    <w:rsid w:val="001F1229"/>
    <w:rsid w:val="001F1E89"/>
    <w:rsid w:val="001F4783"/>
    <w:rsid w:val="001F4C6B"/>
    <w:rsid w:val="002054EA"/>
    <w:rsid w:val="00214584"/>
    <w:rsid w:val="00225769"/>
    <w:rsid w:val="00232B4E"/>
    <w:rsid w:val="00240983"/>
    <w:rsid w:val="00246FE4"/>
    <w:rsid w:val="002501C7"/>
    <w:rsid w:val="00262648"/>
    <w:rsid w:val="00280786"/>
    <w:rsid w:val="002808A4"/>
    <w:rsid w:val="00280E28"/>
    <w:rsid w:val="00283167"/>
    <w:rsid w:val="00293382"/>
    <w:rsid w:val="002A011F"/>
    <w:rsid w:val="002A6FEC"/>
    <w:rsid w:val="002B1631"/>
    <w:rsid w:val="002C3728"/>
    <w:rsid w:val="002D57BB"/>
    <w:rsid w:val="002F47F9"/>
    <w:rsid w:val="002F5F56"/>
    <w:rsid w:val="002F6756"/>
    <w:rsid w:val="003006A9"/>
    <w:rsid w:val="00306ABB"/>
    <w:rsid w:val="00311467"/>
    <w:rsid w:val="003172A9"/>
    <w:rsid w:val="00321638"/>
    <w:rsid w:val="003310E2"/>
    <w:rsid w:val="00333055"/>
    <w:rsid w:val="003340B0"/>
    <w:rsid w:val="0034209C"/>
    <w:rsid w:val="0034657B"/>
    <w:rsid w:val="00351A78"/>
    <w:rsid w:val="0037462C"/>
    <w:rsid w:val="0038588B"/>
    <w:rsid w:val="00387435"/>
    <w:rsid w:val="003943D3"/>
    <w:rsid w:val="003A484D"/>
    <w:rsid w:val="003A4EA5"/>
    <w:rsid w:val="003B4DAB"/>
    <w:rsid w:val="003C6896"/>
    <w:rsid w:val="003E3BA4"/>
    <w:rsid w:val="003E5190"/>
    <w:rsid w:val="003F3258"/>
    <w:rsid w:val="003F56CE"/>
    <w:rsid w:val="0040111A"/>
    <w:rsid w:val="00416391"/>
    <w:rsid w:val="004220B2"/>
    <w:rsid w:val="00426444"/>
    <w:rsid w:val="00436BBF"/>
    <w:rsid w:val="00444030"/>
    <w:rsid w:val="00451083"/>
    <w:rsid w:val="0046790C"/>
    <w:rsid w:val="004717E4"/>
    <w:rsid w:val="00473267"/>
    <w:rsid w:val="004751F3"/>
    <w:rsid w:val="00482CD1"/>
    <w:rsid w:val="00494631"/>
    <w:rsid w:val="004A17FA"/>
    <w:rsid w:val="004D3834"/>
    <w:rsid w:val="00505815"/>
    <w:rsid w:val="005102A1"/>
    <w:rsid w:val="00514290"/>
    <w:rsid w:val="00516238"/>
    <w:rsid w:val="00524183"/>
    <w:rsid w:val="00527259"/>
    <w:rsid w:val="00532749"/>
    <w:rsid w:val="00536D46"/>
    <w:rsid w:val="0054036A"/>
    <w:rsid w:val="00542B5B"/>
    <w:rsid w:val="00543E96"/>
    <w:rsid w:val="005536D1"/>
    <w:rsid w:val="0057083D"/>
    <w:rsid w:val="00573AB4"/>
    <w:rsid w:val="005A089F"/>
    <w:rsid w:val="005A48A8"/>
    <w:rsid w:val="00611275"/>
    <w:rsid w:val="006211B2"/>
    <w:rsid w:val="00622237"/>
    <w:rsid w:val="00624D73"/>
    <w:rsid w:val="006370FE"/>
    <w:rsid w:val="00640B7F"/>
    <w:rsid w:val="00643669"/>
    <w:rsid w:val="006605E5"/>
    <w:rsid w:val="00667B9F"/>
    <w:rsid w:val="006A2151"/>
    <w:rsid w:val="006B32B0"/>
    <w:rsid w:val="006C5748"/>
    <w:rsid w:val="006D7D23"/>
    <w:rsid w:val="006E13DF"/>
    <w:rsid w:val="00721935"/>
    <w:rsid w:val="00786573"/>
    <w:rsid w:val="007A3B9A"/>
    <w:rsid w:val="007A45B3"/>
    <w:rsid w:val="007C4C88"/>
    <w:rsid w:val="00810E08"/>
    <w:rsid w:val="00814559"/>
    <w:rsid w:val="008149D8"/>
    <w:rsid w:val="0082207C"/>
    <w:rsid w:val="0084263F"/>
    <w:rsid w:val="00844D69"/>
    <w:rsid w:val="00845668"/>
    <w:rsid w:val="0084697B"/>
    <w:rsid w:val="0085006F"/>
    <w:rsid w:val="00850CFB"/>
    <w:rsid w:val="00861CBA"/>
    <w:rsid w:val="008648AE"/>
    <w:rsid w:val="00874C14"/>
    <w:rsid w:val="008D6154"/>
    <w:rsid w:val="009015AD"/>
    <w:rsid w:val="0090221A"/>
    <w:rsid w:val="00942DD2"/>
    <w:rsid w:val="00947D85"/>
    <w:rsid w:val="009639EE"/>
    <w:rsid w:val="00977667"/>
    <w:rsid w:val="00986AF6"/>
    <w:rsid w:val="009A5472"/>
    <w:rsid w:val="009B0F7E"/>
    <w:rsid w:val="009B3A6E"/>
    <w:rsid w:val="009B4DCE"/>
    <w:rsid w:val="009C1814"/>
    <w:rsid w:val="009D6252"/>
    <w:rsid w:val="009F0B68"/>
    <w:rsid w:val="009F1A40"/>
    <w:rsid w:val="00A00756"/>
    <w:rsid w:val="00A11DC7"/>
    <w:rsid w:val="00A12FEE"/>
    <w:rsid w:val="00A21926"/>
    <w:rsid w:val="00A23060"/>
    <w:rsid w:val="00A3613F"/>
    <w:rsid w:val="00A500DC"/>
    <w:rsid w:val="00A62FB1"/>
    <w:rsid w:val="00A63C8D"/>
    <w:rsid w:val="00A76F66"/>
    <w:rsid w:val="00A971DB"/>
    <w:rsid w:val="00AB314B"/>
    <w:rsid w:val="00AB7FDB"/>
    <w:rsid w:val="00AC1CE8"/>
    <w:rsid w:val="00AC3EEB"/>
    <w:rsid w:val="00AF2BD1"/>
    <w:rsid w:val="00AF7174"/>
    <w:rsid w:val="00B20A6E"/>
    <w:rsid w:val="00B51F20"/>
    <w:rsid w:val="00B56A8B"/>
    <w:rsid w:val="00B75E0D"/>
    <w:rsid w:val="00BB505F"/>
    <w:rsid w:val="00BC73E7"/>
    <w:rsid w:val="00BD7059"/>
    <w:rsid w:val="00BF3FA5"/>
    <w:rsid w:val="00C05075"/>
    <w:rsid w:val="00C1616C"/>
    <w:rsid w:val="00C30066"/>
    <w:rsid w:val="00C61925"/>
    <w:rsid w:val="00C657A3"/>
    <w:rsid w:val="00C678CC"/>
    <w:rsid w:val="00C8498E"/>
    <w:rsid w:val="00CA5C14"/>
    <w:rsid w:val="00CB3DF5"/>
    <w:rsid w:val="00CB5498"/>
    <w:rsid w:val="00CB71BF"/>
    <w:rsid w:val="00CC0C24"/>
    <w:rsid w:val="00CC382D"/>
    <w:rsid w:val="00CC3D02"/>
    <w:rsid w:val="00CC4165"/>
    <w:rsid w:val="00CC43E5"/>
    <w:rsid w:val="00CD6F1E"/>
    <w:rsid w:val="00D021C2"/>
    <w:rsid w:val="00D02BEE"/>
    <w:rsid w:val="00D132F9"/>
    <w:rsid w:val="00D22B56"/>
    <w:rsid w:val="00D52FDC"/>
    <w:rsid w:val="00D75762"/>
    <w:rsid w:val="00D76D7C"/>
    <w:rsid w:val="00D866FE"/>
    <w:rsid w:val="00DD520D"/>
    <w:rsid w:val="00DE426C"/>
    <w:rsid w:val="00DE6B11"/>
    <w:rsid w:val="00DF3F0B"/>
    <w:rsid w:val="00E420E1"/>
    <w:rsid w:val="00E83715"/>
    <w:rsid w:val="00E91658"/>
    <w:rsid w:val="00E935C1"/>
    <w:rsid w:val="00EC43AF"/>
    <w:rsid w:val="00EE06A1"/>
    <w:rsid w:val="00EE7A49"/>
    <w:rsid w:val="00EF36C1"/>
    <w:rsid w:val="00EF5CF5"/>
    <w:rsid w:val="00F24E1D"/>
    <w:rsid w:val="00F25825"/>
    <w:rsid w:val="00F33BDC"/>
    <w:rsid w:val="00F601AF"/>
    <w:rsid w:val="00F67814"/>
    <w:rsid w:val="00F803A3"/>
    <w:rsid w:val="00F85CDB"/>
    <w:rsid w:val="00FA4145"/>
    <w:rsid w:val="00FC336B"/>
    <w:rsid w:val="00FF3003"/>
    <w:rsid w:val="1A4C58D9"/>
    <w:rsid w:val="1BEA5275"/>
    <w:rsid w:val="272F38F5"/>
    <w:rsid w:val="2C0D4358"/>
    <w:rsid w:val="502A2AAB"/>
    <w:rsid w:val="53E02B5D"/>
    <w:rsid w:val="59D436A5"/>
    <w:rsid w:val="5CA62F18"/>
    <w:rsid w:val="76B45D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EastAsia" w:cstheme="minorBidi"/>
      <w:sz w:val="24"/>
      <w:szCs w:val="22"/>
      <w:lang w:val="en-US" w:eastAsia="en-US" w:bidi="ar-SA"/>
    </w:rPr>
  </w:style>
  <w:style w:type="paragraph" w:styleId="2">
    <w:name w:val="heading 1"/>
    <w:basedOn w:val="1"/>
    <w:next w:val="1"/>
    <w:qFormat/>
    <w:uiPriority w:val="9"/>
    <w:pPr>
      <w:keepNext/>
      <w:keepLines/>
      <w:spacing w:before="340" w:beforeLines="0" w:beforeAutospacing="0" w:after="330" w:afterLines="0" w:afterAutospacing="0" w:line="576" w:lineRule="auto"/>
      <w:outlineLvl w:val="0"/>
    </w:pPr>
    <w:rPr>
      <w:rFonts w:ascii="Times New Roman" w:hAnsi="Times New Roman"/>
      <w:b/>
      <w:kern w:val="44"/>
      <w:sz w:val="32"/>
    </w:rPr>
  </w:style>
  <w:style w:type="paragraph" w:styleId="3">
    <w:name w:val="heading 2"/>
    <w:basedOn w:val="1"/>
    <w:next w:val="1"/>
    <w:link w:val="12"/>
    <w:qFormat/>
    <w:uiPriority w:val="9"/>
    <w:pPr>
      <w:spacing w:before="100" w:beforeAutospacing="1" w:after="100" w:afterAutospacing="1" w:line="240" w:lineRule="auto"/>
      <w:outlineLvl w:val="1"/>
    </w:pPr>
    <w:rPr>
      <w:rFonts w:ascii="Times New Roman" w:hAnsi="Times New Roman" w:eastAsia="Times New Roman" w:cs="Times New Roman"/>
      <w:b/>
      <w:bCs/>
      <w:sz w:val="36"/>
      <w:szCs w:val="36"/>
    </w:rPr>
  </w:style>
  <w:style w:type="character" w:default="1" w:styleId="7">
    <w:name w:val="Default Paragraph Font"/>
    <w:unhideWhenUsed/>
    <w:uiPriority w:val="1"/>
  </w:style>
  <w:style w:type="table" w:default="1" w:styleId="9">
    <w:name w:val="Normal Table"/>
    <w:semiHidden/>
    <w:unhideWhenUsed/>
    <w:qFormat/>
    <w:uiPriority w:val="99"/>
    <w:tblPr>
      <w:tblLayout w:type="fixed"/>
      <w:tblCellMar>
        <w:top w:w="0" w:type="dxa"/>
        <w:left w:w="108" w:type="dxa"/>
        <w:bottom w:w="0" w:type="dxa"/>
        <w:right w:w="108" w:type="dxa"/>
      </w:tblCellMar>
    </w:tblPr>
  </w:style>
  <w:style w:type="paragraph" w:styleId="4">
    <w:name w:val="footer"/>
    <w:basedOn w:val="1"/>
    <w:link w:val="15"/>
    <w:unhideWhenUsed/>
    <w:qFormat/>
    <w:uiPriority w:val="99"/>
    <w:pPr>
      <w:tabs>
        <w:tab w:val="center" w:pos="4680"/>
        <w:tab w:val="right" w:pos="9360"/>
      </w:tabs>
      <w:spacing w:after="0" w:line="240" w:lineRule="auto"/>
    </w:pPr>
  </w:style>
  <w:style w:type="paragraph" w:styleId="5">
    <w:name w:val="header"/>
    <w:basedOn w:val="1"/>
    <w:link w:val="14"/>
    <w:unhideWhenUsed/>
    <w:qFormat/>
    <w:uiPriority w:val="99"/>
    <w:pPr>
      <w:tabs>
        <w:tab w:val="center" w:pos="4680"/>
        <w:tab w:val="right" w:pos="9360"/>
      </w:tabs>
      <w:spacing w:after="0" w:line="240" w:lineRule="auto"/>
    </w:pPr>
  </w:style>
  <w:style w:type="paragraph" w:styleId="6">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sz w:val="24"/>
      <w:szCs w:val="24"/>
    </w:rPr>
  </w:style>
  <w:style w:type="character" w:styleId="8">
    <w:name w:val="Hyperlink"/>
    <w:basedOn w:val="7"/>
    <w:semiHidden/>
    <w:unhideWhenUsed/>
    <w:qFormat/>
    <w:uiPriority w:val="99"/>
    <w:rPr>
      <w:color w:val="0000FF"/>
      <w:u w:val="single"/>
    </w:rPr>
  </w:style>
  <w:style w:type="character" w:customStyle="1" w:styleId="10">
    <w:name w:val="article-content"/>
    <w:basedOn w:val="7"/>
    <w:qFormat/>
    <w:uiPriority w:val="0"/>
  </w:style>
  <w:style w:type="character" w:customStyle="1" w:styleId="11">
    <w:name w:val="y0nh2b"/>
    <w:basedOn w:val="7"/>
    <w:qFormat/>
    <w:uiPriority w:val="0"/>
  </w:style>
  <w:style w:type="character" w:customStyle="1" w:styleId="12">
    <w:name w:val="Heading 2 Char"/>
    <w:basedOn w:val="7"/>
    <w:link w:val="3"/>
    <w:qFormat/>
    <w:uiPriority w:val="9"/>
    <w:rPr>
      <w:rFonts w:ascii="Times New Roman" w:hAnsi="Times New Roman" w:eastAsia="Times New Roman" w:cs="Times New Roman"/>
      <w:b/>
      <w:bCs/>
      <w:sz w:val="36"/>
      <w:szCs w:val="36"/>
    </w:rPr>
  </w:style>
  <w:style w:type="character" w:customStyle="1" w:styleId="13">
    <w:name w:val="st"/>
    <w:basedOn w:val="7"/>
    <w:qFormat/>
    <w:uiPriority w:val="0"/>
  </w:style>
  <w:style w:type="character" w:customStyle="1" w:styleId="14">
    <w:name w:val="Header Char"/>
    <w:basedOn w:val="7"/>
    <w:link w:val="5"/>
    <w:qFormat/>
    <w:uiPriority w:val="99"/>
  </w:style>
  <w:style w:type="character" w:customStyle="1" w:styleId="15">
    <w:name w:val="Footer Char"/>
    <w:basedOn w:val="7"/>
    <w:link w:val="4"/>
    <w:qFormat/>
    <w:uiPriority w:val="99"/>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9</Pages>
  <Words>2201</Words>
  <Characters>12547</Characters>
  <Lines>104</Lines>
  <Paragraphs>29</Paragraphs>
  <TotalTime>3</TotalTime>
  <ScaleCrop>false</ScaleCrop>
  <LinksUpToDate>false</LinksUpToDate>
  <CharactersWithSpaces>14719</CharactersWithSpaces>
  <Application>WPS Office_10.1.0.7311_F1E327BC-269C-435d-A152-05C5408002CA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2018-04-25T10:00:00Z</dcterms:created>
  <dc:creator>FELIE</dc:creator>
  <cp:lastModifiedBy>Dark Templar</cp:lastModifiedBy>
  <dcterms:modified xsi:type="dcterms:W3CDTF">2018-04-27T06:48:50Z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2052-10.1.0.7311</vt:lpwstr>
  </property>
</Properties>
</file>