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815BD2" w14:textId="130940D7" w:rsidR="000D14DE" w:rsidRDefault="000C2B44" w:rsidP="000D14DE">
      <w:pPr>
        <w:rPr>
          <w:rFonts w:ascii="Times New Roman" w:hAnsi="Times New Roman" w:cs="Times New Roman"/>
          <w:b/>
          <w:bCs/>
          <w:sz w:val="24"/>
          <w:szCs w:val="24"/>
        </w:rPr>
      </w:pPr>
      <w:r>
        <w:rPr>
          <w:noProof/>
          <w:lang w:val="en-IN" w:bidi="gu-IN"/>
        </w:rPr>
        <w:drawing>
          <wp:anchor distT="0" distB="0" distL="114300" distR="114300" simplePos="0" relativeHeight="251659264" behindDoc="0" locked="0" layoutInCell="1" allowOverlap="1" wp14:anchorId="4A39812A" wp14:editId="7182DB72">
            <wp:simplePos x="0" y="0"/>
            <wp:positionH relativeFrom="column">
              <wp:posOffset>-7620</wp:posOffset>
            </wp:positionH>
            <wp:positionV relativeFrom="paragraph">
              <wp:posOffset>0</wp:posOffset>
            </wp:positionV>
            <wp:extent cx="2616200" cy="1162050"/>
            <wp:effectExtent l="0" t="0" r="0" b="0"/>
            <wp:wrapSquare wrapText="bothSides"/>
            <wp:docPr id="195888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6200" cy="1162050"/>
                    </a:xfrm>
                    <a:prstGeom prst="rect">
                      <a:avLst/>
                    </a:prstGeom>
                    <a:noFill/>
                    <a:ln>
                      <a:noFill/>
                    </a:ln>
                  </pic:spPr>
                </pic:pic>
              </a:graphicData>
            </a:graphic>
          </wp:anchor>
        </w:drawing>
      </w:r>
    </w:p>
    <w:p w14:paraId="346F5CDC" w14:textId="2CF3762C" w:rsidR="000C2B44" w:rsidRDefault="000C2B44" w:rsidP="000D14DE">
      <w:pPr>
        <w:rPr>
          <w:rFonts w:ascii="Times New Roman" w:hAnsi="Times New Roman" w:cs="Times New Roman"/>
          <w:b/>
          <w:bCs/>
          <w:sz w:val="24"/>
          <w:szCs w:val="24"/>
        </w:rPr>
      </w:pPr>
    </w:p>
    <w:p w14:paraId="04F071DA" w14:textId="77777777" w:rsidR="000D14DE" w:rsidRDefault="000D14DE" w:rsidP="000D14DE">
      <w:pPr>
        <w:jc w:val="center"/>
        <w:rPr>
          <w:rFonts w:ascii="Times New Roman" w:hAnsi="Times New Roman" w:cs="Times New Roman"/>
          <w:b/>
          <w:bCs/>
          <w:sz w:val="24"/>
          <w:szCs w:val="24"/>
        </w:rPr>
      </w:pPr>
    </w:p>
    <w:p w14:paraId="4D8A456D" w14:textId="77777777" w:rsidR="000C2B44" w:rsidRDefault="000C2B44" w:rsidP="000D14DE">
      <w:pPr>
        <w:jc w:val="center"/>
        <w:rPr>
          <w:rFonts w:ascii="Times New Roman" w:hAnsi="Times New Roman" w:cs="Times New Roman"/>
          <w:b/>
          <w:bCs/>
          <w:sz w:val="32"/>
          <w:szCs w:val="32"/>
        </w:rPr>
      </w:pPr>
    </w:p>
    <w:p w14:paraId="4C965112" w14:textId="77777777" w:rsidR="000C2B44" w:rsidRDefault="000C2B44" w:rsidP="000D14DE">
      <w:pPr>
        <w:jc w:val="center"/>
        <w:rPr>
          <w:rFonts w:ascii="Times New Roman" w:hAnsi="Times New Roman" w:cs="Times New Roman"/>
          <w:b/>
          <w:bCs/>
          <w:sz w:val="32"/>
          <w:szCs w:val="32"/>
        </w:rPr>
      </w:pPr>
    </w:p>
    <w:p w14:paraId="3DB0FDA6" w14:textId="77777777" w:rsidR="000C2B44" w:rsidRDefault="000C2B44" w:rsidP="000D14DE">
      <w:pPr>
        <w:jc w:val="center"/>
        <w:rPr>
          <w:rFonts w:ascii="Times New Roman" w:hAnsi="Times New Roman" w:cs="Times New Roman"/>
          <w:b/>
          <w:bCs/>
          <w:sz w:val="32"/>
          <w:szCs w:val="32"/>
        </w:rPr>
      </w:pPr>
    </w:p>
    <w:p w14:paraId="77320F06" w14:textId="77777777" w:rsidR="00017870" w:rsidRDefault="00017870" w:rsidP="000D14DE">
      <w:pPr>
        <w:jc w:val="center"/>
        <w:rPr>
          <w:rFonts w:ascii="Times New Roman" w:hAnsi="Times New Roman" w:cs="Times New Roman"/>
          <w:b/>
          <w:bCs/>
          <w:sz w:val="32"/>
          <w:szCs w:val="32"/>
        </w:rPr>
      </w:pPr>
    </w:p>
    <w:p w14:paraId="4A9A7CE5" w14:textId="037FDECD" w:rsidR="000D14DE" w:rsidRPr="00017870" w:rsidRDefault="000D14DE" w:rsidP="00017870">
      <w:pPr>
        <w:rPr>
          <w:bCs/>
          <w:sz w:val="32"/>
          <w:szCs w:val="32"/>
        </w:rPr>
      </w:pPr>
    </w:p>
    <w:p w14:paraId="34ED9ACE" w14:textId="77777777" w:rsidR="00017870" w:rsidRPr="00017870" w:rsidRDefault="00017870" w:rsidP="00017870">
      <w:pPr>
        <w:spacing w:line="360" w:lineRule="auto"/>
        <w:ind w:left="2880" w:firstLine="720"/>
        <w:rPr>
          <w:rFonts w:ascii="Times New Roman" w:hAnsi="Times New Roman" w:cs="Times New Roman"/>
          <w:bCs/>
          <w:sz w:val="32"/>
          <w:szCs w:val="32"/>
        </w:rPr>
      </w:pPr>
      <w:r w:rsidRPr="00017870">
        <w:rPr>
          <w:rFonts w:ascii="Times New Roman" w:hAnsi="Times New Roman" w:cs="Times New Roman"/>
          <w:bCs/>
          <w:sz w:val="32"/>
          <w:szCs w:val="32"/>
        </w:rPr>
        <w:t>Assignment Title</w:t>
      </w:r>
    </w:p>
    <w:p w14:paraId="1A58B3D2" w14:textId="6326138D" w:rsidR="00017870" w:rsidRPr="00017870" w:rsidRDefault="00017870" w:rsidP="00017870">
      <w:pPr>
        <w:spacing w:line="360" w:lineRule="auto"/>
        <w:jc w:val="center"/>
        <w:rPr>
          <w:rFonts w:ascii="Times New Roman" w:hAnsi="Times New Roman" w:cs="Times New Roman"/>
          <w:bCs/>
          <w:sz w:val="32"/>
          <w:szCs w:val="32"/>
        </w:rPr>
      </w:pPr>
      <w:r w:rsidRPr="00017870">
        <w:rPr>
          <w:rFonts w:ascii="Times New Roman" w:hAnsi="Times New Roman" w:cs="Times New Roman"/>
          <w:bCs/>
          <w:sz w:val="32"/>
          <w:szCs w:val="32"/>
        </w:rPr>
        <w:t>Component 1 - Individual Report</w:t>
      </w:r>
    </w:p>
    <w:p w14:paraId="344068F3" w14:textId="77777777" w:rsidR="00017870" w:rsidRPr="000D14DE" w:rsidRDefault="00017870" w:rsidP="00017870">
      <w:pPr>
        <w:jc w:val="center"/>
        <w:rPr>
          <w:rFonts w:ascii="Times New Roman" w:hAnsi="Times New Roman" w:cs="Times New Roman"/>
          <w:b/>
          <w:bCs/>
          <w:sz w:val="32"/>
          <w:szCs w:val="32"/>
        </w:rPr>
      </w:pPr>
    </w:p>
    <w:p w14:paraId="23B63562" w14:textId="77777777" w:rsidR="000D14DE" w:rsidRPr="000D14DE" w:rsidRDefault="000D14DE" w:rsidP="000D14DE">
      <w:pPr>
        <w:rPr>
          <w:rFonts w:ascii="Times New Roman" w:hAnsi="Times New Roman" w:cs="Times New Roman"/>
          <w:b/>
          <w:bCs/>
          <w:sz w:val="24"/>
          <w:szCs w:val="24"/>
        </w:rPr>
      </w:pPr>
    </w:p>
    <w:p w14:paraId="16221157" w14:textId="77777777" w:rsidR="00017870" w:rsidRDefault="00017870" w:rsidP="00017870">
      <w:pPr>
        <w:jc w:val="center"/>
        <w:rPr>
          <w:rFonts w:ascii="Times New Roman" w:hAnsi="Times New Roman" w:cs="Times New Roman"/>
          <w:b/>
          <w:bCs/>
          <w:sz w:val="24"/>
          <w:szCs w:val="24"/>
        </w:rPr>
      </w:pPr>
    </w:p>
    <w:p w14:paraId="1D54C40A" w14:textId="77777777" w:rsidR="00017870" w:rsidRPr="00017870" w:rsidRDefault="00017870" w:rsidP="000D14DE">
      <w:pPr>
        <w:spacing w:line="360" w:lineRule="auto"/>
        <w:rPr>
          <w:rFonts w:ascii="Times New Roman" w:eastAsia="DengXian" w:hAnsi="Times New Roman" w:cs="Times New Roman"/>
          <w:kern w:val="2"/>
          <w:sz w:val="32"/>
          <w:szCs w:val="32"/>
          <w:lang w:val="en-GB" w:eastAsia="zh-CN"/>
          <w14:ligatures w14:val="standardContextual"/>
        </w:rPr>
      </w:pPr>
    </w:p>
    <w:p w14:paraId="571788FA" w14:textId="77777777" w:rsidR="00017870" w:rsidRDefault="00017870" w:rsidP="000D14DE">
      <w:pPr>
        <w:spacing w:line="360" w:lineRule="auto"/>
        <w:rPr>
          <w:rFonts w:ascii="Times New Roman" w:eastAsia="DengXian" w:hAnsi="Times New Roman" w:cs="Times New Roman"/>
          <w:kern w:val="2"/>
          <w:sz w:val="28"/>
          <w:szCs w:val="28"/>
          <w:lang w:val="en-GB" w:eastAsia="zh-CN"/>
          <w14:ligatures w14:val="standardContextual"/>
        </w:rPr>
      </w:pPr>
    </w:p>
    <w:p w14:paraId="2CF57FA8" w14:textId="77777777" w:rsidR="00017870" w:rsidRDefault="00017870" w:rsidP="000D14DE">
      <w:pPr>
        <w:spacing w:line="360" w:lineRule="auto"/>
        <w:rPr>
          <w:rFonts w:ascii="Times New Roman" w:eastAsia="DengXian" w:hAnsi="Times New Roman" w:cs="Times New Roman"/>
          <w:kern w:val="2"/>
          <w:sz w:val="28"/>
          <w:szCs w:val="28"/>
          <w:lang w:val="en-GB" w:eastAsia="zh-CN"/>
          <w14:ligatures w14:val="standardContextual"/>
        </w:rPr>
      </w:pPr>
    </w:p>
    <w:p w14:paraId="646F9AD8" w14:textId="77777777" w:rsidR="00017870" w:rsidRDefault="00017870" w:rsidP="000D14DE">
      <w:pPr>
        <w:spacing w:line="360" w:lineRule="auto"/>
        <w:rPr>
          <w:rFonts w:ascii="Times New Roman" w:eastAsia="DengXian" w:hAnsi="Times New Roman" w:cs="Times New Roman"/>
          <w:kern w:val="2"/>
          <w:sz w:val="28"/>
          <w:szCs w:val="28"/>
          <w:lang w:val="en-GB" w:eastAsia="zh-CN"/>
          <w14:ligatures w14:val="standardContextual"/>
        </w:rPr>
      </w:pPr>
    </w:p>
    <w:p w14:paraId="0CC7F7CF" w14:textId="77777777" w:rsidR="00017870" w:rsidRDefault="00017870" w:rsidP="000D14DE">
      <w:pPr>
        <w:spacing w:line="360" w:lineRule="auto"/>
        <w:rPr>
          <w:rFonts w:ascii="Times New Roman" w:eastAsia="DengXian" w:hAnsi="Times New Roman" w:cs="Times New Roman"/>
          <w:kern w:val="2"/>
          <w:sz w:val="28"/>
          <w:szCs w:val="28"/>
          <w:lang w:val="en-GB" w:eastAsia="zh-CN"/>
          <w14:ligatures w14:val="standardContextual"/>
        </w:rPr>
      </w:pPr>
    </w:p>
    <w:p w14:paraId="6E29DDAF" w14:textId="77777777" w:rsidR="00017870" w:rsidRDefault="00017870" w:rsidP="000D14DE">
      <w:pPr>
        <w:spacing w:line="360" w:lineRule="auto"/>
        <w:rPr>
          <w:rFonts w:ascii="Times New Roman" w:eastAsia="DengXian" w:hAnsi="Times New Roman" w:cs="Times New Roman"/>
          <w:kern w:val="2"/>
          <w:sz w:val="28"/>
          <w:szCs w:val="28"/>
          <w:lang w:val="en-GB" w:eastAsia="zh-CN"/>
          <w14:ligatures w14:val="standardContextual"/>
        </w:rPr>
      </w:pPr>
    </w:p>
    <w:p w14:paraId="202AC26D" w14:textId="2FC29694" w:rsidR="000D14DE" w:rsidRPr="00017870" w:rsidRDefault="000D14DE" w:rsidP="000D14DE">
      <w:pPr>
        <w:spacing w:line="360" w:lineRule="auto"/>
        <w:rPr>
          <w:rFonts w:ascii="Times New Roman" w:eastAsia="DengXian" w:hAnsi="Times New Roman" w:cs="Times New Roman"/>
          <w:kern w:val="2"/>
          <w:sz w:val="32"/>
          <w:szCs w:val="32"/>
          <w:lang w:val="en-GB" w:eastAsia="zh-CN"/>
          <w14:ligatures w14:val="standardContextual"/>
        </w:rPr>
      </w:pPr>
      <w:r w:rsidRPr="00017870">
        <w:rPr>
          <w:rFonts w:ascii="Times New Roman" w:eastAsia="DengXian" w:hAnsi="Times New Roman" w:cs="Times New Roman"/>
          <w:kern w:val="2"/>
          <w:sz w:val="32"/>
          <w:szCs w:val="32"/>
          <w:lang w:val="en-GB" w:eastAsia="zh-CN"/>
          <w14:ligatures w14:val="standardContextual"/>
        </w:rPr>
        <w:t>Student Name:</w:t>
      </w:r>
      <w:r w:rsidR="000C2B44" w:rsidRPr="00017870">
        <w:rPr>
          <w:rFonts w:ascii="Times New Roman" w:eastAsia="DengXian" w:hAnsi="Times New Roman" w:cs="Times New Roman"/>
          <w:kern w:val="2"/>
          <w:sz w:val="32"/>
          <w:szCs w:val="32"/>
          <w:lang w:val="en-GB" w:eastAsia="zh-CN"/>
          <w14:ligatures w14:val="standardContextual"/>
        </w:rPr>
        <w:t xml:space="preserve"> Naitik Hareshbhai Bokha</w:t>
      </w:r>
    </w:p>
    <w:p w14:paraId="23719090" w14:textId="22D2B09F" w:rsidR="000D14DE" w:rsidRPr="00017870" w:rsidRDefault="000D14DE" w:rsidP="000D14DE">
      <w:pPr>
        <w:spacing w:line="360" w:lineRule="auto"/>
        <w:rPr>
          <w:rFonts w:ascii="Times New Roman" w:eastAsia="DengXian" w:hAnsi="Times New Roman" w:cs="Times New Roman"/>
          <w:kern w:val="2"/>
          <w:sz w:val="32"/>
          <w:szCs w:val="32"/>
          <w:lang w:val="en-GB" w:eastAsia="zh-CN"/>
          <w14:ligatures w14:val="standardContextual"/>
        </w:rPr>
      </w:pPr>
      <w:r w:rsidRPr="00017870">
        <w:rPr>
          <w:rFonts w:ascii="Times New Roman" w:eastAsia="DengXian" w:hAnsi="Times New Roman" w:cs="Times New Roman"/>
          <w:kern w:val="2"/>
          <w:sz w:val="32"/>
          <w:szCs w:val="32"/>
          <w:lang w:val="en-GB" w:eastAsia="zh-CN"/>
          <w14:ligatures w14:val="standardContextual"/>
        </w:rPr>
        <w:t>Student ID:</w:t>
      </w:r>
      <w:r w:rsidR="000C2B44" w:rsidRPr="00017870">
        <w:rPr>
          <w:rFonts w:ascii="Times New Roman" w:eastAsia="DengXian" w:hAnsi="Times New Roman" w:cs="Times New Roman"/>
          <w:kern w:val="2"/>
          <w:sz w:val="32"/>
          <w:szCs w:val="32"/>
          <w:lang w:val="en-GB" w:eastAsia="zh-CN"/>
          <w14:ligatures w14:val="standardContextual"/>
        </w:rPr>
        <w:t xml:space="preserve"> 2332525</w:t>
      </w:r>
    </w:p>
    <w:p w14:paraId="56C3AA4B" w14:textId="77777777" w:rsidR="000D14DE" w:rsidRPr="00017870" w:rsidRDefault="000D14DE" w:rsidP="000D14DE">
      <w:pPr>
        <w:spacing w:line="360" w:lineRule="auto"/>
        <w:rPr>
          <w:rFonts w:ascii="Times New Roman" w:eastAsia="DengXian" w:hAnsi="Times New Roman" w:cs="Times New Roman"/>
          <w:kern w:val="2"/>
          <w:sz w:val="32"/>
          <w:szCs w:val="32"/>
          <w:lang w:val="en-GB" w:eastAsia="zh-CN"/>
          <w14:ligatures w14:val="standardContextual"/>
        </w:rPr>
      </w:pPr>
      <w:r w:rsidRPr="00017870">
        <w:rPr>
          <w:rFonts w:ascii="Times New Roman" w:eastAsia="DengXian" w:hAnsi="Times New Roman" w:cs="Times New Roman"/>
          <w:kern w:val="2"/>
          <w:sz w:val="32"/>
          <w:szCs w:val="32"/>
          <w:lang w:val="en-GB" w:eastAsia="zh-CN"/>
          <w14:ligatures w14:val="standardContextual"/>
        </w:rPr>
        <w:t>Module Code: LCMB7023</w:t>
      </w:r>
    </w:p>
    <w:p w14:paraId="2B68F21D" w14:textId="77777777" w:rsidR="000D14DE" w:rsidRPr="00017870" w:rsidRDefault="000D14DE" w:rsidP="000D14DE">
      <w:pPr>
        <w:spacing w:line="360" w:lineRule="auto"/>
        <w:rPr>
          <w:rFonts w:ascii="Times New Roman" w:eastAsia="DengXian" w:hAnsi="Times New Roman" w:cs="Times New Roman"/>
          <w:kern w:val="2"/>
          <w:sz w:val="32"/>
          <w:szCs w:val="32"/>
          <w:lang w:val="en-GB" w:eastAsia="zh-CN"/>
          <w14:ligatures w14:val="standardContextual"/>
        </w:rPr>
      </w:pPr>
      <w:r w:rsidRPr="00017870">
        <w:rPr>
          <w:rFonts w:ascii="Times New Roman" w:eastAsia="DengXian" w:hAnsi="Times New Roman" w:cs="Times New Roman"/>
          <w:kern w:val="2"/>
          <w:sz w:val="32"/>
          <w:szCs w:val="32"/>
          <w:lang w:val="en-GB" w:eastAsia="zh-CN"/>
          <w14:ligatures w14:val="standardContextual"/>
        </w:rPr>
        <w:t>Module: Human Capital Management</w:t>
      </w:r>
    </w:p>
    <w:p w14:paraId="741D0777" w14:textId="77777777" w:rsidR="000D14DE" w:rsidRPr="000C2B44" w:rsidRDefault="000D14DE" w:rsidP="000D14DE">
      <w:pPr>
        <w:spacing w:line="360" w:lineRule="auto"/>
        <w:rPr>
          <w:rFonts w:ascii="Times New Roman" w:eastAsia="DengXian" w:hAnsi="Times New Roman" w:cs="Times New Roman"/>
          <w:kern w:val="2"/>
          <w:sz w:val="28"/>
          <w:szCs w:val="28"/>
          <w:lang w:val="en-GB" w:eastAsia="zh-CN"/>
          <w14:ligatures w14:val="standardContextual"/>
        </w:rPr>
      </w:pPr>
      <w:r w:rsidRPr="00017870">
        <w:rPr>
          <w:rFonts w:ascii="Times New Roman" w:eastAsia="DengXian" w:hAnsi="Times New Roman" w:cs="Times New Roman"/>
          <w:kern w:val="2"/>
          <w:sz w:val="32"/>
          <w:szCs w:val="32"/>
          <w:lang w:val="en-GB" w:eastAsia="zh-CN"/>
          <w14:ligatures w14:val="standardContextual"/>
        </w:rPr>
        <w:t>Lecturer: Nishi Ramsurrun</w:t>
      </w:r>
    </w:p>
    <w:p w14:paraId="18B464A2" w14:textId="77777777" w:rsidR="000D14DE" w:rsidRPr="000D14DE" w:rsidRDefault="000D14DE" w:rsidP="000D14DE">
      <w:pPr>
        <w:spacing w:line="360" w:lineRule="auto"/>
        <w:rPr>
          <w:rFonts w:ascii="Times New Roman" w:hAnsi="Times New Roman" w:cs="Times New Roman"/>
          <w:b/>
          <w:bCs/>
          <w:sz w:val="24"/>
          <w:szCs w:val="24"/>
        </w:rPr>
      </w:pPr>
    </w:p>
    <w:p w14:paraId="58E37896" w14:textId="77777777" w:rsidR="000D14DE" w:rsidRDefault="000D14DE" w:rsidP="000D14DE">
      <w:pPr>
        <w:spacing w:line="360" w:lineRule="auto"/>
        <w:rPr>
          <w:rFonts w:ascii="Times New Roman" w:hAnsi="Times New Roman" w:cs="Times New Roman"/>
          <w:b/>
          <w:bCs/>
          <w:sz w:val="24"/>
          <w:szCs w:val="24"/>
        </w:rPr>
      </w:pPr>
    </w:p>
    <w:p w14:paraId="78CB3945" w14:textId="77777777" w:rsidR="000D14DE" w:rsidRPr="006F6656" w:rsidRDefault="000D14DE" w:rsidP="000D14DE">
      <w:pPr>
        <w:spacing w:line="360" w:lineRule="auto"/>
        <w:rPr>
          <w:rFonts w:ascii="Times New Roman" w:eastAsia="Times New Roman" w:hAnsi="Times New Roman" w:cs="Times New Roman"/>
          <w:bCs/>
          <w:sz w:val="32"/>
          <w:szCs w:val="32"/>
          <w:lang w:val="en" w:eastAsia="en-IN"/>
        </w:rPr>
      </w:pPr>
    </w:p>
    <w:p w14:paraId="3B9830B0" w14:textId="6E935992" w:rsidR="00F6758B" w:rsidRDefault="000D14DE" w:rsidP="004536F0">
      <w:pPr>
        <w:spacing w:line="360" w:lineRule="auto"/>
        <w:jc w:val="center"/>
        <w:rPr>
          <w:rFonts w:ascii="Times New Roman" w:hAnsi="Times New Roman" w:cs="Times New Roman"/>
          <w:b/>
          <w:bCs/>
          <w:sz w:val="24"/>
          <w:szCs w:val="24"/>
        </w:rPr>
      </w:pPr>
      <w:r w:rsidRPr="006F6656">
        <w:rPr>
          <w:rFonts w:ascii="Times New Roman" w:eastAsia="Times New Roman" w:hAnsi="Times New Roman" w:cs="Times New Roman"/>
          <w:bCs/>
          <w:sz w:val="32"/>
          <w:szCs w:val="32"/>
          <w:lang w:val="en" w:eastAsia="en-IN"/>
        </w:rPr>
        <w:t>Submitted on: 19</w:t>
      </w:r>
      <w:r w:rsidR="00017870">
        <w:rPr>
          <w:rFonts w:ascii="Times New Roman" w:eastAsia="Times New Roman" w:hAnsi="Times New Roman" w:cs="Times New Roman"/>
          <w:bCs/>
          <w:sz w:val="32"/>
          <w:szCs w:val="32"/>
          <w:vertAlign w:val="superscript"/>
          <w:lang w:val="en" w:eastAsia="en-IN"/>
        </w:rPr>
        <w:t>th</w:t>
      </w:r>
      <w:r w:rsidRPr="006F6656">
        <w:rPr>
          <w:rFonts w:ascii="Times New Roman" w:eastAsia="Times New Roman" w:hAnsi="Times New Roman" w:cs="Times New Roman"/>
          <w:bCs/>
          <w:sz w:val="32"/>
          <w:szCs w:val="32"/>
          <w:lang w:val="en" w:eastAsia="en-IN"/>
        </w:rPr>
        <w:t xml:space="preserve"> August 2024</w:t>
      </w:r>
      <w:r w:rsidR="00F6758B">
        <w:rPr>
          <w:rFonts w:ascii="Times New Roman" w:hAnsi="Times New Roman" w:cs="Times New Roman"/>
          <w:b/>
          <w:bCs/>
          <w:sz w:val="24"/>
          <w:szCs w:val="24"/>
        </w:rPr>
        <w:br w:type="page"/>
      </w:r>
    </w:p>
    <w:sdt>
      <w:sdtPr>
        <w:rPr>
          <w:rFonts w:ascii="Arial" w:eastAsia="Arial" w:hAnsi="Arial" w:cs="Arial"/>
          <w:color w:val="auto"/>
          <w:sz w:val="22"/>
          <w:szCs w:val="22"/>
          <w:lang w:val=""/>
        </w:rPr>
        <w:id w:val="-286283694"/>
        <w:docPartObj>
          <w:docPartGallery w:val="Table of Contents"/>
          <w:docPartUnique/>
        </w:docPartObj>
      </w:sdtPr>
      <w:sdtEndPr>
        <w:rPr>
          <w:b/>
          <w:bCs/>
          <w:noProof/>
        </w:rPr>
      </w:sdtEndPr>
      <w:sdtContent>
        <w:p w14:paraId="06B68AA5" w14:textId="130AAE0B" w:rsidR="00F6758B" w:rsidRPr="00F6758B" w:rsidRDefault="00F6758B" w:rsidP="00F6758B">
          <w:pPr>
            <w:pStyle w:val="TOCHeading"/>
            <w:spacing w:line="360" w:lineRule="auto"/>
            <w:jc w:val="both"/>
            <w:rPr>
              <w:rFonts w:ascii="Times New Roman" w:hAnsi="Times New Roman" w:cs="Times New Roman"/>
              <w:b/>
              <w:bCs/>
              <w:color w:val="auto"/>
              <w:sz w:val="24"/>
              <w:szCs w:val="24"/>
            </w:rPr>
          </w:pPr>
          <w:r w:rsidRPr="00F6758B">
            <w:rPr>
              <w:rFonts w:ascii="Times New Roman" w:hAnsi="Times New Roman" w:cs="Times New Roman"/>
              <w:b/>
              <w:bCs/>
              <w:color w:val="auto"/>
              <w:sz w:val="24"/>
              <w:szCs w:val="24"/>
            </w:rPr>
            <w:t>Table of Contents</w:t>
          </w:r>
        </w:p>
        <w:p w14:paraId="7D6CE76E" w14:textId="7EADBB07" w:rsidR="00F6758B" w:rsidRPr="00F6758B" w:rsidRDefault="00F6758B" w:rsidP="00F6758B">
          <w:pPr>
            <w:pStyle w:val="TOC1"/>
            <w:tabs>
              <w:tab w:val="right" w:leader="dot" w:pos="9350"/>
            </w:tabs>
            <w:spacing w:line="360" w:lineRule="auto"/>
            <w:jc w:val="both"/>
            <w:rPr>
              <w:rFonts w:ascii="Times New Roman" w:hAnsi="Times New Roman" w:cs="Times New Roman"/>
              <w:noProof/>
              <w:sz w:val="24"/>
              <w:szCs w:val="24"/>
            </w:rPr>
          </w:pPr>
          <w:r w:rsidRPr="00F6758B">
            <w:rPr>
              <w:rFonts w:ascii="Times New Roman" w:hAnsi="Times New Roman" w:cs="Times New Roman"/>
              <w:sz w:val="24"/>
              <w:szCs w:val="24"/>
            </w:rPr>
            <w:fldChar w:fldCharType="begin"/>
          </w:r>
          <w:r w:rsidRPr="00F6758B">
            <w:rPr>
              <w:rFonts w:ascii="Times New Roman" w:hAnsi="Times New Roman" w:cs="Times New Roman"/>
              <w:sz w:val="24"/>
              <w:szCs w:val="24"/>
            </w:rPr>
            <w:instrText xml:space="preserve"> TOC \o "1-3" \h \z \u </w:instrText>
          </w:r>
          <w:r w:rsidRPr="00F6758B">
            <w:rPr>
              <w:rFonts w:ascii="Times New Roman" w:hAnsi="Times New Roman" w:cs="Times New Roman"/>
              <w:sz w:val="24"/>
              <w:szCs w:val="24"/>
            </w:rPr>
            <w:fldChar w:fldCharType="separate"/>
          </w:r>
          <w:hyperlink w:anchor="_Toc172828713" w:history="1">
            <w:r w:rsidRPr="00F6758B">
              <w:rPr>
                <w:rStyle w:val="Hyperlink"/>
                <w:rFonts w:ascii="Times New Roman" w:hAnsi="Times New Roman" w:cs="Times New Roman"/>
                <w:noProof/>
                <w:color w:val="auto"/>
                <w:sz w:val="24"/>
                <w:szCs w:val="24"/>
              </w:rPr>
              <w:t>1.0 Introduction</w:t>
            </w:r>
            <w:r w:rsidRPr="00F6758B">
              <w:rPr>
                <w:rFonts w:ascii="Times New Roman" w:hAnsi="Times New Roman" w:cs="Times New Roman"/>
                <w:noProof/>
                <w:webHidden/>
                <w:sz w:val="24"/>
                <w:szCs w:val="24"/>
              </w:rPr>
              <w:tab/>
            </w:r>
            <w:r w:rsidRPr="00F6758B">
              <w:rPr>
                <w:rFonts w:ascii="Times New Roman" w:hAnsi="Times New Roman" w:cs="Times New Roman"/>
                <w:noProof/>
                <w:webHidden/>
                <w:sz w:val="24"/>
                <w:szCs w:val="24"/>
              </w:rPr>
              <w:fldChar w:fldCharType="begin"/>
            </w:r>
            <w:r w:rsidRPr="00F6758B">
              <w:rPr>
                <w:rFonts w:ascii="Times New Roman" w:hAnsi="Times New Roman" w:cs="Times New Roman"/>
                <w:noProof/>
                <w:webHidden/>
                <w:sz w:val="24"/>
                <w:szCs w:val="24"/>
              </w:rPr>
              <w:instrText xml:space="preserve"> PAGEREF _Toc172828713 \h </w:instrText>
            </w:r>
            <w:r w:rsidRPr="00F6758B">
              <w:rPr>
                <w:rFonts w:ascii="Times New Roman" w:hAnsi="Times New Roman" w:cs="Times New Roman"/>
                <w:noProof/>
                <w:webHidden/>
                <w:sz w:val="24"/>
                <w:szCs w:val="24"/>
              </w:rPr>
            </w:r>
            <w:r w:rsidRPr="00F6758B">
              <w:rPr>
                <w:rFonts w:ascii="Times New Roman" w:hAnsi="Times New Roman" w:cs="Times New Roman"/>
                <w:noProof/>
                <w:webHidden/>
                <w:sz w:val="24"/>
                <w:szCs w:val="24"/>
              </w:rPr>
              <w:fldChar w:fldCharType="separate"/>
            </w:r>
            <w:r w:rsidRPr="00F6758B">
              <w:rPr>
                <w:rFonts w:ascii="Times New Roman" w:hAnsi="Times New Roman" w:cs="Times New Roman"/>
                <w:noProof/>
                <w:webHidden/>
                <w:sz w:val="24"/>
                <w:szCs w:val="24"/>
              </w:rPr>
              <w:t>3</w:t>
            </w:r>
            <w:r w:rsidRPr="00F6758B">
              <w:rPr>
                <w:rFonts w:ascii="Times New Roman" w:hAnsi="Times New Roman" w:cs="Times New Roman"/>
                <w:noProof/>
                <w:webHidden/>
                <w:sz w:val="24"/>
                <w:szCs w:val="24"/>
              </w:rPr>
              <w:fldChar w:fldCharType="end"/>
            </w:r>
          </w:hyperlink>
        </w:p>
        <w:p w14:paraId="55F75A34" w14:textId="3257F67C" w:rsidR="00F6758B" w:rsidRPr="00F6758B" w:rsidRDefault="00000000" w:rsidP="00F6758B">
          <w:pPr>
            <w:pStyle w:val="TOC1"/>
            <w:tabs>
              <w:tab w:val="right" w:leader="dot" w:pos="9350"/>
            </w:tabs>
            <w:spacing w:line="360" w:lineRule="auto"/>
            <w:jc w:val="both"/>
            <w:rPr>
              <w:rFonts w:ascii="Times New Roman" w:hAnsi="Times New Roman" w:cs="Times New Roman"/>
              <w:noProof/>
              <w:sz w:val="24"/>
              <w:szCs w:val="24"/>
            </w:rPr>
          </w:pPr>
          <w:hyperlink w:anchor="_Toc172828714" w:history="1">
            <w:r w:rsidR="00F6758B" w:rsidRPr="00F6758B">
              <w:rPr>
                <w:rStyle w:val="Hyperlink"/>
                <w:rFonts w:ascii="Times New Roman" w:hAnsi="Times New Roman" w:cs="Times New Roman"/>
                <w:noProof/>
                <w:color w:val="auto"/>
                <w:sz w:val="24"/>
                <w:szCs w:val="24"/>
              </w:rPr>
              <w:t>2.0 Current Challenges in the NHS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_Toc172828714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3</w:t>
            </w:r>
            <w:r w:rsidR="00F6758B" w:rsidRPr="00F6758B">
              <w:rPr>
                <w:rFonts w:ascii="Times New Roman" w:hAnsi="Times New Roman" w:cs="Times New Roman"/>
                <w:noProof/>
                <w:webHidden/>
                <w:sz w:val="24"/>
                <w:szCs w:val="24"/>
              </w:rPr>
              <w:fldChar w:fldCharType="end"/>
            </w:r>
          </w:hyperlink>
        </w:p>
        <w:p w14:paraId="0D4C5562" w14:textId="0696D143"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15" w:history="1">
            <w:r w:rsidR="00F6758B" w:rsidRPr="00F6758B">
              <w:rPr>
                <w:rStyle w:val="Hyperlink"/>
                <w:rFonts w:ascii="Times New Roman" w:hAnsi="Times New Roman" w:cs="Times New Roman"/>
                <w:noProof/>
                <w:color w:val="auto"/>
                <w:sz w:val="24"/>
                <w:szCs w:val="24"/>
              </w:rPr>
              <w:t>2.1 Lack of funding</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_Toc172828715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3</w:t>
            </w:r>
            <w:r w:rsidR="00F6758B" w:rsidRPr="00F6758B">
              <w:rPr>
                <w:rFonts w:ascii="Times New Roman" w:hAnsi="Times New Roman" w:cs="Times New Roman"/>
                <w:noProof/>
                <w:webHidden/>
                <w:sz w:val="24"/>
                <w:szCs w:val="24"/>
              </w:rPr>
              <w:fldChar w:fldCharType="end"/>
            </w:r>
          </w:hyperlink>
        </w:p>
        <w:p w14:paraId="447457EF" w14:textId="67E6AEB3"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16" w:history="1">
            <w:r w:rsidR="00F6758B" w:rsidRPr="00F6758B">
              <w:rPr>
                <w:rStyle w:val="Hyperlink"/>
                <w:rFonts w:ascii="Times New Roman" w:hAnsi="Times New Roman" w:cs="Times New Roman"/>
                <w:noProof/>
                <w:color w:val="auto"/>
                <w:sz w:val="24"/>
                <w:szCs w:val="24"/>
              </w:rPr>
              <w:t>2.2 Shortage of staff</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_Toc172828716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4</w:t>
            </w:r>
            <w:r w:rsidR="00F6758B" w:rsidRPr="00F6758B">
              <w:rPr>
                <w:rFonts w:ascii="Times New Roman" w:hAnsi="Times New Roman" w:cs="Times New Roman"/>
                <w:noProof/>
                <w:webHidden/>
                <w:sz w:val="24"/>
                <w:szCs w:val="24"/>
              </w:rPr>
              <w:fldChar w:fldCharType="end"/>
            </w:r>
          </w:hyperlink>
        </w:p>
        <w:p w14:paraId="3E5E42AB" w14:textId="384997CF"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17" w:history="1">
            <w:r w:rsidR="00F6758B" w:rsidRPr="00F6758B">
              <w:rPr>
                <w:rStyle w:val="Hyperlink"/>
                <w:rFonts w:ascii="Times New Roman" w:hAnsi="Times New Roman" w:cs="Times New Roman"/>
                <w:noProof/>
                <w:color w:val="auto"/>
                <w:sz w:val="24"/>
                <w:szCs w:val="24"/>
              </w:rPr>
              <w:t>2.3 Staff burnout due to high volume of work</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_Toc172828717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5</w:t>
            </w:r>
            <w:r w:rsidR="00F6758B" w:rsidRPr="00F6758B">
              <w:rPr>
                <w:rFonts w:ascii="Times New Roman" w:hAnsi="Times New Roman" w:cs="Times New Roman"/>
                <w:noProof/>
                <w:webHidden/>
                <w:sz w:val="24"/>
                <w:szCs w:val="24"/>
              </w:rPr>
              <w:fldChar w:fldCharType="end"/>
            </w:r>
          </w:hyperlink>
        </w:p>
        <w:p w14:paraId="4130619A" w14:textId="636032DF" w:rsidR="00F6758B" w:rsidRPr="00F6758B" w:rsidRDefault="00000000" w:rsidP="00F6758B">
          <w:pPr>
            <w:pStyle w:val="TOC1"/>
            <w:tabs>
              <w:tab w:val="right" w:leader="dot" w:pos="9350"/>
            </w:tabs>
            <w:spacing w:line="360" w:lineRule="auto"/>
            <w:jc w:val="both"/>
            <w:rPr>
              <w:rFonts w:ascii="Times New Roman" w:hAnsi="Times New Roman" w:cs="Times New Roman"/>
              <w:noProof/>
              <w:sz w:val="24"/>
              <w:szCs w:val="24"/>
            </w:rPr>
          </w:pPr>
          <w:hyperlink w:anchor="_Toc172828718" w:history="1">
            <w:r w:rsidR="00F6758B" w:rsidRPr="00F6758B">
              <w:rPr>
                <w:rStyle w:val="Hyperlink"/>
                <w:rFonts w:ascii="Times New Roman" w:hAnsi="Times New Roman" w:cs="Times New Roman"/>
                <w:noProof/>
                <w:color w:val="auto"/>
                <w:sz w:val="24"/>
                <w:szCs w:val="24"/>
              </w:rPr>
              <w:t>3.0 Key issues in estimating internal and external supply of human resources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_Toc172828718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6</w:t>
            </w:r>
            <w:r w:rsidR="00F6758B" w:rsidRPr="00F6758B">
              <w:rPr>
                <w:rFonts w:ascii="Times New Roman" w:hAnsi="Times New Roman" w:cs="Times New Roman"/>
                <w:noProof/>
                <w:webHidden/>
                <w:sz w:val="24"/>
                <w:szCs w:val="24"/>
              </w:rPr>
              <w:fldChar w:fldCharType="end"/>
            </w:r>
          </w:hyperlink>
        </w:p>
        <w:p w14:paraId="781D35B9" w14:textId="0D046D4C"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19" w:history="1">
            <w:r w:rsidR="00F6758B" w:rsidRPr="00F6758B">
              <w:rPr>
                <w:rStyle w:val="Hyperlink"/>
                <w:rFonts w:ascii="Times New Roman" w:hAnsi="Times New Roman" w:cs="Times New Roman"/>
                <w:noProof/>
                <w:color w:val="auto"/>
                <w:sz w:val="24"/>
                <w:szCs w:val="24"/>
              </w:rPr>
              <w:t>3.1 Key Internal Issues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_Toc172828719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7</w:t>
            </w:r>
            <w:r w:rsidR="00F6758B" w:rsidRPr="00F6758B">
              <w:rPr>
                <w:rFonts w:ascii="Times New Roman" w:hAnsi="Times New Roman" w:cs="Times New Roman"/>
                <w:noProof/>
                <w:webHidden/>
                <w:sz w:val="24"/>
                <w:szCs w:val="24"/>
              </w:rPr>
              <w:fldChar w:fldCharType="end"/>
            </w:r>
          </w:hyperlink>
        </w:p>
        <w:p w14:paraId="13A2DFD0" w14:textId="34EC50DE"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20" w:history="1">
            <w:r w:rsidR="00F6758B" w:rsidRPr="00F6758B">
              <w:rPr>
                <w:rStyle w:val="Hyperlink"/>
                <w:rFonts w:ascii="Times New Roman" w:hAnsi="Times New Roman" w:cs="Times New Roman"/>
                <w:noProof/>
                <w:color w:val="auto"/>
                <w:sz w:val="24"/>
                <w:szCs w:val="24"/>
              </w:rPr>
              <w:t>3.2 Key External Issues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_Toc172828720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12</w:t>
            </w:r>
            <w:r w:rsidR="00F6758B" w:rsidRPr="00F6758B">
              <w:rPr>
                <w:rFonts w:ascii="Times New Roman" w:hAnsi="Times New Roman" w:cs="Times New Roman"/>
                <w:noProof/>
                <w:webHidden/>
                <w:sz w:val="24"/>
                <w:szCs w:val="24"/>
              </w:rPr>
              <w:fldChar w:fldCharType="end"/>
            </w:r>
          </w:hyperlink>
        </w:p>
        <w:p w14:paraId="6A70EDBA" w14:textId="486F3FFD" w:rsidR="00F6758B" w:rsidRPr="00F6758B" w:rsidRDefault="00000000" w:rsidP="00F6758B">
          <w:pPr>
            <w:pStyle w:val="TOC1"/>
            <w:tabs>
              <w:tab w:val="right" w:leader="dot" w:pos="9350"/>
            </w:tabs>
            <w:spacing w:line="360" w:lineRule="auto"/>
            <w:jc w:val="both"/>
            <w:rPr>
              <w:rFonts w:ascii="Times New Roman" w:hAnsi="Times New Roman" w:cs="Times New Roman"/>
              <w:noProof/>
              <w:sz w:val="24"/>
              <w:szCs w:val="24"/>
            </w:rPr>
          </w:pPr>
          <w:hyperlink w:anchor="_Toc172828721" w:history="1">
            <w:r w:rsidR="00F6758B" w:rsidRPr="00F6758B">
              <w:rPr>
                <w:rStyle w:val="Hyperlink"/>
                <w:rFonts w:ascii="Times New Roman" w:hAnsi="Times New Roman" w:cs="Times New Roman"/>
                <w:noProof/>
                <w:color w:val="auto"/>
                <w:sz w:val="24"/>
                <w:szCs w:val="24"/>
              </w:rPr>
              <w:t>4.0 Position Analysis for NHS Doctors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_Toc172828721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14</w:t>
            </w:r>
            <w:r w:rsidR="00F6758B" w:rsidRPr="00F6758B">
              <w:rPr>
                <w:rFonts w:ascii="Times New Roman" w:hAnsi="Times New Roman" w:cs="Times New Roman"/>
                <w:noProof/>
                <w:webHidden/>
                <w:sz w:val="24"/>
                <w:szCs w:val="24"/>
              </w:rPr>
              <w:fldChar w:fldCharType="end"/>
            </w:r>
          </w:hyperlink>
        </w:p>
        <w:p w14:paraId="095CD722" w14:textId="0C0FCEA9"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22" w:history="1">
            <w:r w:rsidR="00F6758B" w:rsidRPr="00F6758B">
              <w:rPr>
                <w:rStyle w:val="Hyperlink"/>
                <w:rFonts w:ascii="Times New Roman" w:hAnsi="Times New Roman" w:cs="Times New Roman"/>
                <w:noProof/>
                <w:color w:val="auto"/>
                <w:sz w:val="24"/>
                <w:szCs w:val="24"/>
              </w:rPr>
              <w:t>4.1 Job description</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_Toc172828722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14</w:t>
            </w:r>
            <w:r w:rsidR="00F6758B" w:rsidRPr="00F6758B">
              <w:rPr>
                <w:rFonts w:ascii="Times New Roman" w:hAnsi="Times New Roman" w:cs="Times New Roman"/>
                <w:noProof/>
                <w:webHidden/>
                <w:sz w:val="24"/>
                <w:szCs w:val="24"/>
              </w:rPr>
              <w:fldChar w:fldCharType="end"/>
            </w:r>
          </w:hyperlink>
        </w:p>
        <w:p w14:paraId="49B5EFAB" w14:textId="7A52C5F4"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23" w:history="1">
            <w:r w:rsidR="00F6758B" w:rsidRPr="00F6758B">
              <w:rPr>
                <w:rStyle w:val="Hyperlink"/>
                <w:rFonts w:ascii="Times New Roman" w:hAnsi="Times New Roman" w:cs="Times New Roman"/>
                <w:noProof/>
                <w:color w:val="auto"/>
                <w:sz w:val="24"/>
                <w:szCs w:val="24"/>
              </w:rPr>
              <w:t>4.2 Person Specification</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_Toc172828723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14</w:t>
            </w:r>
            <w:r w:rsidR="00F6758B" w:rsidRPr="00F6758B">
              <w:rPr>
                <w:rFonts w:ascii="Times New Roman" w:hAnsi="Times New Roman" w:cs="Times New Roman"/>
                <w:noProof/>
                <w:webHidden/>
                <w:sz w:val="24"/>
                <w:szCs w:val="24"/>
              </w:rPr>
              <w:fldChar w:fldCharType="end"/>
            </w:r>
          </w:hyperlink>
        </w:p>
        <w:p w14:paraId="63B8556D" w14:textId="1CC6A138"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24" w:history="1">
            <w:r w:rsidR="00F6758B" w:rsidRPr="00F6758B">
              <w:rPr>
                <w:rStyle w:val="Hyperlink"/>
                <w:rFonts w:ascii="Times New Roman" w:hAnsi="Times New Roman" w:cs="Times New Roman"/>
                <w:noProof/>
                <w:color w:val="auto"/>
                <w:sz w:val="24"/>
                <w:szCs w:val="24"/>
              </w:rPr>
              <w:t>4.3 Skill required</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_Toc172828724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15</w:t>
            </w:r>
            <w:r w:rsidR="00F6758B" w:rsidRPr="00F6758B">
              <w:rPr>
                <w:rFonts w:ascii="Times New Roman" w:hAnsi="Times New Roman" w:cs="Times New Roman"/>
                <w:noProof/>
                <w:webHidden/>
                <w:sz w:val="24"/>
                <w:szCs w:val="24"/>
              </w:rPr>
              <w:fldChar w:fldCharType="end"/>
            </w:r>
          </w:hyperlink>
        </w:p>
        <w:p w14:paraId="31B21C6D" w14:textId="001F37E3"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25" w:history="1">
            <w:r w:rsidR="00F6758B" w:rsidRPr="00F6758B">
              <w:rPr>
                <w:rStyle w:val="Hyperlink"/>
                <w:rFonts w:ascii="Times New Roman" w:hAnsi="Times New Roman" w:cs="Times New Roman"/>
                <w:noProof/>
                <w:color w:val="auto"/>
                <w:sz w:val="24"/>
                <w:szCs w:val="24"/>
              </w:rPr>
              <w:t>4.4 Pay</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_Toc172828725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15</w:t>
            </w:r>
            <w:r w:rsidR="00F6758B" w:rsidRPr="00F6758B">
              <w:rPr>
                <w:rFonts w:ascii="Times New Roman" w:hAnsi="Times New Roman" w:cs="Times New Roman"/>
                <w:noProof/>
                <w:webHidden/>
                <w:sz w:val="24"/>
                <w:szCs w:val="24"/>
              </w:rPr>
              <w:fldChar w:fldCharType="end"/>
            </w:r>
          </w:hyperlink>
        </w:p>
        <w:p w14:paraId="18F955AB" w14:textId="125C3CF6" w:rsidR="00F6758B" w:rsidRPr="00F6758B" w:rsidRDefault="00000000" w:rsidP="00F6758B">
          <w:pPr>
            <w:pStyle w:val="TOC2"/>
            <w:tabs>
              <w:tab w:val="right" w:leader="dot" w:pos="9350"/>
            </w:tabs>
            <w:spacing w:line="360" w:lineRule="auto"/>
            <w:jc w:val="both"/>
            <w:rPr>
              <w:rFonts w:ascii="Times New Roman" w:hAnsi="Times New Roman" w:cs="Times New Roman"/>
              <w:noProof/>
              <w:sz w:val="24"/>
              <w:szCs w:val="24"/>
            </w:rPr>
          </w:pPr>
          <w:hyperlink w:anchor="_Toc172828726" w:history="1">
            <w:r w:rsidR="00F6758B" w:rsidRPr="00F6758B">
              <w:rPr>
                <w:rStyle w:val="Hyperlink"/>
                <w:rFonts w:ascii="Times New Roman" w:hAnsi="Times New Roman" w:cs="Times New Roman"/>
                <w:noProof/>
                <w:color w:val="auto"/>
                <w:sz w:val="24"/>
                <w:szCs w:val="24"/>
              </w:rPr>
              <w:t>4.5 Working conditions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_Toc172828726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16</w:t>
            </w:r>
            <w:r w:rsidR="00F6758B" w:rsidRPr="00F6758B">
              <w:rPr>
                <w:rFonts w:ascii="Times New Roman" w:hAnsi="Times New Roman" w:cs="Times New Roman"/>
                <w:noProof/>
                <w:webHidden/>
                <w:sz w:val="24"/>
                <w:szCs w:val="24"/>
              </w:rPr>
              <w:fldChar w:fldCharType="end"/>
            </w:r>
          </w:hyperlink>
        </w:p>
        <w:p w14:paraId="30585352" w14:textId="3BC197DA" w:rsidR="00F6758B" w:rsidRPr="00F6758B" w:rsidRDefault="00000000" w:rsidP="00F6758B">
          <w:pPr>
            <w:pStyle w:val="TOC1"/>
            <w:tabs>
              <w:tab w:val="right" w:leader="dot" w:pos="9350"/>
            </w:tabs>
            <w:spacing w:line="360" w:lineRule="auto"/>
            <w:jc w:val="both"/>
            <w:rPr>
              <w:rFonts w:ascii="Times New Roman" w:hAnsi="Times New Roman" w:cs="Times New Roman"/>
              <w:noProof/>
              <w:sz w:val="24"/>
              <w:szCs w:val="24"/>
            </w:rPr>
          </w:pPr>
          <w:hyperlink w:anchor="_Toc172828727" w:history="1">
            <w:r w:rsidR="00F6758B" w:rsidRPr="00F6758B">
              <w:rPr>
                <w:rStyle w:val="Hyperlink"/>
                <w:rFonts w:ascii="Times New Roman" w:hAnsi="Times New Roman" w:cs="Times New Roman"/>
                <w:noProof/>
                <w:color w:val="auto"/>
                <w:sz w:val="24"/>
                <w:szCs w:val="24"/>
              </w:rPr>
              <w:t>5.0 Conclusion</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_Toc172828727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17</w:t>
            </w:r>
            <w:r w:rsidR="00F6758B" w:rsidRPr="00F6758B">
              <w:rPr>
                <w:rFonts w:ascii="Times New Roman" w:hAnsi="Times New Roman" w:cs="Times New Roman"/>
                <w:noProof/>
                <w:webHidden/>
                <w:sz w:val="24"/>
                <w:szCs w:val="24"/>
              </w:rPr>
              <w:fldChar w:fldCharType="end"/>
            </w:r>
          </w:hyperlink>
        </w:p>
        <w:p w14:paraId="47812E3B" w14:textId="35EBFE34" w:rsidR="00F6758B" w:rsidRPr="00F6758B" w:rsidRDefault="00000000" w:rsidP="00F6758B">
          <w:pPr>
            <w:pStyle w:val="TOC1"/>
            <w:tabs>
              <w:tab w:val="right" w:leader="dot" w:pos="9350"/>
            </w:tabs>
            <w:spacing w:line="360" w:lineRule="auto"/>
            <w:jc w:val="both"/>
            <w:rPr>
              <w:rFonts w:ascii="Times New Roman" w:hAnsi="Times New Roman" w:cs="Times New Roman"/>
              <w:noProof/>
              <w:sz w:val="24"/>
              <w:szCs w:val="24"/>
            </w:rPr>
          </w:pPr>
          <w:hyperlink w:anchor="_Toc172828728" w:history="1">
            <w:r w:rsidR="00F6758B" w:rsidRPr="00F6758B">
              <w:rPr>
                <w:rStyle w:val="Hyperlink"/>
                <w:rFonts w:ascii="Times New Roman" w:hAnsi="Times New Roman" w:cs="Times New Roman"/>
                <w:noProof/>
                <w:color w:val="auto"/>
                <w:sz w:val="24"/>
                <w:szCs w:val="24"/>
              </w:rPr>
              <w:t>References:</w:t>
            </w:r>
            <w:r w:rsidR="00F6758B" w:rsidRPr="00F6758B">
              <w:rPr>
                <w:rFonts w:ascii="Times New Roman" w:hAnsi="Times New Roman" w:cs="Times New Roman"/>
                <w:noProof/>
                <w:webHidden/>
                <w:sz w:val="24"/>
                <w:szCs w:val="24"/>
              </w:rPr>
              <w:tab/>
            </w:r>
            <w:r w:rsidR="00F6758B" w:rsidRPr="00F6758B">
              <w:rPr>
                <w:rFonts w:ascii="Times New Roman" w:hAnsi="Times New Roman" w:cs="Times New Roman"/>
                <w:noProof/>
                <w:webHidden/>
                <w:sz w:val="24"/>
                <w:szCs w:val="24"/>
              </w:rPr>
              <w:fldChar w:fldCharType="begin"/>
            </w:r>
            <w:r w:rsidR="00F6758B" w:rsidRPr="00F6758B">
              <w:rPr>
                <w:rFonts w:ascii="Times New Roman" w:hAnsi="Times New Roman" w:cs="Times New Roman"/>
                <w:noProof/>
                <w:webHidden/>
                <w:sz w:val="24"/>
                <w:szCs w:val="24"/>
              </w:rPr>
              <w:instrText xml:space="preserve"> PAGEREF _Toc172828728 \h </w:instrText>
            </w:r>
            <w:r w:rsidR="00F6758B" w:rsidRPr="00F6758B">
              <w:rPr>
                <w:rFonts w:ascii="Times New Roman" w:hAnsi="Times New Roman" w:cs="Times New Roman"/>
                <w:noProof/>
                <w:webHidden/>
                <w:sz w:val="24"/>
                <w:szCs w:val="24"/>
              </w:rPr>
            </w:r>
            <w:r w:rsidR="00F6758B" w:rsidRPr="00F6758B">
              <w:rPr>
                <w:rFonts w:ascii="Times New Roman" w:hAnsi="Times New Roman" w:cs="Times New Roman"/>
                <w:noProof/>
                <w:webHidden/>
                <w:sz w:val="24"/>
                <w:szCs w:val="24"/>
              </w:rPr>
              <w:fldChar w:fldCharType="separate"/>
            </w:r>
            <w:r w:rsidR="00F6758B" w:rsidRPr="00F6758B">
              <w:rPr>
                <w:rFonts w:ascii="Times New Roman" w:hAnsi="Times New Roman" w:cs="Times New Roman"/>
                <w:noProof/>
                <w:webHidden/>
                <w:sz w:val="24"/>
                <w:szCs w:val="24"/>
              </w:rPr>
              <w:t>18</w:t>
            </w:r>
            <w:r w:rsidR="00F6758B" w:rsidRPr="00F6758B">
              <w:rPr>
                <w:rFonts w:ascii="Times New Roman" w:hAnsi="Times New Roman" w:cs="Times New Roman"/>
                <w:noProof/>
                <w:webHidden/>
                <w:sz w:val="24"/>
                <w:szCs w:val="24"/>
              </w:rPr>
              <w:fldChar w:fldCharType="end"/>
            </w:r>
          </w:hyperlink>
        </w:p>
        <w:p w14:paraId="23F1A05A" w14:textId="3983DEE4" w:rsidR="00F6758B" w:rsidRDefault="00F6758B" w:rsidP="00F6758B">
          <w:pPr>
            <w:spacing w:line="360" w:lineRule="auto"/>
            <w:jc w:val="both"/>
          </w:pPr>
          <w:r w:rsidRPr="00F6758B">
            <w:rPr>
              <w:rFonts w:ascii="Times New Roman" w:hAnsi="Times New Roman" w:cs="Times New Roman"/>
              <w:noProof/>
              <w:sz w:val="24"/>
              <w:szCs w:val="24"/>
            </w:rPr>
            <w:fldChar w:fldCharType="end"/>
          </w:r>
        </w:p>
      </w:sdtContent>
    </w:sdt>
    <w:p w14:paraId="3E5B6529" w14:textId="77777777" w:rsidR="00F6758B" w:rsidRDefault="00F6758B">
      <w:pPr>
        <w:rPr>
          <w:rFonts w:ascii="Times New Roman" w:hAnsi="Times New Roman" w:cs="Times New Roman"/>
          <w:b/>
          <w:bCs/>
          <w:sz w:val="24"/>
          <w:szCs w:val="24"/>
        </w:rPr>
      </w:pPr>
      <w:r>
        <w:rPr>
          <w:rFonts w:ascii="Times New Roman" w:hAnsi="Times New Roman" w:cs="Times New Roman"/>
          <w:b/>
          <w:bCs/>
          <w:sz w:val="24"/>
          <w:szCs w:val="24"/>
        </w:rPr>
        <w:br w:type="page"/>
      </w:r>
    </w:p>
    <w:p w14:paraId="6A1CB9D2" w14:textId="58909971" w:rsidR="0026771E" w:rsidRPr="00F6758B" w:rsidRDefault="00EA21CE" w:rsidP="00F6758B">
      <w:pPr>
        <w:pStyle w:val="Heading1"/>
        <w:spacing w:line="360" w:lineRule="auto"/>
        <w:rPr>
          <w:rFonts w:ascii="Times New Roman" w:hAnsi="Times New Roman" w:cs="Times New Roman"/>
          <w:b/>
          <w:bCs/>
          <w:sz w:val="24"/>
          <w:szCs w:val="24"/>
        </w:rPr>
      </w:pPr>
      <w:bookmarkStart w:id="0" w:name="_Toc172828713"/>
      <w:r w:rsidRPr="00F6758B">
        <w:rPr>
          <w:rFonts w:ascii="Times New Roman" w:hAnsi="Times New Roman" w:cs="Times New Roman"/>
          <w:b/>
          <w:bCs/>
          <w:sz w:val="24"/>
          <w:szCs w:val="24"/>
        </w:rPr>
        <w:lastRenderedPageBreak/>
        <w:t>1.0 Introduction</w:t>
      </w:r>
      <w:bookmarkEnd w:id="0"/>
      <w:r w:rsidRPr="00F6758B">
        <w:rPr>
          <w:rFonts w:ascii="Times New Roman" w:hAnsi="Times New Roman" w:cs="Times New Roman"/>
          <w:b/>
          <w:bCs/>
          <w:sz w:val="24"/>
          <w:szCs w:val="24"/>
        </w:rPr>
        <w:t xml:space="preserve"> </w:t>
      </w:r>
    </w:p>
    <w:p w14:paraId="6B11AD0A" w14:textId="5ECDE936"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The National Health Service is the umbrella term of the UK for the publicly funded healthcare system that was set up in 1948. The NHS faced significant challenges in maintaining an adequate workforce of healthcare staff. It has been seen that despite the recent growth in the overall number of professionals, there are significant vacancy caps where the vacancy rate of nursing positions in National Health Services exceeds 11.9%. </w:t>
      </w:r>
    </w:p>
    <w:p w14:paraId="20284D39" w14:textId="77777777" w:rsidR="0026771E" w:rsidRPr="00F6758B" w:rsidRDefault="00EA21CE" w:rsidP="00F6758B">
      <w:pPr>
        <w:pStyle w:val="Heading1"/>
        <w:spacing w:line="360" w:lineRule="auto"/>
        <w:rPr>
          <w:rFonts w:ascii="Times New Roman" w:hAnsi="Times New Roman" w:cs="Times New Roman"/>
          <w:b/>
          <w:bCs/>
          <w:sz w:val="24"/>
          <w:szCs w:val="24"/>
        </w:rPr>
      </w:pPr>
      <w:bookmarkStart w:id="1" w:name="_Toc172828714"/>
      <w:r w:rsidRPr="00F6758B">
        <w:rPr>
          <w:rFonts w:ascii="Times New Roman" w:hAnsi="Times New Roman" w:cs="Times New Roman"/>
          <w:b/>
          <w:bCs/>
          <w:sz w:val="24"/>
          <w:szCs w:val="24"/>
        </w:rPr>
        <w:t>2.0 Current Challenges in the NHS</w:t>
      </w:r>
      <w:bookmarkEnd w:id="1"/>
    </w:p>
    <w:p w14:paraId="45274F76"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National Health Services is a complicated and ever-evolving healthcare system that has been going through a series of issues including funding constraints, shortage of staff and staff burnout because of the high volume of work. By staying informed regarding the present NHS issues, people can go deeper knowing about the healthcare landscape and understand the probable impact these problems can have on future practices.</w:t>
      </w:r>
    </w:p>
    <w:p w14:paraId="10202DD9"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2" w:name="_Toc172828715"/>
      <w:r w:rsidRPr="00F6758B">
        <w:rPr>
          <w:rFonts w:ascii="Times New Roman" w:hAnsi="Times New Roman" w:cs="Times New Roman"/>
          <w:b/>
          <w:bCs/>
          <w:sz w:val="24"/>
          <w:szCs w:val="24"/>
        </w:rPr>
        <w:t>2.1 Lack of funding</w:t>
      </w:r>
      <w:bookmarkEnd w:id="2"/>
    </w:p>
    <w:p w14:paraId="3D8B985A" w14:textId="20A7585C"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vast majority of the public funding at the NHS comes directly from general taxation and from the National Insurance contributions. A very bare minimum proportion of funding that is approximately 1% of the Department of Health and Social Care Budget is received from the patient charges for healthcare and medical services including prescriptions along with dental treatment. The lack of adequate funding in FY 2023-2024 has implemented the strain on the resources that have led to a longer waiting period and Limited access to specific treatments with difficulties in maintaining the care qualities</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(Anderson et al., 2021)</w:t>
      </w:r>
      <w:r w:rsidRPr="00F6758B">
        <w:rPr>
          <w:rFonts w:ascii="Times New Roman" w:eastAsia="Times New Roman" w:hAnsi="Times New Roman" w:cs="Times New Roman"/>
          <w:sz w:val="24"/>
          <w:szCs w:val="24"/>
        </w:rPr>
        <w:t>. The data states that the help spending in NHS England is due to suffering an approximately 1.2% cut that is worth over 2Bn pounds, highlighting an eternal crisis.</w:t>
      </w:r>
    </w:p>
    <w:p w14:paraId="2F608937" w14:textId="77777777" w:rsidR="0026771E" w:rsidRPr="00F6758B" w:rsidRDefault="00EA21CE" w:rsidP="00F6758B">
      <w:pPr>
        <w:pStyle w:val="Normal1"/>
        <w:spacing w:line="360" w:lineRule="auto"/>
        <w:jc w:val="center"/>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39A862F3" wp14:editId="0BE8E59D">
            <wp:extent cx="5943600" cy="24638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9"/>
                    <a:stretch>
                      <a:fillRect/>
                    </a:stretch>
                  </pic:blipFill>
                  <pic:spPr>
                    <a:xfrm>
                      <a:off x="0" y="0"/>
                      <a:ext cx="5943600" cy="2463800"/>
                    </a:xfrm>
                    <a:prstGeom prst="rect">
                      <a:avLst/>
                    </a:prstGeom>
                  </pic:spPr>
                </pic:pic>
              </a:graphicData>
            </a:graphic>
          </wp:inline>
        </w:drawing>
      </w:r>
    </w:p>
    <w:p w14:paraId="257CD8A0"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Figure: Health Spending is currently budgeted to fall in real terms considering the FY23-24</w:t>
      </w:r>
    </w:p>
    <w:p w14:paraId="366E35EB" w14:textId="4657AD9D"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(Anderson et al., 2021)</w:t>
      </w:r>
    </w:p>
    <w:p w14:paraId="418F3D34"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More than 30% of the entities have stated that the National Health Services Trusts held an operating deficit in FY23 and it sunk into a 7Bn Pounds cash crisis after the inflation impacted and the doctor strike plunged the hospital trust this led to complicated problems with ethical implications leading to a current challenge.</w:t>
      </w:r>
    </w:p>
    <w:p w14:paraId="2F2BCDE1"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3" w:name="_Toc172828716"/>
      <w:r w:rsidRPr="00F6758B">
        <w:rPr>
          <w:rFonts w:ascii="Times New Roman" w:hAnsi="Times New Roman" w:cs="Times New Roman"/>
          <w:b/>
          <w:bCs/>
          <w:sz w:val="24"/>
          <w:szCs w:val="24"/>
        </w:rPr>
        <w:t>2.2 Shortage of staff</w:t>
      </w:r>
      <w:bookmarkEnd w:id="3"/>
    </w:p>
    <w:p w14:paraId="3E861059" w14:textId="6ADAAF4A"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It is well known that the National Health Services UK has been going through the current challenge of staff shortages having 121000 vacancies for full-time equivalent workers. As per the data of September 2023, the NHS vacancy rate was approximately 8.4%</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(Atkins et al., 2020)</w:t>
      </w:r>
      <w:r w:rsidRPr="00F6758B">
        <w:rPr>
          <w:rFonts w:ascii="Times New Roman" w:eastAsia="Times New Roman" w:hAnsi="Times New Roman" w:cs="Times New Roman"/>
          <w:sz w:val="24"/>
          <w:szCs w:val="24"/>
        </w:rPr>
        <w:t>. The shortage of professionals has put immense pressure upon the existing workforce which has led to an elevated workload and has also compromised patient care. This has contributed towards longer hours of waiting with decreased access to quality care and health services.</w:t>
      </w:r>
    </w:p>
    <w:p w14:paraId="382DF77B" w14:textId="77777777" w:rsidR="0026771E" w:rsidRPr="00F6758B" w:rsidRDefault="00EA21CE" w:rsidP="00F6758B">
      <w:pPr>
        <w:pStyle w:val="Normal1"/>
        <w:spacing w:line="360" w:lineRule="auto"/>
        <w:jc w:val="center"/>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00BD69A4" wp14:editId="7D8A757E">
            <wp:extent cx="5943600" cy="35306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5943600" cy="3530600"/>
                    </a:xfrm>
                    <a:prstGeom prst="rect">
                      <a:avLst/>
                    </a:prstGeom>
                  </pic:spPr>
                </pic:pic>
              </a:graphicData>
            </a:graphic>
          </wp:inline>
        </w:drawing>
      </w:r>
    </w:p>
    <w:p w14:paraId="567BF8A8"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The downward trajectory of NHS staff shortage </w:t>
      </w:r>
    </w:p>
    <w:p w14:paraId="2A3D94DE" w14:textId="78E23C9B"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(Dawoodbhoy et al., 2021)</w:t>
      </w:r>
    </w:p>
    <w:p w14:paraId="6CFF301A"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reports have mentioned that holding on to the present employees at the NHS is the problem with 10.7% that is 154000 have left their NHS responsibilities in September 2023 and approximately 28.3% that is 390000 have left their social care role. This current challenge is so severe that the NHS might face a staff shortage figure of 570000 by the end of 2036 leading towards a compromised patient care.</w:t>
      </w:r>
    </w:p>
    <w:p w14:paraId="14E544F1"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4" w:name="_Toc172828717"/>
      <w:r w:rsidRPr="00F6758B">
        <w:rPr>
          <w:rFonts w:ascii="Times New Roman" w:hAnsi="Times New Roman" w:cs="Times New Roman"/>
          <w:b/>
          <w:bCs/>
          <w:sz w:val="24"/>
          <w:szCs w:val="24"/>
        </w:rPr>
        <w:t>2.3 Staff burnout due to high volume of work</w:t>
      </w:r>
      <w:bookmarkEnd w:id="4"/>
    </w:p>
    <w:p w14:paraId="3A928FD1" w14:textId="1C789410"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Staff burnouts can negatively impact physical and mental health frequently resulting in presenteeism and absenteeism. This can lead to personal consequences like detrimental substance abuse, and occupational injury but also leads to professional consequences like impact on the care quality, and detrimental influence on the patient outcome and experience. According to the NHS staff survey report 2023, approximately 30.38% of the overall NHS staff has mentioned that they feel burnout due to work pressure</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(Dawoodbhoy et al., 2021)</w:t>
      </w:r>
      <w:r w:rsidRPr="00F6758B">
        <w:rPr>
          <w:rFonts w:ascii="Times New Roman" w:eastAsia="Times New Roman" w:hAnsi="Times New Roman" w:cs="Times New Roman"/>
          <w:sz w:val="24"/>
          <w:szCs w:val="24"/>
        </w:rPr>
        <w:t xml:space="preserve">. </w:t>
      </w:r>
    </w:p>
    <w:p w14:paraId="23A41C98" w14:textId="77777777" w:rsidR="0026771E" w:rsidRPr="00F6758B" w:rsidRDefault="00EA21CE" w:rsidP="00F6758B">
      <w:pPr>
        <w:pStyle w:val="Normal1"/>
        <w:spacing w:line="360" w:lineRule="auto"/>
        <w:jc w:val="center"/>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43CA5677" wp14:editId="4463E3A1">
            <wp:extent cx="5943600" cy="37719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1"/>
                    <a:stretch>
                      <a:fillRect/>
                    </a:stretch>
                  </pic:blipFill>
                  <pic:spPr>
                    <a:xfrm>
                      <a:off x="0" y="0"/>
                      <a:ext cx="5943600" cy="3771900"/>
                    </a:xfrm>
                    <a:prstGeom prst="rect">
                      <a:avLst/>
                    </a:prstGeom>
                  </pic:spPr>
                </pic:pic>
              </a:graphicData>
            </a:graphic>
          </wp:inline>
        </w:drawing>
      </w:r>
    </w:p>
    <w:p w14:paraId="69E9BAA0"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Figure: Dissatisfaction and employee burnout have contributed hugely to the NHS</w:t>
      </w:r>
    </w:p>
    <w:p w14:paraId="205230D4" w14:textId="25C0D6AD"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(De Val et al., 2021)</w:t>
      </w:r>
    </w:p>
    <w:p w14:paraId="46A969EF" w14:textId="77777777" w:rsidR="0026771E" w:rsidRPr="00F6758B" w:rsidRDefault="00EA21CE" w:rsidP="00F6758B">
      <w:pPr>
        <w:pStyle w:val="Heading1"/>
        <w:spacing w:line="360" w:lineRule="auto"/>
        <w:rPr>
          <w:rFonts w:ascii="Times New Roman" w:hAnsi="Times New Roman" w:cs="Times New Roman"/>
          <w:b/>
          <w:bCs/>
          <w:sz w:val="24"/>
          <w:szCs w:val="24"/>
        </w:rPr>
      </w:pPr>
      <w:bookmarkStart w:id="5" w:name="_Toc172828718"/>
      <w:r w:rsidRPr="00F6758B">
        <w:rPr>
          <w:rFonts w:ascii="Times New Roman" w:hAnsi="Times New Roman" w:cs="Times New Roman"/>
          <w:b/>
          <w:bCs/>
          <w:sz w:val="24"/>
          <w:szCs w:val="24"/>
        </w:rPr>
        <w:t>3.0 Key issues in estimating internal and external supply of human resources</w:t>
      </w:r>
      <w:bookmarkEnd w:id="5"/>
    </w:p>
    <w:p w14:paraId="6C51DF8C" w14:textId="58D4DC50"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key issues in the estimation of the internal and external supply of human resources are interconnected with different sets of issues. The inaccurate workforce planning eventually came up as a huge problem for ensuring the management of the right number of staff with the right skills and came up as an important internal issue that eventually affected the internal supply of human resources. On the other hand, long working hours, poor pay schemes and the lack of motivation towards the staff also brought out a wider range of problems</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(De Val et al., 2021)</w:t>
      </w:r>
      <w:r w:rsidRPr="00F6758B">
        <w:rPr>
          <w:rFonts w:ascii="Times New Roman" w:eastAsia="Times New Roman" w:hAnsi="Times New Roman" w:cs="Times New Roman"/>
          <w:sz w:val="24"/>
          <w:szCs w:val="24"/>
        </w:rPr>
        <w:t xml:space="preserve">. </w:t>
      </w:r>
    </w:p>
    <w:p w14:paraId="1BF9E304"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6" w:name="_Toc172828719"/>
      <w:r w:rsidRPr="00F6758B">
        <w:rPr>
          <w:rFonts w:ascii="Times New Roman" w:hAnsi="Times New Roman" w:cs="Times New Roman"/>
          <w:b/>
          <w:bCs/>
          <w:sz w:val="24"/>
          <w:szCs w:val="24"/>
        </w:rPr>
        <w:t>3.1 Key Internal Issues</w:t>
      </w:r>
      <w:bookmarkEnd w:id="6"/>
    </w:p>
    <w:p w14:paraId="5C86CC52"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3.1.1.Lack of skilled nurses</w:t>
      </w:r>
    </w:p>
    <w:p w14:paraId="3A5944A6"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47206D81" wp14:editId="4215DBC9">
            <wp:extent cx="5943600" cy="51054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2"/>
                    <a:stretch>
                      <a:fillRect/>
                    </a:stretch>
                  </pic:blipFill>
                  <pic:spPr>
                    <a:xfrm>
                      <a:off x="0" y="0"/>
                      <a:ext cx="5943600" cy="5105400"/>
                    </a:xfrm>
                    <a:prstGeom prst="rect">
                      <a:avLst/>
                    </a:prstGeom>
                  </pic:spPr>
                </pic:pic>
              </a:graphicData>
            </a:graphic>
          </wp:inline>
        </w:drawing>
      </w:r>
    </w:p>
    <w:p w14:paraId="0DAB6C80"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Lack of skilled nurses </w:t>
      </w:r>
    </w:p>
    <w:p w14:paraId="7ED2C3FB" w14:textId="08E8FE40"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(Evans et al., 2021)</w:t>
      </w:r>
    </w:p>
    <w:p w14:paraId="046E15F6" w14:textId="292F8B7A"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above figure helped to know that National Health Services are facing problems because of the lack of skilled nurses which is a key internal issue in the supply of human resources. The graph clearly portrayed that nearly 40000 nurses have joined the NHS from 2011  and more than 30000 nurses have left the NHS in 2022</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(Evans et al., 2021)</w:t>
      </w:r>
      <w:r w:rsidRPr="00F6758B">
        <w:rPr>
          <w:rFonts w:ascii="Times New Roman" w:eastAsia="Times New Roman" w:hAnsi="Times New Roman" w:cs="Times New Roman"/>
          <w:sz w:val="24"/>
          <w:szCs w:val="24"/>
        </w:rPr>
        <w:t>. It clearly clarified the fact that the lack of skilled nurses brought out a wider range of key internal issues in the supply of human resources which are needed in the management of the internal supply of human resources in the NHS for managing their operations.</w:t>
      </w:r>
    </w:p>
    <w:p w14:paraId="0E4D3F55"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3.1.2 Long working hours</w:t>
      </w:r>
    </w:p>
    <w:p w14:paraId="448365DD"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5B9D7367" wp14:editId="426117E6">
            <wp:extent cx="5943600" cy="36195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3"/>
                    <a:stretch>
                      <a:fillRect/>
                    </a:stretch>
                  </pic:blipFill>
                  <pic:spPr>
                    <a:xfrm>
                      <a:off x="0" y="0"/>
                      <a:ext cx="5943600" cy="3619500"/>
                    </a:xfrm>
                    <a:prstGeom prst="rect">
                      <a:avLst/>
                    </a:prstGeom>
                  </pic:spPr>
                </pic:pic>
              </a:graphicData>
            </a:graphic>
          </wp:inline>
        </w:drawing>
      </w:r>
    </w:p>
    <w:p w14:paraId="7FE79BC9"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Long working hours in NHS </w:t>
      </w:r>
    </w:p>
    <w:p w14:paraId="4DA456E9" w14:textId="76431984"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(Hazlehurst et al., 2020)</w:t>
      </w:r>
    </w:p>
    <w:p w14:paraId="73505950" w14:textId="6044CC4E"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graph clarified the factors that the long working hours of the nurses came up as a huge problem in nurse retention in the NHS. The long working hours increase the chance of fatigue among the nurses and it leads to poor job satisfaction</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(Hazlehurst et al., 2020)</w:t>
      </w:r>
      <w:r w:rsidRPr="00F6758B">
        <w:rPr>
          <w:rFonts w:ascii="Times New Roman" w:eastAsia="Times New Roman" w:hAnsi="Times New Roman" w:cs="Times New Roman"/>
          <w:sz w:val="24"/>
          <w:szCs w:val="24"/>
        </w:rPr>
        <w:t>. Nurses in the NHS have to work for 14 hours because of the lack of expert nurses in National Health Services which also brought out the key internal issue within the aspects of the supply of human resources in the NHS.</w:t>
      </w:r>
    </w:p>
    <w:p w14:paraId="6C7F5675"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3.1.3 Multitasking from social care to nursing</w:t>
      </w:r>
    </w:p>
    <w:p w14:paraId="6C24C535"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The increasing attributes of multitasking from social care to nursing have emerged as an important factor that affected the supply of human resources in the National Health Services. It has been seen that the boundaries between social care and nursing roles are often blurred, which affects the performances of different nurses on various tasks while also straining their capacity and efficiency. </w:t>
      </w:r>
    </w:p>
    <w:p w14:paraId="59AE6216" w14:textId="77777777" w:rsidR="0026771E" w:rsidRPr="00F6758B" w:rsidRDefault="00EA21CE" w:rsidP="00F6758B">
      <w:pPr>
        <w:pStyle w:val="Normal1"/>
        <w:spacing w:line="360" w:lineRule="auto"/>
        <w:jc w:val="both"/>
        <w:rPr>
          <w:rFonts w:ascii="Times New Roman" w:eastAsia="Times New Roman" w:hAnsi="Times New Roman" w:cs="Times New Roman"/>
          <w:b/>
          <w:bCs/>
          <w:sz w:val="24"/>
          <w:szCs w:val="24"/>
        </w:rPr>
      </w:pPr>
      <w:r w:rsidRPr="00F6758B">
        <w:rPr>
          <w:rFonts w:ascii="Times New Roman" w:eastAsia="Times New Roman" w:hAnsi="Times New Roman" w:cs="Times New Roman"/>
          <w:b/>
          <w:bCs/>
          <w:noProof/>
          <w:sz w:val="24"/>
          <w:szCs w:val="24"/>
          <w:lang w:val="en-IN" w:eastAsia="en-IN" w:bidi="gu-IN"/>
        </w:rPr>
        <w:lastRenderedPageBreak/>
        <w:drawing>
          <wp:inline distT="114300" distB="114300" distL="114300" distR="114300" wp14:anchorId="21DEB876" wp14:editId="78573B8A">
            <wp:extent cx="5943600" cy="41783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7" name="image10.png"/>
                    <pic:cNvPicPr/>
                  </pic:nvPicPr>
                  <pic:blipFill>
                    <a:blip r:embed="rId14"/>
                    <a:stretch>
                      <a:fillRect/>
                    </a:stretch>
                  </pic:blipFill>
                  <pic:spPr>
                    <a:xfrm>
                      <a:off x="0" y="0"/>
                      <a:ext cx="5943600" cy="4178300"/>
                    </a:xfrm>
                    <a:prstGeom prst="rect">
                      <a:avLst/>
                    </a:prstGeom>
                  </pic:spPr>
                </pic:pic>
              </a:graphicData>
            </a:graphic>
          </wp:inline>
        </w:drawing>
      </w:r>
    </w:p>
    <w:p w14:paraId="263F5A14" w14:textId="176C016B" w:rsidR="00B772AD" w:rsidRPr="00F6758B" w:rsidRDefault="00B772AD" w:rsidP="00F6758B">
      <w:pPr>
        <w:pStyle w:val="Normal1"/>
        <w:spacing w:line="360" w:lineRule="auto"/>
        <w:jc w:val="center"/>
        <w:rPr>
          <w:rFonts w:ascii="Times New Roman" w:eastAsia="Times New Roman" w:hAnsi="Times New Roman" w:cs="Times New Roman"/>
          <w:b/>
          <w:bCs/>
          <w:sz w:val="24"/>
          <w:szCs w:val="24"/>
        </w:rPr>
      </w:pPr>
      <w:r w:rsidRPr="00F6758B">
        <w:rPr>
          <w:rFonts w:ascii="Times New Roman" w:eastAsia="Times New Roman" w:hAnsi="Times New Roman" w:cs="Times New Roman"/>
          <w:b/>
          <w:bCs/>
          <w:sz w:val="24"/>
          <w:szCs w:val="24"/>
        </w:rPr>
        <w:t>Fig: Nurse Demand</w:t>
      </w:r>
    </w:p>
    <w:p w14:paraId="11F5CC1F" w14:textId="7E8E38DB" w:rsidR="0026771E" w:rsidRPr="00F6758B" w:rsidRDefault="00B772AD" w:rsidP="00F6758B">
      <w:pPr>
        <w:pStyle w:val="Normal1"/>
        <w:spacing w:line="360" w:lineRule="auto"/>
        <w:jc w:val="center"/>
        <w:rPr>
          <w:rFonts w:ascii="Times New Roman" w:eastAsia="Times New Roman" w:hAnsi="Times New Roman" w:cs="Times New Roman"/>
          <w:b/>
          <w:bCs/>
          <w:sz w:val="24"/>
          <w:szCs w:val="24"/>
        </w:rPr>
      </w:pPr>
      <w:r w:rsidRPr="00F6758B">
        <w:rPr>
          <w:rFonts w:ascii="Times New Roman" w:eastAsia="Times New Roman" w:hAnsi="Times New Roman" w:cs="Times New Roman"/>
          <w:b/>
          <w:bCs/>
          <w:sz w:val="24"/>
          <w:szCs w:val="24"/>
        </w:rPr>
        <w:t>Source:</w:t>
      </w:r>
      <w:r w:rsidR="00F6758B" w:rsidRPr="00F6758B">
        <w:rPr>
          <w:rFonts w:ascii="Times New Roman" w:eastAsia="Times New Roman" w:hAnsi="Times New Roman" w:cs="Times New Roman"/>
          <w:sz w:val="24"/>
          <w:szCs w:val="24"/>
        </w:rPr>
        <w:t xml:space="preserve"> (Kennedy et al., 2020)</w:t>
      </w:r>
    </w:p>
    <w:p w14:paraId="1DA48AD8" w14:textId="7914D33C"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Social care and nursing required distinct skill sets and training but the insufficient training provided by the National Health Service affected the capacity of NHS in the management of their internal supply chain for meeting this staff shortage-related problems. The above graph also helped to know that limited chances of training enough nurses increase the number of vacant positions of nurses in the NHS regardless of the needs of the posts for managing different nursing-related operations where they need 352 nurses for a post but lack of training decreased the number by 286</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(Kennedy et al., 2020)</w:t>
      </w:r>
      <w:r w:rsidRPr="00F6758B">
        <w:rPr>
          <w:rFonts w:ascii="Times New Roman" w:eastAsia="Times New Roman" w:hAnsi="Times New Roman" w:cs="Times New Roman"/>
          <w:sz w:val="24"/>
          <w:szCs w:val="24"/>
        </w:rPr>
        <w:t xml:space="preserve">. </w:t>
      </w:r>
    </w:p>
    <w:p w14:paraId="4C6F422E"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3.1.4 Poor Pay Scheme</w:t>
      </w:r>
    </w:p>
    <w:p w14:paraId="464E971C" w14:textId="71E6EB22"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45941192" wp14:editId="5C72F25E">
            <wp:extent cx="5943600" cy="43688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5"/>
                    <a:stretch>
                      <a:fillRect/>
                    </a:stretch>
                  </pic:blipFill>
                  <pic:spPr>
                    <a:xfrm>
                      <a:off x="0" y="0"/>
                      <a:ext cx="5943600" cy="4368800"/>
                    </a:xfrm>
                    <a:prstGeom prst="rect">
                      <a:avLst/>
                    </a:prstGeom>
                  </pic:spPr>
                </pic:pic>
              </a:graphicData>
            </a:graphic>
          </wp:inline>
        </w:drawing>
      </w:r>
    </w:p>
    <w:p w14:paraId="5007D5DA"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Pay scheme for Nurses </w:t>
      </w:r>
    </w:p>
    <w:p w14:paraId="5D5A8831" w14:textId="4E39B8C3"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(Mandelstam, 2020)</w:t>
      </w:r>
    </w:p>
    <w:p w14:paraId="57A3ED60" w14:textId="1562D6B6"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above graph helped in understanding that newly qualified nurses in the NHS had a minimum salary of 20k pounds whereas the experienced nurses got a minimum salary of 30k pounds</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(Mandelstam, 2020)</w:t>
      </w:r>
      <w:r w:rsidRPr="00F6758B">
        <w:rPr>
          <w:rFonts w:ascii="Times New Roman" w:eastAsia="Times New Roman" w:hAnsi="Times New Roman" w:cs="Times New Roman"/>
          <w:sz w:val="24"/>
          <w:szCs w:val="24"/>
        </w:rPr>
        <w:t xml:space="preserve">. On the other hand, specialist nurses got 35k pounds and consultant nurses got 45 to 60k pounds. According to their job responsibilities and job roles, it has been clarified that they need more salaries for the management of their responsibilities. </w:t>
      </w:r>
    </w:p>
    <w:p w14:paraId="46D66C44" w14:textId="77777777" w:rsidR="0026771E" w:rsidRPr="00F6758B" w:rsidRDefault="00EA21CE" w:rsidP="00F6758B">
      <w:pPr>
        <w:pStyle w:val="Normal1"/>
        <w:spacing w:line="360" w:lineRule="auto"/>
        <w:jc w:val="center"/>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40C8E24E" wp14:editId="759EA239">
            <wp:extent cx="4429125" cy="2657475"/>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16"/>
                    <a:stretch>
                      <a:fillRect/>
                    </a:stretch>
                  </pic:blipFill>
                  <pic:spPr>
                    <a:xfrm>
                      <a:off x="0" y="0"/>
                      <a:ext cx="4429125" cy="2657475"/>
                    </a:xfrm>
                    <a:prstGeom prst="rect">
                      <a:avLst/>
                    </a:prstGeom>
                  </pic:spPr>
                </pic:pic>
              </a:graphicData>
            </a:graphic>
          </wp:inline>
        </w:drawing>
      </w:r>
    </w:p>
    <w:p w14:paraId="2B04583A"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NHS nurses  joining the movement for increasing their wages </w:t>
      </w:r>
    </w:p>
    <w:p w14:paraId="54D7FD64" w14:textId="471C5D37"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(Propper et al., 2020)</w:t>
      </w:r>
    </w:p>
    <w:p w14:paraId="60B975A5" w14:textId="7BCD0276"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However, the poor wage-related scheme eventually came up as a huge disadvantage for returning the staff for NHS and the National Health Services also faced a wider range of problems in the supply of their nurses through their internal supply of HRM.  </w:t>
      </w:r>
    </w:p>
    <w:p w14:paraId="45E32D35"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3.1.5 Lack of motivations towards staff</w:t>
      </w:r>
    </w:p>
    <w:p w14:paraId="374A242B" w14:textId="77777777" w:rsidR="0026771E" w:rsidRPr="00F6758B" w:rsidRDefault="00EA21CE" w:rsidP="00342F48">
      <w:pPr>
        <w:pStyle w:val="Normal1"/>
        <w:spacing w:line="360" w:lineRule="auto"/>
        <w:jc w:val="center"/>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drawing>
          <wp:inline distT="114300" distB="114300" distL="114300" distR="114300" wp14:anchorId="61C26761" wp14:editId="73E17D16">
            <wp:extent cx="4450080" cy="2857500"/>
            <wp:effectExtent l="0" t="0" r="762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7"/>
                    <a:stretch>
                      <a:fillRect/>
                    </a:stretch>
                  </pic:blipFill>
                  <pic:spPr>
                    <a:xfrm>
                      <a:off x="0" y="0"/>
                      <a:ext cx="4450080" cy="2857500"/>
                    </a:xfrm>
                    <a:prstGeom prst="rect">
                      <a:avLst/>
                    </a:prstGeom>
                  </pic:spPr>
                </pic:pic>
              </a:graphicData>
            </a:graphic>
          </wp:inline>
        </w:drawing>
      </w:r>
    </w:p>
    <w:p w14:paraId="325A5E43"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Decreased level of enthusiasm among nurses in NHS </w:t>
      </w:r>
    </w:p>
    <w:p w14:paraId="4DFE5CE2" w14:textId="4731E7DB"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Soource:</w:t>
      </w:r>
      <w:r w:rsidR="00F6758B" w:rsidRPr="00F6758B">
        <w:rPr>
          <w:rFonts w:ascii="Times New Roman" w:eastAsia="Times New Roman" w:hAnsi="Times New Roman" w:cs="Times New Roman"/>
          <w:sz w:val="24"/>
          <w:szCs w:val="24"/>
        </w:rPr>
        <w:t xml:space="preserve"> (Mendes et al., 2024)</w:t>
      </w:r>
    </w:p>
    <w:p w14:paraId="4FDF059C" w14:textId="7DC9146B"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lastRenderedPageBreak/>
        <w:t>The lack of motivation and the Limited winter C programs in National Health Services decrease the enthusiasm among the nurses in the NHS where it has been seen that 69% of NHS staff in England were enthusiastic about their job in 2023. It has decreased by 5.78% according to the data of 2019. The lack of employee recognition and Limited positive feedback to the nurses for their extraordinary job performances eventually affected their motivation to work for the NHS and it also led to the increasing staff shortages in the NHS</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(Mendes et al., 2024)</w:t>
      </w:r>
      <w:r w:rsidRPr="00F6758B">
        <w:rPr>
          <w:rFonts w:ascii="Times New Roman" w:eastAsia="Times New Roman" w:hAnsi="Times New Roman" w:cs="Times New Roman"/>
          <w:sz w:val="24"/>
          <w:szCs w:val="24"/>
        </w:rPr>
        <w:t xml:space="preserve">. </w:t>
      </w:r>
    </w:p>
    <w:p w14:paraId="39E70046"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7" w:name="_Toc172828720"/>
      <w:r w:rsidRPr="00F6758B">
        <w:rPr>
          <w:rFonts w:ascii="Times New Roman" w:hAnsi="Times New Roman" w:cs="Times New Roman"/>
          <w:b/>
          <w:bCs/>
          <w:sz w:val="24"/>
          <w:szCs w:val="24"/>
        </w:rPr>
        <w:t>3.2 Key External Issues</w:t>
      </w:r>
      <w:bookmarkEnd w:id="7"/>
    </w:p>
    <w:p w14:paraId="6E0245A8"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3.2.1 Poor recruitment and selection procedures</w:t>
      </w:r>
    </w:p>
    <w:p w14:paraId="68374221"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inadequate recruitment and selection process leads to a mismatch between the job requirements and the current candidate qualifications. These issues eventually resulted in a high turnover rate that also reduced employee morale. Poor recruitment procedures can bring out a wider range of problems for insufficient job descriptions that eventually came up as a key external issue for managing the supply of human resources in the NHS.</w:t>
      </w:r>
    </w:p>
    <w:p w14:paraId="2AF0CED2"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3.2.2 Large talent pool</w:t>
      </w:r>
    </w:p>
    <w:p w14:paraId="733B182A" w14:textId="6AAB933B"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potential of a large talent pool can be advantageous but it also presents a wider range of challenges where the National Health Service should shift through numerous applications to focus on the most suitable candidate</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(Propper et al., 2020)</w:t>
      </w:r>
      <w:r w:rsidRPr="00F6758B">
        <w:rPr>
          <w:rFonts w:ascii="Times New Roman" w:eastAsia="Times New Roman" w:hAnsi="Times New Roman" w:cs="Times New Roman"/>
          <w:sz w:val="24"/>
          <w:szCs w:val="24"/>
        </w:rPr>
        <w:t>. It is a time-consuming phenomenon where the greater competition among candidates also complicates the selection process and affects the external supply of human resources. The resource-intensive screening techniques also brought out different sets of problems for the management of the external sources of human resources.</w:t>
      </w:r>
    </w:p>
    <w:p w14:paraId="3D1B0735"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3.2.3 Financing</w:t>
      </w:r>
    </w:p>
    <w:p w14:paraId="50F05126"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financial strengths and the Limited availability of the financial resources also infected the capability of the NHS in retaining talent. The limited budgets also restricted the recruitment efforts of National Health Services which also made it difficult to select the best staff for the management of the job roles. However, the budget constraints eventually came up as a huge disadvantage that affected the staff selection process of the NHS.</w:t>
      </w:r>
    </w:p>
    <w:p w14:paraId="2E65F0ED"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3.2.4 Technological advancement</w:t>
      </w:r>
    </w:p>
    <w:p w14:paraId="17D890F0" w14:textId="799DFC3D"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rapid technological changes could affect the demand for specific skills and competencies. The new technology can improve the efficiency of patient care. However, they also record this staff with the correct expertise and necessary skills to use the technology effectively</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 xml:space="preserve">(Rodriguez Santana </w:t>
      </w:r>
      <w:r w:rsidR="00F6758B" w:rsidRPr="00F6758B">
        <w:rPr>
          <w:rFonts w:ascii="Times New Roman" w:eastAsia="Times New Roman" w:hAnsi="Times New Roman" w:cs="Times New Roman"/>
          <w:sz w:val="24"/>
          <w:szCs w:val="24"/>
        </w:rPr>
        <w:lastRenderedPageBreak/>
        <w:t>et al., 2020)</w:t>
      </w:r>
      <w:r w:rsidRPr="00F6758B">
        <w:rPr>
          <w:rFonts w:ascii="Times New Roman" w:eastAsia="Times New Roman" w:hAnsi="Times New Roman" w:cs="Times New Roman"/>
          <w:sz w:val="24"/>
          <w:szCs w:val="24"/>
        </w:rPr>
        <w:t>. The increasing necessity of training and development for meeting this problem is time-sensitive and the rapid face of technology makes it difficult to recruit the best candidates who are up to date with the latest innovations It also brings problems with the management of the external supply chain of human resources.</w:t>
      </w:r>
    </w:p>
    <w:p w14:paraId="6A3CFCAF"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3.2.5 Political restrictions</w:t>
      </w:r>
    </w:p>
    <w:p w14:paraId="40B6B9F0" w14:textId="4B1874B4"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political restrictions such as the immigration policies and regulations have been managed by the government. However, these restrictions limit the availability of skilled healthcare professionals from abroad</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(Ross et al., 2020)</w:t>
      </w:r>
      <w:r w:rsidRPr="00F6758B">
        <w:rPr>
          <w:rFonts w:ascii="Times New Roman" w:eastAsia="Times New Roman" w:hAnsi="Times New Roman" w:cs="Times New Roman"/>
          <w:sz w:val="24"/>
          <w:szCs w:val="24"/>
        </w:rPr>
        <w:t>. The changes in the political landscape also impacted the flow of healthcare professionals into the United Kingdom which also made it hard for National Health Services to secure the external supply of nurses.</w:t>
      </w:r>
    </w:p>
    <w:p w14:paraId="3D080966"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3.2.6 Corporate Social Responsibility</w:t>
      </w:r>
    </w:p>
    <w:p w14:paraId="785D6664" w14:textId="773D113B"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Corporate social responsibility is one of the most important initiatives which needs to be managed by the NHS to attract Global talent pool</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(Scanlon, 2021)</w:t>
      </w:r>
      <w:r w:rsidRPr="00F6758B">
        <w:rPr>
          <w:rFonts w:ascii="Times New Roman" w:eastAsia="Times New Roman" w:hAnsi="Times New Roman" w:cs="Times New Roman"/>
          <w:sz w:val="24"/>
          <w:szCs w:val="24"/>
        </w:rPr>
        <w:t>. It has been clarified that potential candidates also see committed employees who are connected with ethical practices and social responsibilities. NHS failed to connect with sustainability and social responsibility as well as the four labour practices also brought out question marks on the management of their ethical practices towards their employees. This eventually affected the reputation of the organisation and it also increased the inability of the organisation to get skilled professionals.</w:t>
      </w:r>
    </w:p>
    <w:p w14:paraId="322E1073" w14:textId="77777777" w:rsidR="0026771E" w:rsidRPr="00F6758B" w:rsidRDefault="00EA21CE" w:rsidP="00F6758B">
      <w:pPr>
        <w:pStyle w:val="Heading1"/>
        <w:spacing w:line="360" w:lineRule="auto"/>
        <w:rPr>
          <w:rFonts w:ascii="Times New Roman" w:hAnsi="Times New Roman" w:cs="Times New Roman"/>
          <w:b/>
          <w:bCs/>
          <w:sz w:val="24"/>
          <w:szCs w:val="24"/>
        </w:rPr>
      </w:pPr>
      <w:bookmarkStart w:id="8" w:name="_Toc172828721"/>
      <w:r w:rsidRPr="00F6758B">
        <w:rPr>
          <w:rFonts w:ascii="Times New Roman" w:hAnsi="Times New Roman" w:cs="Times New Roman"/>
          <w:b/>
          <w:bCs/>
          <w:sz w:val="24"/>
          <w:szCs w:val="24"/>
        </w:rPr>
        <w:t>4.0 Position Analysis for NHS Doctors</w:t>
      </w:r>
      <w:bookmarkEnd w:id="8"/>
    </w:p>
    <w:p w14:paraId="2C39EB03"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9" w:name="_Toc172828722"/>
      <w:r w:rsidRPr="00F6758B">
        <w:rPr>
          <w:rFonts w:ascii="Times New Roman" w:hAnsi="Times New Roman" w:cs="Times New Roman"/>
          <w:b/>
          <w:bCs/>
          <w:sz w:val="24"/>
          <w:szCs w:val="24"/>
        </w:rPr>
        <w:t>4.1 Job description</w:t>
      </w:r>
      <w:bookmarkEnd w:id="9"/>
    </w:p>
    <w:p w14:paraId="44F9A6C2"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reports of 2023 state that in the NHS there are approximately 131000 doctors available in the NHS that hold a vacancy rate of approximately 8%. The National Health Services depends upon locum doctors, which has increased by approximately 11% and this organisation is making efforts to enhance the conditions such as improving recruitment as well as retention.</w:t>
      </w:r>
    </w:p>
    <w:p w14:paraId="387F440F"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u w:val="single"/>
        </w:rPr>
      </w:pPr>
      <w:r w:rsidRPr="00F6758B">
        <w:rPr>
          <w:rFonts w:ascii="Times New Roman" w:eastAsia="Times New Roman" w:hAnsi="Times New Roman" w:cs="Times New Roman"/>
          <w:b/>
          <w:sz w:val="24"/>
          <w:szCs w:val="24"/>
          <w:u w:val="single"/>
        </w:rPr>
        <w:t xml:space="preserve">NHS Doctor’s Description </w:t>
      </w:r>
    </w:p>
    <w:p w14:paraId="0562B64A"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The NHS doctors have a specialised job description that involves different important tasks and responsibilities in order to offer quality healthcare. </w:t>
      </w:r>
    </w:p>
    <w:p w14:paraId="36F7E942" w14:textId="77777777" w:rsidR="0026771E" w:rsidRPr="00F6758B" w:rsidRDefault="00EA21CE" w:rsidP="00F6758B">
      <w:pPr>
        <w:pStyle w:val="Normal1"/>
        <w:numPr>
          <w:ilvl w:val="0"/>
          <w:numId w:val="3"/>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lastRenderedPageBreak/>
        <w:t>Conducting medical examinations thoroughly to evaluate the patient's symptoms, overall health and medical history</w:t>
      </w:r>
      <w:r w:rsidRPr="00F6758B">
        <w:rPr>
          <w:rFonts w:ascii="Times New Roman" w:eastAsia="Times New Roman" w:hAnsi="Times New Roman" w:cs="Times New Roman"/>
          <w:sz w:val="24"/>
          <w:szCs w:val="24"/>
        </w:rPr>
        <w:t xml:space="preserve">: This involves conducting physical examinations, evaluating the results and ordering the laboratory examination reports. </w:t>
      </w:r>
    </w:p>
    <w:p w14:paraId="5FBC618A" w14:textId="77777777" w:rsidR="0026771E" w:rsidRPr="00F6758B" w:rsidRDefault="00EA21CE" w:rsidP="00F6758B">
      <w:pPr>
        <w:pStyle w:val="Normal1"/>
        <w:numPr>
          <w:ilvl w:val="0"/>
          <w:numId w:val="3"/>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t>Diagnosing the medical conditions and formulating a treatment plan:</w:t>
      </w:r>
      <w:r w:rsidRPr="00F6758B">
        <w:rPr>
          <w:rFonts w:ascii="Times New Roman" w:eastAsia="Times New Roman" w:hAnsi="Times New Roman" w:cs="Times New Roman"/>
          <w:sz w:val="24"/>
          <w:szCs w:val="24"/>
        </w:rPr>
        <w:t xml:space="preserve"> After evaluating the symptoms of the patient carefully the doctors at NHS should recognise the underlying problem of the illness and distinguish the appropriate action. </w:t>
      </w:r>
    </w:p>
    <w:p w14:paraId="58F6DFCC" w14:textId="77777777" w:rsidR="0026771E" w:rsidRPr="00F6758B" w:rsidRDefault="00EA21CE" w:rsidP="00F6758B">
      <w:pPr>
        <w:pStyle w:val="Normal1"/>
        <w:numPr>
          <w:ilvl w:val="0"/>
          <w:numId w:val="3"/>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t>Prescribing medication and surgeries:</w:t>
      </w:r>
      <w:r w:rsidRPr="00F6758B">
        <w:rPr>
          <w:rFonts w:ascii="Times New Roman" w:eastAsia="Times New Roman" w:hAnsi="Times New Roman" w:cs="Times New Roman"/>
          <w:sz w:val="24"/>
          <w:szCs w:val="24"/>
        </w:rPr>
        <w:t xml:space="preserve"> NHS doctors have been experts in terms of prescribing medications and recommend either therapies or surgeries.</w:t>
      </w:r>
    </w:p>
    <w:p w14:paraId="11F467D5"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10" w:name="_Toc172828723"/>
      <w:r w:rsidRPr="00F6758B">
        <w:rPr>
          <w:rFonts w:ascii="Times New Roman" w:hAnsi="Times New Roman" w:cs="Times New Roman"/>
          <w:b/>
          <w:bCs/>
          <w:sz w:val="24"/>
          <w:szCs w:val="24"/>
        </w:rPr>
        <w:t>4.2 Person Specification</w:t>
      </w:r>
      <w:bookmarkEnd w:id="10"/>
    </w:p>
    <w:p w14:paraId="68401E3C"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The personal specification of the National Health Services doctors typically includes the important and desirable criteria needed for the role. </w:t>
      </w:r>
    </w:p>
    <w:p w14:paraId="7ED4C50D"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u w:val="single"/>
        </w:rPr>
      </w:pPr>
      <w:r w:rsidRPr="00F6758B">
        <w:rPr>
          <w:rFonts w:ascii="Times New Roman" w:eastAsia="Times New Roman" w:hAnsi="Times New Roman" w:cs="Times New Roman"/>
          <w:b/>
          <w:sz w:val="24"/>
          <w:szCs w:val="24"/>
          <w:u w:val="single"/>
        </w:rPr>
        <w:t xml:space="preserve">Essential criteria </w:t>
      </w:r>
    </w:p>
    <w:p w14:paraId="43987B15"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Qualifications </w:t>
      </w:r>
    </w:p>
    <w:p w14:paraId="4BB6BC1B" w14:textId="77777777" w:rsidR="0026771E" w:rsidRPr="00F6758B" w:rsidRDefault="00EA21CE" w:rsidP="00F6758B">
      <w:pPr>
        <w:pStyle w:val="Normal1"/>
        <w:numPr>
          <w:ilvl w:val="0"/>
          <w:numId w:val="6"/>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Medical degree: The doctors should have a medical degree that could be an MBBS or equivalent balance from a recognised Medical Institute. </w:t>
      </w:r>
    </w:p>
    <w:p w14:paraId="3C5B2BBB" w14:textId="77777777" w:rsidR="0026771E" w:rsidRPr="00F6758B" w:rsidRDefault="00EA21CE" w:rsidP="00F6758B">
      <w:pPr>
        <w:pStyle w:val="Normal1"/>
        <w:numPr>
          <w:ilvl w:val="0"/>
          <w:numId w:val="6"/>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Registration: The doctors should have a full registration from the General Medical Council.</w:t>
      </w:r>
    </w:p>
    <w:p w14:paraId="10A96932" w14:textId="77777777" w:rsidR="0026771E" w:rsidRPr="00F6758B" w:rsidRDefault="00EA21CE" w:rsidP="00F6758B">
      <w:pPr>
        <w:pStyle w:val="Normal1"/>
        <w:numPr>
          <w:ilvl w:val="0"/>
          <w:numId w:val="6"/>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Postgraduate qualification: The doctors must have PG qualifications like MRCP or FRCS</w:t>
      </w:r>
    </w:p>
    <w:p w14:paraId="4E3568D9"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Experience </w:t>
      </w:r>
    </w:p>
    <w:p w14:paraId="720423D2" w14:textId="77777777" w:rsidR="0026771E" w:rsidRPr="00F6758B" w:rsidRDefault="00EA21CE" w:rsidP="00F6758B">
      <w:pPr>
        <w:pStyle w:val="Normal1"/>
        <w:numPr>
          <w:ilvl w:val="0"/>
          <w:numId w:val="5"/>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Clinical experience: An NHS doctor should have relevant experience regarding their speciality such as experience in a hospital or have experience in a clinical setting. </w:t>
      </w:r>
    </w:p>
    <w:p w14:paraId="23DF2B13" w14:textId="77777777" w:rsidR="0026771E" w:rsidRPr="00F6758B" w:rsidRDefault="00EA21CE" w:rsidP="00F6758B">
      <w:pPr>
        <w:pStyle w:val="Normal1"/>
        <w:numPr>
          <w:ilvl w:val="0"/>
          <w:numId w:val="5"/>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Training: The doctors must complete a procreate training from the Foundation Program or Speciality Training.</w:t>
      </w:r>
    </w:p>
    <w:p w14:paraId="43842E13"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11" w:name="_Toc172828724"/>
      <w:r w:rsidRPr="00F6758B">
        <w:rPr>
          <w:rFonts w:ascii="Times New Roman" w:hAnsi="Times New Roman" w:cs="Times New Roman"/>
          <w:b/>
          <w:bCs/>
          <w:sz w:val="24"/>
          <w:szCs w:val="24"/>
        </w:rPr>
        <w:t>4.3 Skill required</w:t>
      </w:r>
      <w:bookmarkEnd w:id="11"/>
    </w:p>
    <w:p w14:paraId="40E87541"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u w:val="single"/>
        </w:rPr>
      </w:pPr>
      <w:r w:rsidRPr="00F6758B">
        <w:rPr>
          <w:rFonts w:ascii="Times New Roman" w:eastAsia="Times New Roman" w:hAnsi="Times New Roman" w:cs="Times New Roman"/>
          <w:b/>
          <w:sz w:val="24"/>
          <w:szCs w:val="24"/>
          <w:u w:val="single"/>
        </w:rPr>
        <w:t xml:space="preserve">NHS Doctor's skills </w:t>
      </w:r>
    </w:p>
    <w:p w14:paraId="30E71D19" w14:textId="77777777" w:rsidR="0026771E" w:rsidRPr="00F6758B" w:rsidRDefault="00EA21CE" w:rsidP="00F6758B">
      <w:pPr>
        <w:pStyle w:val="Normal1"/>
        <w:numPr>
          <w:ilvl w:val="0"/>
          <w:numId w:val="4"/>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t>From analytical and problem-solving ability:</w:t>
      </w:r>
      <w:r w:rsidRPr="00F6758B">
        <w:rPr>
          <w:rFonts w:ascii="Times New Roman" w:eastAsia="Times New Roman" w:hAnsi="Times New Roman" w:cs="Times New Roman"/>
          <w:sz w:val="24"/>
          <w:szCs w:val="24"/>
        </w:rPr>
        <w:t xml:space="preserve"> The NHS doctors should have the ability to critically evaluate the symptoms and the medical test results to have an accurate diagnosis. </w:t>
      </w:r>
    </w:p>
    <w:p w14:paraId="2D5423CC" w14:textId="77777777" w:rsidR="0026771E" w:rsidRPr="00F6758B" w:rsidRDefault="00EA21CE" w:rsidP="00F6758B">
      <w:pPr>
        <w:pStyle w:val="Normal1"/>
        <w:numPr>
          <w:ilvl w:val="0"/>
          <w:numId w:val="4"/>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t>Empathy and excellent communication:</w:t>
      </w:r>
      <w:r w:rsidRPr="00F6758B">
        <w:rPr>
          <w:rFonts w:ascii="Times New Roman" w:eastAsia="Times New Roman" w:hAnsi="Times New Roman" w:cs="Times New Roman"/>
          <w:sz w:val="24"/>
          <w:szCs w:val="24"/>
        </w:rPr>
        <w:t xml:space="preserve"> They should have effective communication which is important for the doctors in terms of establishing a strong relationship between </w:t>
      </w:r>
      <w:r w:rsidRPr="00F6758B">
        <w:rPr>
          <w:rFonts w:ascii="Times New Roman" w:eastAsia="Times New Roman" w:hAnsi="Times New Roman" w:cs="Times New Roman"/>
          <w:sz w:val="24"/>
          <w:szCs w:val="24"/>
        </w:rPr>
        <w:lastRenderedPageBreak/>
        <w:t xml:space="preserve">patients and doctors, and confirming that patients know their medical conditions with the treatment options. </w:t>
      </w:r>
    </w:p>
    <w:p w14:paraId="0FEE092D" w14:textId="77777777" w:rsidR="0026771E" w:rsidRPr="00F6758B" w:rsidRDefault="00EA21CE" w:rsidP="00F6758B">
      <w:pPr>
        <w:pStyle w:val="Normal1"/>
        <w:numPr>
          <w:ilvl w:val="0"/>
          <w:numId w:val="4"/>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t xml:space="preserve">Attention to detail: </w:t>
      </w:r>
      <w:r w:rsidRPr="00F6758B">
        <w:rPr>
          <w:rFonts w:ascii="Times New Roman" w:eastAsia="Times New Roman" w:hAnsi="Times New Roman" w:cs="Times New Roman"/>
          <w:sz w:val="24"/>
          <w:szCs w:val="24"/>
        </w:rPr>
        <w:t xml:space="preserve">The doctors should carefully examine the medical history of the patients and the test results in terms of making precise diagnoses with appropriate treatment. </w:t>
      </w:r>
    </w:p>
    <w:p w14:paraId="39E2C270" w14:textId="77777777" w:rsidR="0026771E" w:rsidRPr="00F6758B" w:rsidRDefault="00EA21CE" w:rsidP="00F6758B">
      <w:pPr>
        <w:pStyle w:val="Normal1"/>
        <w:numPr>
          <w:ilvl w:val="0"/>
          <w:numId w:val="4"/>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i/>
          <w:sz w:val="24"/>
          <w:szCs w:val="24"/>
        </w:rPr>
        <w:t>Consistent learning and adaptability:</w:t>
      </w:r>
      <w:r w:rsidRPr="00F6758B">
        <w:rPr>
          <w:rFonts w:ascii="Times New Roman" w:eastAsia="Times New Roman" w:hAnsi="Times New Roman" w:cs="Times New Roman"/>
          <w:sz w:val="24"/>
          <w:szCs w:val="24"/>
        </w:rPr>
        <w:t xml:space="preserve"> An NHS doctor should have the ability to have continuous learning since medicine is an ever-evolving area and they should be committed towards lifelong learning.</w:t>
      </w:r>
    </w:p>
    <w:p w14:paraId="4B4A1A47"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12" w:name="_Toc172828725"/>
      <w:r w:rsidRPr="00F6758B">
        <w:rPr>
          <w:rFonts w:ascii="Times New Roman" w:hAnsi="Times New Roman" w:cs="Times New Roman"/>
          <w:b/>
          <w:bCs/>
          <w:sz w:val="24"/>
          <w:szCs w:val="24"/>
        </w:rPr>
        <w:t>4.4 Pay</w:t>
      </w:r>
      <w:bookmarkEnd w:id="12"/>
    </w:p>
    <w:p w14:paraId="74DEFC97"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The NHS doctors in the UK are approximately paid a basic salary between 32398 pounds to 126281 pounds. The salary in tally depends on the ears of experience they have the type of contract and their location. The basic contract is approximately 40 hours a week and when doctors in the NHS become speciality doctors they are also paid compensation for additional duties, weekend work, on-call emergencies and extra hours of work. The chart below highlights exactly the salaries or the payments given to the NHS doctors in the UK of different levels and experiences.</w:t>
      </w:r>
    </w:p>
    <w:p w14:paraId="298D3527" w14:textId="77777777" w:rsidR="0026771E" w:rsidRPr="00F6758B" w:rsidRDefault="00EA21CE" w:rsidP="00F6758B">
      <w:pPr>
        <w:pStyle w:val="Normal1"/>
        <w:spacing w:line="360" w:lineRule="auto"/>
        <w:jc w:val="center"/>
        <w:rPr>
          <w:rFonts w:ascii="Times New Roman" w:eastAsia="Times New Roman" w:hAnsi="Times New Roman" w:cs="Times New Roman"/>
          <w:sz w:val="24"/>
          <w:szCs w:val="24"/>
        </w:rPr>
      </w:pPr>
      <w:r w:rsidRPr="00F6758B">
        <w:rPr>
          <w:rFonts w:ascii="Times New Roman" w:eastAsia="Times New Roman" w:hAnsi="Times New Roman" w:cs="Times New Roman"/>
          <w:noProof/>
          <w:sz w:val="24"/>
          <w:szCs w:val="24"/>
          <w:lang w:val="en-IN" w:eastAsia="en-IN" w:bidi="gu-IN"/>
        </w:rPr>
        <w:drawing>
          <wp:inline distT="114300" distB="114300" distL="114300" distR="114300" wp14:anchorId="29E07335" wp14:editId="22B092FF">
            <wp:extent cx="5943600" cy="31496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8"/>
                    <a:stretch>
                      <a:fillRect/>
                    </a:stretch>
                  </pic:blipFill>
                  <pic:spPr>
                    <a:xfrm>
                      <a:off x="0" y="0"/>
                      <a:ext cx="5943600" cy="3149600"/>
                    </a:xfrm>
                    <a:prstGeom prst="rect">
                      <a:avLst/>
                    </a:prstGeom>
                  </pic:spPr>
                </pic:pic>
              </a:graphicData>
            </a:graphic>
          </wp:inline>
        </w:drawing>
      </w:r>
    </w:p>
    <w:p w14:paraId="293CDC3B" w14:textId="77777777" w:rsidR="0026771E" w:rsidRPr="00F6758B" w:rsidRDefault="00EA21CE"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 xml:space="preserve">Figure: Pay Scale of the NHS doctors </w:t>
      </w:r>
    </w:p>
    <w:p w14:paraId="5D3E7ED4" w14:textId="58961FFC" w:rsidR="00B772AD" w:rsidRPr="00F6758B" w:rsidRDefault="00B772AD" w:rsidP="00F6758B">
      <w:pPr>
        <w:pStyle w:val="Normal1"/>
        <w:spacing w:line="360" w:lineRule="auto"/>
        <w:jc w:val="center"/>
        <w:rPr>
          <w:rFonts w:ascii="Times New Roman" w:eastAsia="Times New Roman" w:hAnsi="Times New Roman" w:cs="Times New Roman"/>
          <w:b/>
          <w:sz w:val="24"/>
          <w:szCs w:val="24"/>
        </w:rPr>
      </w:pPr>
      <w:r w:rsidRPr="00F6758B">
        <w:rPr>
          <w:rFonts w:ascii="Times New Roman" w:eastAsia="Times New Roman" w:hAnsi="Times New Roman" w:cs="Times New Roman"/>
          <w:b/>
          <w:sz w:val="24"/>
          <w:szCs w:val="24"/>
        </w:rPr>
        <w:t>Source:</w:t>
      </w:r>
      <w:r w:rsidR="00F6758B" w:rsidRPr="00F6758B">
        <w:rPr>
          <w:rFonts w:ascii="Times New Roman" w:eastAsia="Times New Roman" w:hAnsi="Times New Roman" w:cs="Times New Roman"/>
          <w:sz w:val="24"/>
          <w:szCs w:val="24"/>
        </w:rPr>
        <w:t xml:space="preserve"> (Taylor et al., 2020)</w:t>
      </w:r>
    </w:p>
    <w:p w14:paraId="1ED98CB7" w14:textId="77777777" w:rsidR="0026771E" w:rsidRPr="00F6758B" w:rsidRDefault="00EA21CE" w:rsidP="00F6758B">
      <w:pPr>
        <w:pStyle w:val="Heading2"/>
        <w:spacing w:line="360" w:lineRule="auto"/>
        <w:rPr>
          <w:rFonts w:ascii="Times New Roman" w:hAnsi="Times New Roman" w:cs="Times New Roman"/>
          <w:b/>
          <w:bCs/>
          <w:sz w:val="24"/>
          <w:szCs w:val="24"/>
        </w:rPr>
      </w:pPr>
      <w:bookmarkStart w:id="13" w:name="_Toc172828726"/>
      <w:r w:rsidRPr="00F6758B">
        <w:rPr>
          <w:rFonts w:ascii="Times New Roman" w:hAnsi="Times New Roman" w:cs="Times New Roman"/>
          <w:b/>
          <w:bCs/>
          <w:sz w:val="24"/>
          <w:szCs w:val="24"/>
        </w:rPr>
        <w:lastRenderedPageBreak/>
        <w:t>4.5 Working conditions</w:t>
      </w:r>
      <w:bookmarkEnd w:id="13"/>
    </w:p>
    <w:p w14:paraId="1AF814AF" w14:textId="77777777" w:rsidR="0026771E"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 xml:space="preserve">The working conditions of the doctors at NHS are an extensive topic to discuss including </w:t>
      </w:r>
    </w:p>
    <w:p w14:paraId="3A3E4D00"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u w:val="single"/>
        </w:rPr>
      </w:pPr>
      <w:r w:rsidRPr="00F6758B">
        <w:rPr>
          <w:rFonts w:ascii="Times New Roman" w:eastAsia="Times New Roman" w:hAnsi="Times New Roman" w:cs="Times New Roman"/>
          <w:b/>
          <w:sz w:val="24"/>
          <w:szCs w:val="24"/>
          <w:u w:val="single"/>
        </w:rPr>
        <w:t xml:space="preserve">Workload and hours </w:t>
      </w:r>
    </w:p>
    <w:p w14:paraId="2863BA43" w14:textId="77777777" w:rsidR="00F6758B" w:rsidRDefault="00EA21CE" w:rsidP="00F6758B">
      <w:pPr>
        <w:pStyle w:val="Normal1"/>
        <w:numPr>
          <w:ilvl w:val="0"/>
          <w:numId w:val="1"/>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sz w:val="24"/>
          <w:szCs w:val="24"/>
        </w:rPr>
        <w:t>Long hours with the shift:</w:t>
      </w:r>
      <w:r w:rsidRPr="00F6758B">
        <w:rPr>
          <w:rFonts w:ascii="Times New Roman" w:eastAsia="Times New Roman" w:hAnsi="Times New Roman" w:cs="Times New Roman"/>
          <w:sz w:val="24"/>
          <w:szCs w:val="24"/>
        </w:rPr>
        <w:t xml:space="preserve"> The images doctors have to work long hours on the night shift. The junior residents have to work for 48 hours. </w:t>
      </w:r>
    </w:p>
    <w:p w14:paraId="012AF24D" w14:textId="1F55758F" w:rsidR="0026771E" w:rsidRPr="00F6758B" w:rsidRDefault="00EA21CE" w:rsidP="00F6758B">
      <w:pPr>
        <w:pStyle w:val="Normal1"/>
        <w:numPr>
          <w:ilvl w:val="0"/>
          <w:numId w:val="1"/>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sz w:val="24"/>
          <w:szCs w:val="24"/>
        </w:rPr>
        <w:t>High patient load</w:t>
      </w:r>
      <w:r w:rsidRPr="00F6758B">
        <w:rPr>
          <w:rFonts w:ascii="Times New Roman" w:eastAsia="Times New Roman" w:hAnsi="Times New Roman" w:cs="Times New Roman"/>
          <w:sz w:val="24"/>
          <w:szCs w:val="24"/>
        </w:rPr>
        <w:t>: In 2023, the general physician had an estimated interaction of 1.6 million patients every day across all the NHS services and in May 2024 approximately 4800 patients every day waited longer than 12 hours highlighting the conditions of high patient load</w:t>
      </w:r>
      <w:r w:rsidR="00F6758B" w:rsidRPr="00F6758B">
        <w:rPr>
          <w:rFonts w:ascii="Times New Roman" w:eastAsia="Times New Roman" w:hAnsi="Times New Roman" w:cs="Times New Roman"/>
          <w:sz w:val="24"/>
          <w:szCs w:val="24"/>
        </w:rPr>
        <w:t xml:space="preserve"> (Srivastava et al., 2020)</w:t>
      </w:r>
      <w:r w:rsidRPr="00F6758B">
        <w:rPr>
          <w:rFonts w:ascii="Times New Roman" w:eastAsia="Times New Roman" w:hAnsi="Times New Roman" w:cs="Times New Roman"/>
          <w:sz w:val="24"/>
          <w:szCs w:val="24"/>
        </w:rPr>
        <w:t>.</w:t>
      </w:r>
    </w:p>
    <w:p w14:paraId="679E347C" w14:textId="77777777" w:rsidR="0026771E" w:rsidRPr="00F6758B" w:rsidRDefault="00EA21CE" w:rsidP="00F6758B">
      <w:pPr>
        <w:pStyle w:val="Normal1"/>
        <w:spacing w:line="360" w:lineRule="auto"/>
        <w:jc w:val="both"/>
        <w:rPr>
          <w:rFonts w:ascii="Times New Roman" w:eastAsia="Times New Roman" w:hAnsi="Times New Roman" w:cs="Times New Roman"/>
          <w:b/>
          <w:sz w:val="24"/>
          <w:szCs w:val="24"/>
          <w:u w:val="single"/>
        </w:rPr>
      </w:pPr>
      <w:r w:rsidRPr="00F6758B">
        <w:rPr>
          <w:rFonts w:ascii="Times New Roman" w:eastAsia="Times New Roman" w:hAnsi="Times New Roman" w:cs="Times New Roman"/>
          <w:b/>
          <w:sz w:val="24"/>
          <w:szCs w:val="24"/>
          <w:u w:val="single"/>
        </w:rPr>
        <w:t xml:space="preserve">Cultural and structural challenges </w:t>
      </w:r>
    </w:p>
    <w:p w14:paraId="3B5078F2" w14:textId="77777777" w:rsidR="0026771E" w:rsidRPr="00F6758B" w:rsidRDefault="00EA21CE" w:rsidP="00F6758B">
      <w:pPr>
        <w:pStyle w:val="Normal1"/>
        <w:numPr>
          <w:ilvl w:val="0"/>
          <w:numId w:val="2"/>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sz w:val="24"/>
          <w:szCs w:val="24"/>
        </w:rPr>
        <w:t>Organised culture:</w:t>
      </w:r>
      <w:r w:rsidRPr="00F6758B">
        <w:rPr>
          <w:rFonts w:ascii="Times New Roman" w:eastAsia="Times New Roman" w:hAnsi="Times New Roman" w:cs="Times New Roman"/>
          <w:sz w:val="24"/>
          <w:szCs w:val="24"/>
        </w:rPr>
        <w:t xml:space="preserve"> The culture at the NHS is hierarchical and it is highly resistant to change. </w:t>
      </w:r>
    </w:p>
    <w:p w14:paraId="193CA4F9" w14:textId="068F227E" w:rsidR="0026771E" w:rsidRPr="00F6758B" w:rsidRDefault="00EA21CE" w:rsidP="00F6758B">
      <w:pPr>
        <w:pStyle w:val="Normal1"/>
        <w:numPr>
          <w:ilvl w:val="0"/>
          <w:numId w:val="2"/>
        </w:numPr>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b/>
          <w:sz w:val="24"/>
          <w:szCs w:val="24"/>
        </w:rPr>
        <w:t xml:space="preserve">Bureaucracy: </w:t>
      </w:r>
      <w:r w:rsidRPr="00F6758B">
        <w:rPr>
          <w:rFonts w:ascii="Times New Roman" w:eastAsia="Times New Roman" w:hAnsi="Times New Roman" w:cs="Times New Roman"/>
          <w:sz w:val="24"/>
          <w:szCs w:val="24"/>
        </w:rPr>
        <w:t>The working conditions of the NHS are impacted due to bureaucracy as it is a large and complicated company where doctors frequently have to navigate the bureaucracy significantly which could be time-consuming and frustrating</w:t>
      </w:r>
      <w:r w:rsidR="00F6758B">
        <w:rPr>
          <w:rFonts w:ascii="Times New Roman" w:eastAsia="Times New Roman" w:hAnsi="Times New Roman" w:cs="Times New Roman"/>
          <w:sz w:val="24"/>
          <w:szCs w:val="24"/>
        </w:rPr>
        <w:t xml:space="preserve"> </w:t>
      </w:r>
      <w:r w:rsidR="00F6758B" w:rsidRPr="00F6758B">
        <w:rPr>
          <w:rFonts w:ascii="Times New Roman" w:eastAsia="Times New Roman" w:hAnsi="Times New Roman" w:cs="Times New Roman"/>
          <w:sz w:val="24"/>
          <w:szCs w:val="24"/>
        </w:rPr>
        <w:t>(Taylor et al., 2020)</w:t>
      </w:r>
      <w:r w:rsidRPr="00F6758B">
        <w:rPr>
          <w:rFonts w:ascii="Times New Roman" w:eastAsia="Times New Roman" w:hAnsi="Times New Roman" w:cs="Times New Roman"/>
          <w:sz w:val="24"/>
          <w:szCs w:val="24"/>
        </w:rPr>
        <w:t>.</w:t>
      </w:r>
    </w:p>
    <w:p w14:paraId="46919BC1" w14:textId="77777777" w:rsidR="0026771E" w:rsidRPr="00F6758B" w:rsidRDefault="00EA21CE" w:rsidP="00F6758B">
      <w:pPr>
        <w:pStyle w:val="Heading1"/>
        <w:spacing w:line="360" w:lineRule="auto"/>
        <w:rPr>
          <w:rFonts w:ascii="Times New Roman" w:hAnsi="Times New Roman" w:cs="Times New Roman"/>
          <w:b/>
          <w:bCs/>
          <w:sz w:val="24"/>
          <w:szCs w:val="24"/>
        </w:rPr>
      </w:pPr>
      <w:bookmarkStart w:id="14" w:name="_Toc172828727"/>
      <w:r w:rsidRPr="00F6758B">
        <w:rPr>
          <w:rFonts w:ascii="Times New Roman" w:hAnsi="Times New Roman" w:cs="Times New Roman"/>
          <w:b/>
          <w:bCs/>
          <w:sz w:val="24"/>
          <w:szCs w:val="24"/>
        </w:rPr>
        <w:t>5.0 Conclusion</w:t>
      </w:r>
      <w:bookmarkEnd w:id="14"/>
      <w:r w:rsidRPr="00F6758B">
        <w:rPr>
          <w:rFonts w:ascii="Times New Roman" w:hAnsi="Times New Roman" w:cs="Times New Roman"/>
          <w:b/>
          <w:bCs/>
          <w:sz w:val="24"/>
          <w:szCs w:val="24"/>
        </w:rPr>
        <w:t xml:space="preserve"> </w:t>
      </w:r>
    </w:p>
    <w:p w14:paraId="5B1116E6" w14:textId="6F572539" w:rsidR="00B772AD" w:rsidRPr="00F6758B" w:rsidRDefault="00EA21CE"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In conclusion, it can be stated that this study has focused on the context of human capital management considering the case study of the NHS and the doctors. Having an analysis of the current challenges in the NHS, the key issues in estimating the internal external supply chain of human resources have been evaluated with graphical representations. Apart from this, opposition analysis has been performed for the NHS doctors evaluating job descriptions, person specifications and many more.</w:t>
      </w:r>
    </w:p>
    <w:p w14:paraId="7D3BFF0E" w14:textId="77777777" w:rsidR="00B772AD" w:rsidRPr="00F6758B" w:rsidRDefault="00B772AD" w:rsidP="00F6758B">
      <w:pPr>
        <w:spacing w:line="360" w:lineRule="auto"/>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br w:type="page"/>
      </w:r>
    </w:p>
    <w:p w14:paraId="66EEB9B4" w14:textId="29D67F76" w:rsidR="0026771E" w:rsidRPr="00F6758B" w:rsidRDefault="00B772AD" w:rsidP="00F6758B">
      <w:pPr>
        <w:pStyle w:val="Heading1"/>
        <w:spacing w:line="360" w:lineRule="auto"/>
        <w:rPr>
          <w:rFonts w:ascii="Times New Roman" w:hAnsi="Times New Roman" w:cs="Times New Roman"/>
          <w:b/>
          <w:bCs/>
          <w:sz w:val="24"/>
          <w:szCs w:val="24"/>
        </w:rPr>
      </w:pPr>
      <w:bookmarkStart w:id="15" w:name="_Toc172828728"/>
      <w:r w:rsidRPr="00F6758B">
        <w:rPr>
          <w:rFonts w:ascii="Times New Roman" w:hAnsi="Times New Roman" w:cs="Times New Roman"/>
          <w:b/>
          <w:bCs/>
          <w:sz w:val="24"/>
          <w:szCs w:val="24"/>
        </w:rPr>
        <w:lastRenderedPageBreak/>
        <w:t>References:</w:t>
      </w:r>
      <w:bookmarkEnd w:id="15"/>
    </w:p>
    <w:p w14:paraId="27C516F8"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Anderson, M., Pitchforth, E., Asaria, M., Brayne, C., Casadei, B., Charlesworth, A., Coulter, A., Franklin, B.D., Donaldson, C., Drummond, M. and Dunnell, K., 2021. LSE–Lancet Commission on the future of the NHS: re-laying the foundations for an equitable and efficient health and care service after COVID-19. </w:t>
      </w:r>
      <w:r w:rsidRPr="00F6758B">
        <w:rPr>
          <w:rFonts w:ascii="Times New Roman" w:eastAsia="Times New Roman" w:hAnsi="Times New Roman" w:cs="Times New Roman"/>
          <w:i/>
          <w:iCs/>
          <w:sz w:val="24"/>
          <w:szCs w:val="24"/>
        </w:rPr>
        <w:t>The Lancet</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397</w:t>
      </w:r>
      <w:r w:rsidRPr="00F6758B">
        <w:rPr>
          <w:rFonts w:ascii="Times New Roman" w:eastAsia="Times New Roman" w:hAnsi="Times New Roman" w:cs="Times New Roman"/>
          <w:sz w:val="24"/>
          <w:szCs w:val="24"/>
        </w:rPr>
        <w:t>(10288), pp.1915-1978.</w:t>
      </w:r>
    </w:p>
    <w:p w14:paraId="4F0F01A2"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Atkins, L., Stefanidou, C., Chadborn, T., Thompson, K., Michie, S. and Lorencatto, F., 2020. Influences on NHS Health Check behaviours: a systematic review. </w:t>
      </w:r>
      <w:r w:rsidRPr="00F6758B">
        <w:rPr>
          <w:rFonts w:ascii="Times New Roman" w:eastAsia="Times New Roman" w:hAnsi="Times New Roman" w:cs="Times New Roman"/>
          <w:i/>
          <w:iCs/>
          <w:sz w:val="24"/>
          <w:szCs w:val="24"/>
        </w:rPr>
        <w:t>BMC Public Health</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20</w:t>
      </w:r>
      <w:r w:rsidRPr="00F6758B">
        <w:rPr>
          <w:rFonts w:ascii="Times New Roman" w:eastAsia="Times New Roman" w:hAnsi="Times New Roman" w:cs="Times New Roman"/>
          <w:sz w:val="24"/>
          <w:szCs w:val="24"/>
        </w:rPr>
        <w:t>, pp.1-37.</w:t>
      </w:r>
    </w:p>
    <w:p w14:paraId="0DBE8004"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Dawoodbhoy, F.M., Delaney, J., Cecula, P., Yu, J., Peacock, I., Tan, J. and Cox, B., 2021. AI in patient flow: applications of artificial intelligence to improve patient flow in NHS acute mental health inpatient units. </w:t>
      </w:r>
      <w:r w:rsidRPr="00F6758B">
        <w:rPr>
          <w:rFonts w:ascii="Times New Roman" w:eastAsia="Times New Roman" w:hAnsi="Times New Roman" w:cs="Times New Roman"/>
          <w:i/>
          <w:iCs/>
          <w:sz w:val="24"/>
          <w:szCs w:val="24"/>
        </w:rPr>
        <w:t>Heliyon</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7</w:t>
      </w:r>
      <w:r w:rsidRPr="00F6758B">
        <w:rPr>
          <w:rFonts w:ascii="Times New Roman" w:eastAsia="Times New Roman" w:hAnsi="Times New Roman" w:cs="Times New Roman"/>
          <w:sz w:val="24"/>
          <w:szCs w:val="24"/>
        </w:rPr>
        <w:t>(5).</w:t>
      </w:r>
    </w:p>
    <w:p w14:paraId="6041DCF6"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De Val, J., Sohal, G., Sarwar, A., Ahmed, H., Singh, I. and Coleman, J.J., 2021. Investigating the challenges and opportunities for medicines management in an NHS field hospital during the COVID-19 pandemic. </w:t>
      </w:r>
      <w:r w:rsidRPr="00F6758B">
        <w:rPr>
          <w:rFonts w:ascii="Times New Roman" w:eastAsia="Times New Roman" w:hAnsi="Times New Roman" w:cs="Times New Roman"/>
          <w:i/>
          <w:iCs/>
          <w:sz w:val="24"/>
          <w:szCs w:val="24"/>
        </w:rPr>
        <w:t>European Journal of Hospital Pharmacy</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28</w:t>
      </w:r>
      <w:r w:rsidRPr="00F6758B">
        <w:rPr>
          <w:rFonts w:ascii="Times New Roman" w:eastAsia="Times New Roman" w:hAnsi="Times New Roman" w:cs="Times New Roman"/>
          <w:sz w:val="24"/>
          <w:szCs w:val="24"/>
        </w:rPr>
        <w:t>(1), pp.10-15.</w:t>
      </w:r>
    </w:p>
    <w:p w14:paraId="59C6BC75"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Evans, C., Poku, B., Pearce, R., Eldridge, J., Hendrick, P., Knaggs, R., Blake, H., Yogeswaran, G., McLuskey, J., Tomczak, P. and Thow, R., 2021. Characterising the outcomes, impacts and implementation challenges of advanced clinical practice roles in the UK: a scoping review. </w:t>
      </w:r>
      <w:r w:rsidRPr="00F6758B">
        <w:rPr>
          <w:rFonts w:ascii="Times New Roman" w:eastAsia="Times New Roman" w:hAnsi="Times New Roman" w:cs="Times New Roman"/>
          <w:i/>
          <w:iCs/>
          <w:sz w:val="24"/>
          <w:szCs w:val="24"/>
        </w:rPr>
        <w:t>BMJ open</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11</w:t>
      </w:r>
      <w:r w:rsidRPr="00F6758B">
        <w:rPr>
          <w:rFonts w:ascii="Times New Roman" w:eastAsia="Times New Roman" w:hAnsi="Times New Roman" w:cs="Times New Roman"/>
          <w:sz w:val="24"/>
          <w:szCs w:val="24"/>
        </w:rPr>
        <w:t>(8), p.e048171.</w:t>
      </w:r>
    </w:p>
    <w:p w14:paraId="3838AE58"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Hazlehurst, J.M., Logue, J., Parretti, H.M., Abbott, S., Brown, A., Pournaras, D.J. and Tahrani, A.A., 2020. Developing integrated clinical pathways for the management of clinically severe adult obesity: a critique of NHS England policy. </w:t>
      </w:r>
      <w:r w:rsidRPr="00F6758B">
        <w:rPr>
          <w:rFonts w:ascii="Times New Roman" w:eastAsia="Times New Roman" w:hAnsi="Times New Roman" w:cs="Times New Roman"/>
          <w:i/>
          <w:iCs/>
          <w:sz w:val="24"/>
          <w:szCs w:val="24"/>
        </w:rPr>
        <w:t>Current obesity reports</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9</w:t>
      </w:r>
      <w:r w:rsidRPr="00F6758B">
        <w:rPr>
          <w:rFonts w:ascii="Times New Roman" w:eastAsia="Times New Roman" w:hAnsi="Times New Roman" w:cs="Times New Roman"/>
          <w:sz w:val="24"/>
          <w:szCs w:val="24"/>
        </w:rPr>
        <w:t>, pp.530-543.</w:t>
      </w:r>
    </w:p>
    <w:p w14:paraId="718537A3"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Kennedy, N.A., Hansen, R., Younge, L., Mawdsley, J., Beattie, R.M., Din, S., Lamb, C.A., Smith, P.J., Selinger, C., Limdi, J. and Iqbal, T.H., 2020. Organisational changes and challenges for inflammatory bowel disease services in the UK during the COVID-19 pandemic. </w:t>
      </w:r>
      <w:r w:rsidRPr="00F6758B">
        <w:rPr>
          <w:rFonts w:ascii="Times New Roman" w:eastAsia="Times New Roman" w:hAnsi="Times New Roman" w:cs="Times New Roman"/>
          <w:i/>
          <w:iCs/>
          <w:sz w:val="24"/>
          <w:szCs w:val="24"/>
        </w:rPr>
        <w:t>Frontline gastroenterology</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11</w:t>
      </w:r>
      <w:r w:rsidRPr="00F6758B">
        <w:rPr>
          <w:rFonts w:ascii="Times New Roman" w:eastAsia="Times New Roman" w:hAnsi="Times New Roman" w:cs="Times New Roman"/>
          <w:sz w:val="24"/>
          <w:szCs w:val="24"/>
        </w:rPr>
        <w:t>(5), pp.343-350.</w:t>
      </w:r>
    </w:p>
    <w:p w14:paraId="1EB467F8"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Mandelstam, M., 2020. </w:t>
      </w:r>
      <w:r w:rsidRPr="00F6758B">
        <w:rPr>
          <w:rFonts w:ascii="Times New Roman" w:eastAsia="Times New Roman" w:hAnsi="Times New Roman" w:cs="Times New Roman"/>
          <w:i/>
          <w:iCs/>
          <w:sz w:val="24"/>
          <w:szCs w:val="24"/>
        </w:rPr>
        <w:t>NHS Continuing Healthcare: An AZ of Law, Practice, Funding Decisions and Challenges</w:t>
      </w:r>
      <w:r w:rsidRPr="00F6758B">
        <w:rPr>
          <w:rFonts w:ascii="Times New Roman" w:eastAsia="Times New Roman" w:hAnsi="Times New Roman" w:cs="Times New Roman"/>
          <w:sz w:val="24"/>
          <w:szCs w:val="24"/>
        </w:rPr>
        <w:t>. Jessica Kingsley Publishers.</w:t>
      </w:r>
    </w:p>
    <w:p w14:paraId="0A056366"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Mendes, D., Wood, R., Seif, M. and Collings, S.L., 2024. Social care data in the UK; current landscape, challenges, and future recommendations. </w:t>
      </w:r>
      <w:r w:rsidRPr="00F6758B">
        <w:rPr>
          <w:rFonts w:ascii="Times New Roman" w:eastAsia="Times New Roman" w:hAnsi="Times New Roman" w:cs="Times New Roman"/>
          <w:i/>
          <w:iCs/>
          <w:sz w:val="24"/>
          <w:szCs w:val="24"/>
        </w:rPr>
        <w:t>Expert Review of Pharmacoeconomics &amp; Outcomes Research</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24</w:t>
      </w:r>
      <w:r w:rsidRPr="00F6758B">
        <w:rPr>
          <w:rFonts w:ascii="Times New Roman" w:eastAsia="Times New Roman" w:hAnsi="Times New Roman" w:cs="Times New Roman"/>
          <w:sz w:val="24"/>
          <w:szCs w:val="24"/>
        </w:rPr>
        <w:t>(2), pp.303-314.</w:t>
      </w:r>
    </w:p>
    <w:p w14:paraId="0BC2EC6A"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lastRenderedPageBreak/>
        <w:t>Propper, C., Stoye, G. and Zaranko, B., 2020. The wider impacts of the coronavirus pandemic on the NHS. </w:t>
      </w:r>
      <w:r w:rsidRPr="00F6758B">
        <w:rPr>
          <w:rFonts w:ascii="Times New Roman" w:eastAsia="Times New Roman" w:hAnsi="Times New Roman" w:cs="Times New Roman"/>
          <w:i/>
          <w:iCs/>
          <w:sz w:val="24"/>
          <w:szCs w:val="24"/>
        </w:rPr>
        <w:t>Fiscal Studies</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41</w:t>
      </w:r>
      <w:r w:rsidRPr="00F6758B">
        <w:rPr>
          <w:rFonts w:ascii="Times New Roman" w:eastAsia="Times New Roman" w:hAnsi="Times New Roman" w:cs="Times New Roman"/>
          <w:sz w:val="24"/>
          <w:szCs w:val="24"/>
        </w:rPr>
        <w:t>(2), pp.345-356.</w:t>
      </w:r>
    </w:p>
    <w:p w14:paraId="4FF4665D"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Rodriguez Santana, I., Aragón, M.J., Rice, N. and Mason, A.R., 2020. Trends in and drivers of healthcare expenditure in the English NHS: a retrospective analysis. </w:t>
      </w:r>
      <w:r w:rsidRPr="00F6758B">
        <w:rPr>
          <w:rFonts w:ascii="Times New Roman" w:eastAsia="Times New Roman" w:hAnsi="Times New Roman" w:cs="Times New Roman"/>
          <w:i/>
          <w:iCs/>
          <w:sz w:val="24"/>
          <w:szCs w:val="24"/>
        </w:rPr>
        <w:t>Health Economics Review</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10</w:t>
      </w:r>
      <w:r w:rsidRPr="00F6758B">
        <w:rPr>
          <w:rFonts w:ascii="Times New Roman" w:eastAsia="Times New Roman" w:hAnsi="Times New Roman" w:cs="Times New Roman"/>
          <w:sz w:val="24"/>
          <w:szCs w:val="24"/>
        </w:rPr>
        <w:t>, pp.1-11.</w:t>
      </w:r>
    </w:p>
    <w:p w14:paraId="6E07DF0A"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Ross, S., Jabbal, J., Chauhan, K., Maguire, D., Randhawa, M. and Dahir, S., 2020. </w:t>
      </w:r>
      <w:r w:rsidRPr="00F6758B">
        <w:rPr>
          <w:rFonts w:ascii="Times New Roman" w:eastAsia="Times New Roman" w:hAnsi="Times New Roman" w:cs="Times New Roman"/>
          <w:i/>
          <w:iCs/>
          <w:sz w:val="24"/>
          <w:szCs w:val="24"/>
        </w:rPr>
        <w:t>Workforce race inequalities and inclusion in NHS providers</w:t>
      </w:r>
      <w:r w:rsidRPr="00F6758B">
        <w:rPr>
          <w:rFonts w:ascii="Times New Roman" w:eastAsia="Times New Roman" w:hAnsi="Times New Roman" w:cs="Times New Roman"/>
          <w:sz w:val="24"/>
          <w:szCs w:val="24"/>
        </w:rPr>
        <w:t>. King's Fund.</w:t>
      </w:r>
    </w:p>
    <w:p w14:paraId="3F0479FE"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Scanlon, P.H., 2021. The contribution of the English NHS Diabetic Eye Screening Programme to reductions in diabetes-related blindness, comparisons within Europe, and future challenges. </w:t>
      </w:r>
      <w:r w:rsidRPr="00F6758B">
        <w:rPr>
          <w:rFonts w:ascii="Times New Roman" w:eastAsia="Times New Roman" w:hAnsi="Times New Roman" w:cs="Times New Roman"/>
          <w:i/>
          <w:iCs/>
          <w:sz w:val="24"/>
          <w:szCs w:val="24"/>
        </w:rPr>
        <w:t>Acta diabetologica</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58</w:t>
      </w:r>
      <w:r w:rsidRPr="00F6758B">
        <w:rPr>
          <w:rFonts w:ascii="Times New Roman" w:eastAsia="Times New Roman" w:hAnsi="Times New Roman" w:cs="Times New Roman"/>
          <w:sz w:val="24"/>
          <w:szCs w:val="24"/>
        </w:rPr>
        <w:t>(4), pp.521-530.</w:t>
      </w:r>
    </w:p>
    <w:p w14:paraId="29C8ECC0"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Srivastava, D., Scarbrough, H., Stavropoulou, C. and City University, 2020. Current regulatory challenges to support the spread of digital health technologies. </w:t>
      </w:r>
      <w:r w:rsidRPr="00F6758B">
        <w:rPr>
          <w:rFonts w:ascii="Times New Roman" w:eastAsia="Times New Roman" w:hAnsi="Times New Roman" w:cs="Times New Roman"/>
          <w:i/>
          <w:iCs/>
          <w:sz w:val="24"/>
          <w:szCs w:val="24"/>
        </w:rPr>
        <w:t>London: City University</w:t>
      </w:r>
      <w:r w:rsidRPr="00F6758B">
        <w:rPr>
          <w:rFonts w:ascii="Times New Roman" w:eastAsia="Times New Roman" w:hAnsi="Times New Roman" w:cs="Times New Roman"/>
          <w:sz w:val="24"/>
          <w:szCs w:val="24"/>
        </w:rPr>
        <w:t>.</w:t>
      </w:r>
    </w:p>
    <w:p w14:paraId="1C2F55AC"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r w:rsidRPr="00F6758B">
        <w:rPr>
          <w:rFonts w:ascii="Times New Roman" w:eastAsia="Times New Roman" w:hAnsi="Times New Roman" w:cs="Times New Roman"/>
          <w:sz w:val="24"/>
          <w:szCs w:val="24"/>
        </w:rPr>
        <w:t>Taylor, J., Rangaiah, J., Narasimhan, S., Clark, J., Alexander, Z., Manuel, R. and Balasegaram, S., 2020. Nosocomial COVID-19: experience from a large acute NHS Trust in South-West London. </w:t>
      </w:r>
      <w:r w:rsidRPr="00F6758B">
        <w:rPr>
          <w:rFonts w:ascii="Times New Roman" w:eastAsia="Times New Roman" w:hAnsi="Times New Roman" w:cs="Times New Roman"/>
          <w:i/>
          <w:iCs/>
          <w:sz w:val="24"/>
          <w:szCs w:val="24"/>
        </w:rPr>
        <w:t>Journal of Hospital Infection</w:t>
      </w:r>
      <w:r w:rsidRPr="00F6758B">
        <w:rPr>
          <w:rFonts w:ascii="Times New Roman" w:eastAsia="Times New Roman" w:hAnsi="Times New Roman" w:cs="Times New Roman"/>
          <w:sz w:val="24"/>
          <w:szCs w:val="24"/>
        </w:rPr>
        <w:t>, </w:t>
      </w:r>
      <w:r w:rsidRPr="00F6758B">
        <w:rPr>
          <w:rFonts w:ascii="Times New Roman" w:eastAsia="Times New Roman" w:hAnsi="Times New Roman" w:cs="Times New Roman"/>
          <w:i/>
          <w:iCs/>
          <w:sz w:val="24"/>
          <w:szCs w:val="24"/>
        </w:rPr>
        <w:t>106</w:t>
      </w:r>
      <w:r w:rsidRPr="00F6758B">
        <w:rPr>
          <w:rFonts w:ascii="Times New Roman" w:eastAsia="Times New Roman" w:hAnsi="Times New Roman" w:cs="Times New Roman"/>
          <w:sz w:val="24"/>
          <w:szCs w:val="24"/>
        </w:rPr>
        <w:t>(3), pp.621-625.</w:t>
      </w:r>
    </w:p>
    <w:p w14:paraId="192D3D48" w14:textId="77777777" w:rsidR="00F6758B" w:rsidRPr="00F6758B" w:rsidRDefault="00F6758B" w:rsidP="00F6758B">
      <w:pPr>
        <w:pStyle w:val="Normal1"/>
        <w:spacing w:line="360" w:lineRule="auto"/>
        <w:jc w:val="both"/>
        <w:rPr>
          <w:rFonts w:ascii="Times New Roman" w:eastAsia="Times New Roman" w:hAnsi="Times New Roman" w:cs="Times New Roman"/>
          <w:sz w:val="24"/>
          <w:szCs w:val="24"/>
        </w:rPr>
      </w:pPr>
    </w:p>
    <w:sectPr w:rsidR="00F6758B" w:rsidRPr="00F6758B">
      <w:footerReference w:type="default" r:id="rId1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622853" w14:textId="77777777" w:rsidR="0098097D" w:rsidRDefault="0098097D" w:rsidP="000D14DE">
      <w:pPr>
        <w:spacing w:line="240" w:lineRule="auto"/>
      </w:pPr>
      <w:r>
        <w:separator/>
      </w:r>
    </w:p>
  </w:endnote>
  <w:endnote w:type="continuationSeparator" w:id="0">
    <w:p w14:paraId="6C83AFE8" w14:textId="77777777" w:rsidR="0098097D" w:rsidRDefault="0098097D" w:rsidP="000D14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852624695"/>
      <w:docPartObj>
        <w:docPartGallery w:val="Page Numbers (Bottom of Page)"/>
        <w:docPartUnique/>
      </w:docPartObj>
    </w:sdtPr>
    <w:sdtEndPr>
      <w:rPr>
        <w:noProof/>
      </w:rPr>
    </w:sdtEndPr>
    <w:sdtContent>
      <w:p w14:paraId="68E10EAB" w14:textId="4B15ABB8" w:rsidR="000D14DE" w:rsidRPr="000D14DE" w:rsidRDefault="000D14DE">
        <w:pPr>
          <w:pStyle w:val="Footer"/>
          <w:jc w:val="center"/>
          <w:rPr>
            <w:rFonts w:ascii="Times New Roman" w:hAnsi="Times New Roman" w:cs="Times New Roman"/>
            <w:sz w:val="24"/>
            <w:szCs w:val="24"/>
          </w:rPr>
        </w:pPr>
        <w:r w:rsidRPr="000D14DE">
          <w:rPr>
            <w:rFonts w:ascii="Times New Roman" w:hAnsi="Times New Roman" w:cs="Times New Roman"/>
            <w:sz w:val="24"/>
            <w:szCs w:val="24"/>
          </w:rPr>
          <w:fldChar w:fldCharType="begin"/>
        </w:r>
        <w:r w:rsidRPr="000D14DE">
          <w:rPr>
            <w:rFonts w:ascii="Times New Roman" w:hAnsi="Times New Roman" w:cs="Times New Roman"/>
            <w:sz w:val="24"/>
            <w:szCs w:val="24"/>
          </w:rPr>
          <w:instrText xml:space="preserve"> PAGE   \* MERGEFORMAT </w:instrText>
        </w:r>
        <w:r w:rsidRPr="000D14DE">
          <w:rPr>
            <w:rFonts w:ascii="Times New Roman" w:hAnsi="Times New Roman" w:cs="Times New Roman"/>
            <w:sz w:val="24"/>
            <w:szCs w:val="24"/>
          </w:rPr>
          <w:fldChar w:fldCharType="separate"/>
        </w:r>
        <w:r w:rsidR="004536F0">
          <w:rPr>
            <w:rFonts w:ascii="Times New Roman" w:hAnsi="Times New Roman" w:cs="Times New Roman"/>
            <w:noProof/>
            <w:sz w:val="24"/>
            <w:szCs w:val="24"/>
          </w:rPr>
          <w:t>19</w:t>
        </w:r>
        <w:r w:rsidRPr="000D14DE">
          <w:rPr>
            <w:rFonts w:ascii="Times New Roman" w:hAnsi="Times New Roman" w:cs="Times New Roman"/>
            <w:noProof/>
            <w:sz w:val="24"/>
            <w:szCs w:val="24"/>
          </w:rPr>
          <w:fldChar w:fldCharType="end"/>
        </w:r>
      </w:p>
    </w:sdtContent>
  </w:sdt>
  <w:p w14:paraId="08842907" w14:textId="77777777" w:rsidR="000D14DE" w:rsidRDefault="000D1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B88534" w14:textId="77777777" w:rsidR="0098097D" w:rsidRDefault="0098097D" w:rsidP="000D14DE">
      <w:pPr>
        <w:spacing w:line="240" w:lineRule="auto"/>
      </w:pPr>
      <w:r>
        <w:separator/>
      </w:r>
    </w:p>
  </w:footnote>
  <w:footnote w:type="continuationSeparator" w:id="0">
    <w:p w14:paraId="10BEA7DE" w14:textId="77777777" w:rsidR="0098097D" w:rsidRDefault="0098097D" w:rsidP="000D14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C7F51F"/>
    <w:multiLevelType w:val="hybridMultilevel"/>
    <w:tmpl w:val="00000000"/>
    <w:lvl w:ilvl="0" w:tplc="C5F8728C">
      <w:start w:val="1"/>
      <w:numFmt w:val="bullet"/>
      <w:lvlText w:val="●"/>
      <w:lvlJc w:val="left"/>
      <w:pPr>
        <w:ind w:left="720" w:hanging="360"/>
      </w:pPr>
      <w:rPr>
        <w:u w:val="none"/>
      </w:rPr>
    </w:lvl>
    <w:lvl w:ilvl="1" w:tplc="D2AE1430">
      <w:start w:val="1"/>
      <w:numFmt w:val="bullet"/>
      <w:lvlText w:val="○"/>
      <w:lvlJc w:val="left"/>
      <w:pPr>
        <w:ind w:left="1440" w:hanging="360"/>
      </w:pPr>
      <w:rPr>
        <w:u w:val="none"/>
      </w:rPr>
    </w:lvl>
    <w:lvl w:ilvl="2" w:tplc="DE8EAF6A">
      <w:start w:val="1"/>
      <w:numFmt w:val="bullet"/>
      <w:lvlText w:val="■"/>
      <w:lvlJc w:val="left"/>
      <w:pPr>
        <w:ind w:left="2160" w:hanging="360"/>
      </w:pPr>
      <w:rPr>
        <w:u w:val="none"/>
      </w:rPr>
    </w:lvl>
    <w:lvl w:ilvl="3" w:tplc="0938EF46">
      <w:start w:val="1"/>
      <w:numFmt w:val="bullet"/>
      <w:lvlText w:val="●"/>
      <w:lvlJc w:val="left"/>
      <w:pPr>
        <w:ind w:left="2880" w:hanging="360"/>
      </w:pPr>
      <w:rPr>
        <w:u w:val="none"/>
      </w:rPr>
    </w:lvl>
    <w:lvl w:ilvl="4" w:tplc="F07660CA">
      <w:start w:val="1"/>
      <w:numFmt w:val="bullet"/>
      <w:lvlText w:val="○"/>
      <w:lvlJc w:val="left"/>
      <w:pPr>
        <w:ind w:left="3600" w:hanging="360"/>
      </w:pPr>
      <w:rPr>
        <w:u w:val="none"/>
      </w:rPr>
    </w:lvl>
    <w:lvl w:ilvl="5" w:tplc="9F868488">
      <w:start w:val="1"/>
      <w:numFmt w:val="bullet"/>
      <w:lvlText w:val="■"/>
      <w:lvlJc w:val="left"/>
      <w:pPr>
        <w:ind w:left="4320" w:hanging="360"/>
      </w:pPr>
      <w:rPr>
        <w:u w:val="none"/>
      </w:rPr>
    </w:lvl>
    <w:lvl w:ilvl="6" w:tplc="D8165144">
      <w:start w:val="1"/>
      <w:numFmt w:val="bullet"/>
      <w:lvlText w:val="●"/>
      <w:lvlJc w:val="left"/>
      <w:pPr>
        <w:ind w:left="5040" w:hanging="360"/>
      </w:pPr>
      <w:rPr>
        <w:u w:val="none"/>
      </w:rPr>
    </w:lvl>
    <w:lvl w:ilvl="7" w:tplc="1C5C4E16">
      <w:start w:val="1"/>
      <w:numFmt w:val="bullet"/>
      <w:lvlText w:val="○"/>
      <w:lvlJc w:val="left"/>
      <w:pPr>
        <w:ind w:left="5760" w:hanging="360"/>
      </w:pPr>
      <w:rPr>
        <w:u w:val="none"/>
      </w:rPr>
    </w:lvl>
    <w:lvl w:ilvl="8" w:tplc="FFBC7BC0">
      <w:start w:val="1"/>
      <w:numFmt w:val="bullet"/>
      <w:lvlText w:val="■"/>
      <w:lvlJc w:val="left"/>
      <w:pPr>
        <w:ind w:left="6480" w:hanging="360"/>
      </w:pPr>
      <w:rPr>
        <w:u w:val="none"/>
      </w:rPr>
    </w:lvl>
  </w:abstractNum>
  <w:abstractNum w:abstractNumId="1" w15:restartNumberingAfterBreak="0">
    <w:nsid w:val="2FFD762E"/>
    <w:multiLevelType w:val="hybridMultilevel"/>
    <w:tmpl w:val="00000000"/>
    <w:lvl w:ilvl="0" w:tplc="81BEF376">
      <w:start w:val="1"/>
      <w:numFmt w:val="bullet"/>
      <w:lvlText w:val="●"/>
      <w:lvlJc w:val="left"/>
      <w:pPr>
        <w:ind w:left="720" w:hanging="360"/>
      </w:pPr>
      <w:rPr>
        <w:u w:val="none"/>
      </w:rPr>
    </w:lvl>
    <w:lvl w:ilvl="1" w:tplc="A8649666">
      <w:start w:val="1"/>
      <w:numFmt w:val="bullet"/>
      <w:lvlText w:val="○"/>
      <w:lvlJc w:val="left"/>
      <w:pPr>
        <w:ind w:left="1440" w:hanging="360"/>
      </w:pPr>
      <w:rPr>
        <w:u w:val="none"/>
      </w:rPr>
    </w:lvl>
    <w:lvl w:ilvl="2" w:tplc="2AA205C2">
      <w:start w:val="1"/>
      <w:numFmt w:val="bullet"/>
      <w:lvlText w:val="■"/>
      <w:lvlJc w:val="left"/>
      <w:pPr>
        <w:ind w:left="2160" w:hanging="360"/>
      </w:pPr>
      <w:rPr>
        <w:u w:val="none"/>
      </w:rPr>
    </w:lvl>
    <w:lvl w:ilvl="3" w:tplc="3672246C">
      <w:start w:val="1"/>
      <w:numFmt w:val="bullet"/>
      <w:lvlText w:val="●"/>
      <w:lvlJc w:val="left"/>
      <w:pPr>
        <w:ind w:left="2880" w:hanging="360"/>
      </w:pPr>
      <w:rPr>
        <w:u w:val="none"/>
      </w:rPr>
    </w:lvl>
    <w:lvl w:ilvl="4" w:tplc="BB4E45C0">
      <w:start w:val="1"/>
      <w:numFmt w:val="bullet"/>
      <w:lvlText w:val="○"/>
      <w:lvlJc w:val="left"/>
      <w:pPr>
        <w:ind w:left="3600" w:hanging="360"/>
      </w:pPr>
      <w:rPr>
        <w:u w:val="none"/>
      </w:rPr>
    </w:lvl>
    <w:lvl w:ilvl="5" w:tplc="227AF2B4">
      <w:start w:val="1"/>
      <w:numFmt w:val="bullet"/>
      <w:lvlText w:val="■"/>
      <w:lvlJc w:val="left"/>
      <w:pPr>
        <w:ind w:left="4320" w:hanging="360"/>
      </w:pPr>
      <w:rPr>
        <w:u w:val="none"/>
      </w:rPr>
    </w:lvl>
    <w:lvl w:ilvl="6" w:tplc="9D2C3914">
      <w:start w:val="1"/>
      <w:numFmt w:val="bullet"/>
      <w:lvlText w:val="●"/>
      <w:lvlJc w:val="left"/>
      <w:pPr>
        <w:ind w:left="5040" w:hanging="360"/>
      </w:pPr>
      <w:rPr>
        <w:u w:val="none"/>
      </w:rPr>
    </w:lvl>
    <w:lvl w:ilvl="7" w:tplc="247E5D6E">
      <w:start w:val="1"/>
      <w:numFmt w:val="bullet"/>
      <w:lvlText w:val="○"/>
      <w:lvlJc w:val="left"/>
      <w:pPr>
        <w:ind w:left="5760" w:hanging="360"/>
      </w:pPr>
      <w:rPr>
        <w:u w:val="none"/>
      </w:rPr>
    </w:lvl>
    <w:lvl w:ilvl="8" w:tplc="D87CCB28">
      <w:start w:val="1"/>
      <w:numFmt w:val="bullet"/>
      <w:lvlText w:val="■"/>
      <w:lvlJc w:val="left"/>
      <w:pPr>
        <w:ind w:left="6480" w:hanging="360"/>
      </w:pPr>
      <w:rPr>
        <w:u w:val="none"/>
      </w:rPr>
    </w:lvl>
  </w:abstractNum>
  <w:abstractNum w:abstractNumId="2" w15:restartNumberingAfterBreak="0">
    <w:nsid w:val="36227C0B"/>
    <w:multiLevelType w:val="hybridMultilevel"/>
    <w:tmpl w:val="00000000"/>
    <w:lvl w:ilvl="0" w:tplc="00F89A2C">
      <w:start w:val="1"/>
      <w:numFmt w:val="bullet"/>
      <w:lvlText w:val="●"/>
      <w:lvlJc w:val="left"/>
      <w:pPr>
        <w:ind w:left="720" w:hanging="360"/>
      </w:pPr>
      <w:rPr>
        <w:u w:val="none"/>
      </w:rPr>
    </w:lvl>
    <w:lvl w:ilvl="1" w:tplc="30DE3E54">
      <w:start w:val="1"/>
      <w:numFmt w:val="bullet"/>
      <w:lvlText w:val="○"/>
      <w:lvlJc w:val="left"/>
      <w:pPr>
        <w:ind w:left="1440" w:hanging="360"/>
      </w:pPr>
      <w:rPr>
        <w:u w:val="none"/>
      </w:rPr>
    </w:lvl>
    <w:lvl w:ilvl="2" w:tplc="A3DCCB9C">
      <w:start w:val="1"/>
      <w:numFmt w:val="bullet"/>
      <w:lvlText w:val="■"/>
      <w:lvlJc w:val="left"/>
      <w:pPr>
        <w:ind w:left="2160" w:hanging="360"/>
      </w:pPr>
      <w:rPr>
        <w:u w:val="none"/>
      </w:rPr>
    </w:lvl>
    <w:lvl w:ilvl="3" w:tplc="CD0CBF5E">
      <w:start w:val="1"/>
      <w:numFmt w:val="bullet"/>
      <w:lvlText w:val="●"/>
      <w:lvlJc w:val="left"/>
      <w:pPr>
        <w:ind w:left="2880" w:hanging="360"/>
      </w:pPr>
      <w:rPr>
        <w:u w:val="none"/>
      </w:rPr>
    </w:lvl>
    <w:lvl w:ilvl="4" w:tplc="F7563EF8">
      <w:start w:val="1"/>
      <w:numFmt w:val="bullet"/>
      <w:lvlText w:val="○"/>
      <w:lvlJc w:val="left"/>
      <w:pPr>
        <w:ind w:left="3600" w:hanging="360"/>
      </w:pPr>
      <w:rPr>
        <w:u w:val="none"/>
      </w:rPr>
    </w:lvl>
    <w:lvl w:ilvl="5" w:tplc="25E88214">
      <w:start w:val="1"/>
      <w:numFmt w:val="bullet"/>
      <w:lvlText w:val="■"/>
      <w:lvlJc w:val="left"/>
      <w:pPr>
        <w:ind w:left="4320" w:hanging="360"/>
      </w:pPr>
      <w:rPr>
        <w:u w:val="none"/>
      </w:rPr>
    </w:lvl>
    <w:lvl w:ilvl="6" w:tplc="9E3273DE">
      <w:start w:val="1"/>
      <w:numFmt w:val="bullet"/>
      <w:lvlText w:val="●"/>
      <w:lvlJc w:val="left"/>
      <w:pPr>
        <w:ind w:left="5040" w:hanging="360"/>
      </w:pPr>
      <w:rPr>
        <w:u w:val="none"/>
      </w:rPr>
    </w:lvl>
    <w:lvl w:ilvl="7" w:tplc="79D8EC32">
      <w:start w:val="1"/>
      <w:numFmt w:val="bullet"/>
      <w:lvlText w:val="○"/>
      <w:lvlJc w:val="left"/>
      <w:pPr>
        <w:ind w:left="5760" w:hanging="360"/>
      </w:pPr>
      <w:rPr>
        <w:u w:val="none"/>
      </w:rPr>
    </w:lvl>
    <w:lvl w:ilvl="8" w:tplc="CFFCA8E6">
      <w:start w:val="1"/>
      <w:numFmt w:val="bullet"/>
      <w:lvlText w:val="■"/>
      <w:lvlJc w:val="left"/>
      <w:pPr>
        <w:ind w:left="6480" w:hanging="360"/>
      </w:pPr>
      <w:rPr>
        <w:u w:val="none"/>
      </w:rPr>
    </w:lvl>
  </w:abstractNum>
  <w:abstractNum w:abstractNumId="3" w15:restartNumberingAfterBreak="0">
    <w:nsid w:val="58EDF20D"/>
    <w:multiLevelType w:val="hybridMultilevel"/>
    <w:tmpl w:val="00000000"/>
    <w:lvl w:ilvl="0" w:tplc="682A7C18">
      <w:start w:val="1"/>
      <w:numFmt w:val="decimal"/>
      <w:lvlText w:val="%1."/>
      <w:lvlJc w:val="left"/>
      <w:pPr>
        <w:ind w:left="720" w:hanging="360"/>
      </w:pPr>
      <w:rPr>
        <w:u w:val="none"/>
      </w:rPr>
    </w:lvl>
    <w:lvl w:ilvl="1" w:tplc="114035CA">
      <w:start w:val="1"/>
      <w:numFmt w:val="bullet"/>
      <w:lvlText w:val="○"/>
      <w:lvlJc w:val="left"/>
      <w:pPr>
        <w:ind w:left="1440" w:hanging="360"/>
      </w:pPr>
      <w:rPr>
        <w:u w:val="none"/>
      </w:rPr>
    </w:lvl>
    <w:lvl w:ilvl="2" w:tplc="00DE9D6E">
      <w:start w:val="1"/>
      <w:numFmt w:val="bullet"/>
      <w:lvlText w:val="■"/>
      <w:lvlJc w:val="left"/>
      <w:pPr>
        <w:ind w:left="2160" w:hanging="360"/>
      </w:pPr>
      <w:rPr>
        <w:u w:val="none"/>
      </w:rPr>
    </w:lvl>
    <w:lvl w:ilvl="3" w:tplc="338E3B16">
      <w:start w:val="1"/>
      <w:numFmt w:val="bullet"/>
      <w:lvlText w:val="●"/>
      <w:lvlJc w:val="left"/>
      <w:pPr>
        <w:ind w:left="2880" w:hanging="360"/>
      </w:pPr>
      <w:rPr>
        <w:u w:val="none"/>
      </w:rPr>
    </w:lvl>
    <w:lvl w:ilvl="4" w:tplc="19FE9206">
      <w:start w:val="1"/>
      <w:numFmt w:val="bullet"/>
      <w:lvlText w:val="○"/>
      <w:lvlJc w:val="left"/>
      <w:pPr>
        <w:ind w:left="3600" w:hanging="360"/>
      </w:pPr>
      <w:rPr>
        <w:u w:val="none"/>
      </w:rPr>
    </w:lvl>
    <w:lvl w:ilvl="5" w:tplc="76AC418C">
      <w:start w:val="1"/>
      <w:numFmt w:val="bullet"/>
      <w:lvlText w:val="■"/>
      <w:lvlJc w:val="left"/>
      <w:pPr>
        <w:ind w:left="4320" w:hanging="360"/>
      </w:pPr>
      <w:rPr>
        <w:u w:val="none"/>
      </w:rPr>
    </w:lvl>
    <w:lvl w:ilvl="6" w:tplc="0BB477E0">
      <w:start w:val="1"/>
      <w:numFmt w:val="bullet"/>
      <w:lvlText w:val="●"/>
      <w:lvlJc w:val="left"/>
      <w:pPr>
        <w:ind w:left="5040" w:hanging="360"/>
      </w:pPr>
      <w:rPr>
        <w:u w:val="none"/>
      </w:rPr>
    </w:lvl>
    <w:lvl w:ilvl="7" w:tplc="5C50D450">
      <w:start w:val="1"/>
      <w:numFmt w:val="bullet"/>
      <w:lvlText w:val="○"/>
      <w:lvlJc w:val="left"/>
      <w:pPr>
        <w:ind w:left="5760" w:hanging="360"/>
      </w:pPr>
      <w:rPr>
        <w:u w:val="none"/>
      </w:rPr>
    </w:lvl>
    <w:lvl w:ilvl="8" w:tplc="B95A2A02">
      <w:start w:val="1"/>
      <w:numFmt w:val="bullet"/>
      <w:lvlText w:val="■"/>
      <w:lvlJc w:val="left"/>
      <w:pPr>
        <w:ind w:left="6480" w:hanging="360"/>
      </w:pPr>
      <w:rPr>
        <w:u w:val="none"/>
      </w:rPr>
    </w:lvl>
  </w:abstractNum>
  <w:abstractNum w:abstractNumId="4" w15:restartNumberingAfterBreak="0">
    <w:nsid w:val="70697920"/>
    <w:multiLevelType w:val="hybridMultilevel"/>
    <w:tmpl w:val="00000000"/>
    <w:lvl w:ilvl="0" w:tplc="3C48F73C">
      <w:start w:val="1"/>
      <w:numFmt w:val="decimal"/>
      <w:lvlText w:val="%1."/>
      <w:lvlJc w:val="left"/>
      <w:pPr>
        <w:ind w:left="720" w:hanging="360"/>
      </w:pPr>
      <w:rPr>
        <w:u w:val="none"/>
      </w:rPr>
    </w:lvl>
    <w:lvl w:ilvl="1" w:tplc="7B804386">
      <w:start w:val="1"/>
      <w:numFmt w:val="lowerLetter"/>
      <w:lvlText w:val="%2."/>
      <w:lvlJc w:val="left"/>
      <w:pPr>
        <w:ind w:left="1440" w:hanging="360"/>
      </w:pPr>
      <w:rPr>
        <w:u w:val="none"/>
      </w:rPr>
    </w:lvl>
    <w:lvl w:ilvl="2" w:tplc="DEF291AC">
      <w:start w:val="1"/>
      <w:numFmt w:val="lowerRoman"/>
      <w:lvlText w:val="%3."/>
      <w:lvlJc w:val="right"/>
      <w:pPr>
        <w:ind w:left="2160" w:hanging="360"/>
      </w:pPr>
      <w:rPr>
        <w:u w:val="none"/>
      </w:rPr>
    </w:lvl>
    <w:lvl w:ilvl="3" w:tplc="1234C2FA">
      <w:start w:val="1"/>
      <w:numFmt w:val="decimal"/>
      <w:lvlText w:val="%4."/>
      <w:lvlJc w:val="left"/>
      <w:pPr>
        <w:ind w:left="2880" w:hanging="360"/>
      </w:pPr>
      <w:rPr>
        <w:u w:val="none"/>
      </w:rPr>
    </w:lvl>
    <w:lvl w:ilvl="4" w:tplc="8AA8E5EC">
      <w:start w:val="1"/>
      <w:numFmt w:val="lowerLetter"/>
      <w:lvlText w:val="%5."/>
      <w:lvlJc w:val="left"/>
      <w:pPr>
        <w:ind w:left="3600" w:hanging="360"/>
      </w:pPr>
      <w:rPr>
        <w:u w:val="none"/>
      </w:rPr>
    </w:lvl>
    <w:lvl w:ilvl="5" w:tplc="55006E76">
      <w:start w:val="1"/>
      <w:numFmt w:val="lowerRoman"/>
      <w:lvlText w:val="%6."/>
      <w:lvlJc w:val="right"/>
      <w:pPr>
        <w:ind w:left="4320" w:hanging="360"/>
      </w:pPr>
      <w:rPr>
        <w:u w:val="none"/>
      </w:rPr>
    </w:lvl>
    <w:lvl w:ilvl="6" w:tplc="2FD8C440">
      <w:start w:val="1"/>
      <w:numFmt w:val="decimal"/>
      <w:lvlText w:val="%7."/>
      <w:lvlJc w:val="left"/>
      <w:pPr>
        <w:ind w:left="5040" w:hanging="360"/>
      </w:pPr>
      <w:rPr>
        <w:u w:val="none"/>
      </w:rPr>
    </w:lvl>
    <w:lvl w:ilvl="7" w:tplc="58007D7C">
      <w:start w:val="1"/>
      <w:numFmt w:val="lowerLetter"/>
      <w:lvlText w:val="%8."/>
      <w:lvlJc w:val="left"/>
      <w:pPr>
        <w:ind w:left="5760" w:hanging="360"/>
      </w:pPr>
      <w:rPr>
        <w:u w:val="none"/>
      </w:rPr>
    </w:lvl>
    <w:lvl w:ilvl="8" w:tplc="7C1A9364">
      <w:start w:val="1"/>
      <w:numFmt w:val="lowerRoman"/>
      <w:lvlText w:val="%9."/>
      <w:lvlJc w:val="right"/>
      <w:pPr>
        <w:ind w:left="6480" w:hanging="360"/>
      </w:pPr>
      <w:rPr>
        <w:u w:val="none"/>
      </w:rPr>
    </w:lvl>
  </w:abstractNum>
  <w:abstractNum w:abstractNumId="5" w15:restartNumberingAfterBreak="0">
    <w:nsid w:val="76F913E9"/>
    <w:multiLevelType w:val="hybridMultilevel"/>
    <w:tmpl w:val="00000000"/>
    <w:lvl w:ilvl="0" w:tplc="3FE6B1E8">
      <w:start w:val="1"/>
      <w:numFmt w:val="bullet"/>
      <w:lvlText w:val="●"/>
      <w:lvlJc w:val="left"/>
      <w:pPr>
        <w:ind w:left="720" w:hanging="360"/>
      </w:pPr>
      <w:rPr>
        <w:u w:val="none"/>
      </w:rPr>
    </w:lvl>
    <w:lvl w:ilvl="1" w:tplc="9874494C">
      <w:start w:val="1"/>
      <w:numFmt w:val="bullet"/>
      <w:lvlText w:val="○"/>
      <w:lvlJc w:val="left"/>
      <w:pPr>
        <w:ind w:left="1440" w:hanging="360"/>
      </w:pPr>
      <w:rPr>
        <w:u w:val="none"/>
      </w:rPr>
    </w:lvl>
    <w:lvl w:ilvl="2" w:tplc="6A5E1A14">
      <w:start w:val="1"/>
      <w:numFmt w:val="bullet"/>
      <w:lvlText w:val="■"/>
      <w:lvlJc w:val="left"/>
      <w:pPr>
        <w:ind w:left="2160" w:hanging="360"/>
      </w:pPr>
      <w:rPr>
        <w:u w:val="none"/>
      </w:rPr>
    </w:lvl>
    <w:lvl w:ilvl="3" w:tplc="E9FAD68C">
      <w:start w:val="1"/>
      <w:numFmt w:val="bullet"/>
      <w:lvlText w:val="●"/>
      <w:lvlJc w:val="left"/>
      <w:pPr>
        <w:ind w:left="2880" w:hanging="360"/>
      </w:pPr>
      <w:rPr>
        <w:u w:val="none"/>
      </w:rPr>
    </w:lvl>
    <w:lvl w:ilvl="4" w:tplc="3EFE27BE">
      <w:start w:val="1"/>
      <w:numFmt w:val="bullet"/>
      <w:lvlText w:val="○"/>
      <w:lvlJc w:val="left"/>
      <w:pPr>
        <w:ind w:left="3600" w:hanging="360"/>
      </w:pPr>
      <w:rPr>
        <w:u w:val="none"/>
      </w:rPr>
    </w:lvl>
    <w:lvl w:ilvl="5" w:tplc="FD8A5764">
      <w:start w:val="1"/>
      <w:numFmt w:val="bullet"/>
      <w:lvlText w:val="■"/>
      <w:lvlJc w:val="left"/>
      <w:pPr>
        <w:ind w:left="4320" w:hanging="360"/>
      </w:pPr>
      <w:rPr>
        <w:u w:val="none"/>
      </w:rPr>
    </w:lvl>
    <w:lvl w:ilvl="6" w:tplc="029C5D7A">
      <w:start w:val="1"/>
      <w:numFmt w:val="bullet"/>
      <w:lvlText w:val="●"/>
      <w:lvlJc w:val="left"/>
      <w:pPr>
        <w:ind w:left="5040" w:hanging="360"/>
      </w:pPr>
      <w:rPr>
        <w:u w:val="none"/>
      </w:rPr>
    </w:lvl>
    <w:lvl w:ilvl="7" w:tplc="A58A40CE">
      <w:start w:val="1"/>
      <w:numFmt w:val="bullet"/>
      <w:lvlText w:val="○"/>
      <w:lvlJc w:val="left"/>
      <w:pPr>
        <w:ind w:left="5760" w:hanging="360"/>
      </w:pPr>
      <w:rPr>
        <w:u w:val="none"/>
      </w:rPr>
    </w:lvl>
    <w:lvl w:ilvl="8" w:tplc="888498B6">
      <w:start w:val="1"/>
      <w:numFmt w:val="bullet"/>
      <w:lvlText w:val="■"/>
      <w:lvlJc w:val="left"/>
      <w:pPr>
        <w:ind w:left="6480" w:hanging="360"/>
      </w:pPr>
      <w:rPr>
        <w:u w:val="none"/>
      </w:rPr>
    </w:lvl>
  </w:abstractNum>
  <w:num w:numId="1" w16cid:durableId="302003017">
    <w:abstractNumId w:val="4"/>
  </w:num>
  <w:num w:numId="2" w16cid:durableId="1197040038">
    <w:abstractNumId w:val="3"/>
  </w:num>
  <w:num w:numId="3" w16cid:durableId="1801802312">
    <w:abstractNumId w:val="5"/>
  </w:num>
  <w:num w:numId="4" w16cid:durableId="1337269254">
    <w:abstractNumId w:val="1"/>
  </w:num>
  <w:num w:numId="5" w16cid:durableId="1384401733">
    <w:abstractNumId w:val="2"/>
  </w:num>
  <w:num w:numId="6" w16cid:durableId="34452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71E"/>
    <w:rsid w:val="00017870"/>
    <w:rsid w:val="000C2B44"/>
    <w:rsid w:val="000D14DE"/>
    <w:rsid w:val="0026771E"/>
    <w:rsid w:val="00320615"/>
    <w:rsid w:val="00342F48"/>
    <w:rsid w:val="004536F0"/>
    <w:rsid w:val="00470595"/>
    <w:rsid w:val="005D1381"/>
    <w:rsid w:val="006F6656"/>
    <w:rsid w:val="0098097D"/>
    <w:rsid w:val="00B772AD"/>
    <w:rsid w:val="00BF16C4"/>
    <w:rsid w:val="00C76926"/>
    <w:rsid w:val="00CA616B"/>
    <w:rsid w:val="00CD5032"/>
    <w:rsid w:val="00EA21CE"/>
    <w:rsid w:val="00EC268A"/>
    <w:rsid w:val="00F6758B"/>
    <w:rsid w:val="00FF781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E9894"/>
  <w15:docId w15:val="{2B00829F-2920-47EF-9E0B-F13AB6E95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qFormat/>
    <w:pPr>
      <w:keepNext/>
      <w:keepLines/>
      <w:spacing w:before="400" w:after="120"/>
      <w:outlineLvl w:val="0"/>
    </w:pPr>
    <w:rPr>
      <w:sz w:val="40"/>
      <w:szCs w:val="40"/>
    </w:rPr>
  </w:style>
  <w:style w:type="paragraph" w:styleId="Heading2">
    <w:name w:val="heading 2"/>
    <w:basedOn w:val="Normal1"/>
    <w:next w:val="Normal1"/>
    <w:qFormat/>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F6758B"/>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F6758B"/>
    <w:pPr>
      <w:spacing w:after="100"/>
    </w:pPr>
  </w:style>
  <w:style w:type="paragraph" w:styleId="TOC2">
    <w:name w:val="toc 2"/>
    <w:basedOn w:val="Normal"/>
    <w:next w:val="Normal"/>
    <w:autoRedefine/>
    <w:uiPriority w:val="39"/>
    <w:unhideWhenUsed/>
    <w:rsid w:val="00F6758B"/>
    <w:pPr>
      <w:spacing w:after="100"/>
      <w:ind w:left="220"/>
    </w:pPr>
  </w:style>
  <w:style w:type="character" w:styleId="Hyperlink">
    <w:name w:val="Hyperlink"/>
    <w:basedOn w:val="DefaultParagraphFont"/>
    <w:uiPriority w:val="99"/>
    <w:unhideWhenUsed/>
    <w:rsid w:val="00F6758B"/>
    <w:rPr>
      <w:color w:val="0000FF" w:themeColor="hyperlink"/>
      <w:u w:val="single"/>
    </w:rPr>
  </w:style>
  <w:style w:type="paragraph" w:styleId="Header">
    <w:name w:val="header"/>
    <w:basedOn w:val="Normal"/>
    <w:link w:val="HeaderChar"/>
    <w:uiPriority w:val="99"/>
    <w:unhideWhenUsed/>
    <w:rsid w:val="000D14DE"/>
    <w:pPr>
      <w:tabs>
        <w:tab w:val="center" w:pos="4680"/>
        <w:tab w:val="right" w:pos="9360"/>
      </w:tabs>
      <w:spacing w:line="240" w:lineRule="auto"/>
    </w:pPr>
  </w:style>
  <w:style w:type="character" w:customStyle="1" w:styleId="HeaderChar">
    <w:name w:val="Header Char"/>
    <w:basedOn w:val="DefaultParagraphFont"/>
    <w:link w:val="Header"/>
    <w:uiPriority w:val="99"/>
    <w:rsid w:val="000D14DE"/>
  </w:style>
  <w:style w:type="paragraph" w:styleId="Footer">
    <w:name w:val="footer"/>
    <w:basedOn w:val="Normal"/>
    <w:link w:val="FooterChar"/>
    <w:uiPriority w:val="99"/>
    <w:unhideWhenUsed/>
    <w:rsid w:val="000D14DE"/>
    <w:pPr>
      <w:tabs>
        <w:tab w:val="center" w:pos="4680"/>
        <w:tab w:val="right" w:pos="9360"/>
      </w:tabs>
      <w:spacing w:line="240" w:lineRule="auto"/>
    </w:pPr>
  </w:style>
  <w:style w:type="character" w:customStyle="1" w:styleId="FooterChar">
    <w:name w:val="Footer Char"/>
    <w:basedOn w:val="DefaultParagraphFont"/>
    <w:link w:val="Footer"/>
    <w:uiPriority w:val="99"/>
    <w:rsid w:val="000D1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25FB5-F42B-404D-AEA7-FEF7A9560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3309</Words>
  <Characters>18863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Shreyash Shingala</cp:lastModifiedBy>
  <cp:revision>2</cp:revision>
  <dcterms:created xsi:type="dcterms:W3CDTF">2024-07-29T09:43:00Z</dcterms:created>
  <dcterms:modified xsi:type="dcterms:W3CDTF">2024-07-29T09:43:00Z</dcterms:modified>
</cp:coreProperties>
</file>