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2230E3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2505">
              <w:rPr>
                <w:rFonts w:ascii="Times New Roman" w:hAnsi="Times New Roman" w:cs="Times New Roman"/>
                <w:b/>
                <w:color w:val="auto"/>
                <w:sz w:val="48"/>
              </w:rPr>
              <w:t xml:space="preserve">Carla Newell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EB3F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2505">
              <w:rPr>
                <w:rFonts w:ascii="Times New Roman" w:hAnsi="Times New Roman" w:cs="Times New Roman"/>
                <w:b/>
                <w:color w:val="auto"/>
                <w:sz w:val="48"/>
              </w:rPr>
              <w:t xml:space="preserve"> </w:t>
            </w:r>
            <w:r w:rsidR="00793898">
              <w:rPr>
                <w:rFonts w:ascii="Times New Roman" w:hAnsi="Times New Roman" w:cs="Times New Roman"/>
                <w:b/>
                <w:color w:val="auto"/>
                <w:sz w:val="48"/>
              </w:rPr>
              <w:t>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98D3747" w14:textId="77777777" w:rsidR="007A0DF2" w:rsidRDefault="0085230E" w:rsidP="007A0DF2">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A0DF2">
              <w:rPr>
                <w:rFonts w:ascii="Times New Roman" w:hAnsi="Times New Roman" w:cs="Times New Roman"/>
                <w:b/>
                <w:color w:val="auto"/>
                <w:sz w:val="48"/>
              </w:rPr>
              <w:t xml:space="preserve"> </w:t>
            </w:r>
          </w:p>
          <w:p w14:paraId="112C0E4E" w14:textId="6B6F57EE" w:rsidR="007A0DF2" w:rsidRPr="005D3F07" w:rsidRDefault="007A0DF2" w:rsidP="007A0DF2">
            <w:pPr>
              <w:ind w:right="-957"/>
              <w:rPr>
                <w:rFonts w:ascii="Times New Roman" w:hAnsi="Times New Roman" w:cs="Times New Roman"/>
                <w:b/>
                <w:sz w:val="48"/>
              </w:rPr>
            </w:pPr>
            <w:r>
              <w:rPr>
                <w:rFonts w:ascii="Times New Roman" w:hAnsi="Times New Roman" w:cs="Times New Roman"/>
                <w:b/>
                <w:sz w:val="48"/>
              </w:rPr>
              <w:t>2245362</w:t>
            </w:r>
          </w:p>
          <w:p w14:paraId="25611B1A" w14:textId="77777777" w:rsidR="007A0DF2" w:rsidRDefault="007A0DF2" w:rsidP="005D3F07">
            <w:pPr>
              <w:overflowPunct/>
              <w:autoSpaceDE/>
              <w:autoSpaceDN/>
              <w:adjustRightInd/>
              <w:ind w:right="-957"/>
              <w:textAlignment w:val="auto"/>
              <w:rPr>
                <w:rFonts w:ascii="Times New Roman" w:hAnsi="Times New Roman" w:cs="Times New Roman"/>
                <w:b/>
                <w:color w:val="auto"/>
                <w:sz w:val="48"/>
              </w:rPr>
            </w:pPr>
          </w:p>
          <w:p w14:paraId="5F84129B" w14:textId="51C8F4B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21D0BC94" w14:textId="77777777" w:rsidR="00FD5A12" w:rsidRPr="006D5502" w:rsidRDefault="00FD5A12" w:rsidP="006D5502">
            <w:pPr>
              <w:spacing w:line="360" w:lineRule="auto"/>
              <w:jc w:val="both"/>
              <w:rPr>
                <w:sz w:val="24"/>
                <w:szCs w:val="24"/>
              </w:rPr>
            </w:pPr>
            <w:r w:rsidRPr="006D5502">
              <w:rPr>
                <w:sz w:val="24"/>
                <w:szCs w:val="24"/>
              </w:rPr>
              <w:t>This case study critically reflects on an assessment I completed with an elderly person, enabling me to develop my knowledge as a social worker supporting adults aged sixty-five and over. The focus is on identifying safeguarding concerns and the practice responses required. The case highlights safeguarding issues that entail statutory duties under the Social Services and Well-being (Wales) Act 2014 (SSWBA, 2014), that requires professionals to protect adults at risk of harm, neglect, or abuse (Welsh Government, 2014). Safeguarding is complex and relies on multi-agency collaboration to ensure effective responses and draw on the expertise of different professionals (Laming, 2009).</w:t>
            </w:r>
          </w:p>
          <w:p w14:paraId="5FDF3781" w14:textId="77777777" w:rsidR="00FD5A12" w:rsidRPr="006D5502" w:rsidRDefault="00FD5A12" w:rsidP="006D5502">
            <w:pPr>
              <w:spacing w:after="200" w:line="360" w:lineRule="auto"/>
              <w:jc w:val="both"/>
              <w:rPr>
                <w:sz w:val="24"/>
                <w:szCs w:val="24"/>
                <w:lang w:val="en-US"/>
              </w:rPr>
            </w:pPr>
            <w:r w:rsidRPr="006D5502">
              <w:rPr>
                <w:sz w:val="24"/>
                <w:szCs w:val="24"/>
              </w:rPr>
              <w:t xml:space="preserve">Ms. 1 is a 69-year-old White British woman who lives with her long-term partner, referred to as Mr. 2. She has no children but owns pets and horses. In 2013, Ms.1 sustained a serious back injury and has been unable to drive since, relying on Mr. 2 for transport and all care and support. As her main carer, Mr. 2 referred her to the Single Point of Access (SPOA) requesting an Occupational Therapy Team (OTT) assessment for equipment and support to maintain his caring role. Under the SSWBA 2014, individuals who appear to need care and support have </w:t>
            </w:r>
            <w:r w:rsidRPr="006D5502">
              <w:rPr>
                <w:sz w:val="24"/>
                <w:szCs w:val="24"/>
              </w:rPr>
              <w:lastRenderedPageBreak/>
              <w:t>the right to request assessments from their Local Authority (LA) (Welsh Government, 2014). Assessment can include an occupational therapy assessment to identify a person’s needs and personal circumstances and outcomes (The care and support (Assessment) (Wales) Regulations, 2015).</w:t>
            </w:r>
          </w:p>
          <w:p w14:paraId="1161437B" w14:textId="77777777" w:rsidR="00FD5A12" w:rsidRPr="006D5502" w:rsidRDefault="00FD5A12" w:rsidP="006D5502">
            <w:pPr>
              <w:spacing w:after="200" w:line="360" w:lineRule="auto"/>
              <w:jc w:val="both"/>
              <w:rPr>
                <w:sz w:val="24"/>
                <w:szCs w:val="24"/>
              </w:rPr>
            </w:pPr>
            <w:r w:rsidRPr="006D5502">
              <w:rPr>
                <w:sz w:val="24"/>
                <w:szCs w:val="24"/>
              </w:rPr>
              <w:t>When Ms. 1 was referred to OTT she was allocated to an Occupational Therapist (OT) who went to visit Ms. 1 and Mr. 2 to complete the required assessments. When completing the visit concerns was raised regarding Ms.1’s well-being, decision making abilities and health. In line with the SSWBA (2014), Professionals have a duty to assess an individual’s care needs and ensure that safeguarding procedures are followed were needed (Welsh Government, 2014). In this case the concerns from the OT were voiced to Ms.1’s General Practitioner (GP) for a medical review to be completed, a further referral was also made to the LA’s Complex Case Meetings (CCM’s) for a multidisciplinary discussion about Ms.1 to discuss risks and potential interventions.</w:t>
            </w:r>
          </w:p>
          <w:p w14:paraId="5B668393" w14:textId="77777777" w:rsidR="00FD5A12" w:rsidRPr="006D5502" w:rsidRDefault="00FD5A12" w:rsidP="006D5502">
            <w:pPr>
              <w:spacing w:after="200" w:line="360" w:lineRule="auto"/>
              <w:jc w:val="both"/>
              <w:rPr>
                <w:sz w:val="24"/>
                <w:szCs w:val="24"/>
              </w:rPr>
            </w:pPr>
            <w:r w:rsidRPr="006D5502">
              <w:rPr>
                <w:sz w:val="24"/>
                <w:szCs w:val="24"/>
              </w:rPr>
              <w:t>The OT raised concerns about Ms.1’s mental capacity, professionals are directed using the Mental Capacity Act 2005 (MCA 2005), this act enables decisions to be made in a person’s best interests if they are considered by a professional to lack capacity to consent. Referrals can be made to specialist teams to ensure that comprehensive assessments of a person’s care and support needs are completed (Welsh Government, 2015). The OT made a referral to the 65 plus team for further assessments to be undertaken, in line with the statutory frameworks ensuring that the referral was legally compliant and made to ensure the safety, rights and well-being of Ms.1. Mr. 2 was providing all care for Ms.1 however, he did not hold Lasting Power of Attorney for her Ms.1’s health or welfare. Under the MCA 2005, a partner or family member cannot make decisions for an adult who has been</w:t>
            </w:r>
          </w:p>
          <w:p w14:paraId="06D27998" w14:textId="77777777" w:rsidR="00FD5A12" w:rsidRPr="006D5502" w:rsidRDefault="00FD5A12" w:rsidP="006D5502">
            <w:pPr>
              <w:spacing w:after="200" w:line="360" w:lineRule="auto"/>
              <w:jc w:val="both"/>
              <w:rPr>
                <w:sz w:val="24"/>
                <w:szCs w:val="24"/>
              </w:rPr>
            </w:pPr>
            <w:r w:rsidRPr="006D5502">
              <w:rPr>
                <w:sz w:val="24"/>
                <w:szCs w:val="24"/>
              </w:rPr>
              <w:t>considered to lack capacity and therefore decisions must be made by professionals acting in the persons best interests (House of Lords, 2014).</w:t>
            </w:r>
          </w:p>
          <w:p w14:paraId="538F71DE" w14:textId="77777777" w:rsidR="00FD5A12" w:rsidRPr="006D5502" w:rsidRDefault="00FD5A12" w:rsidP="006D5502">
            <w:pPr>
              <w:spacing w:line="360" w:lineRule="auto"/>
              <w:jc w:val="both"/>
              <w:rPr>
                <w:sz w:val="24"/>
                <w:szCs w:val="24"/>
              </w:rPr>
            </w:pPr>
          </w:p>
          <w:p w14:paraId="41102D96" w14:textId="77777777" w:rsidR="00FD5A12" w:rsidRPr="006D5502" w:rsidRDefault="00FD5A12" w:rsidP="006D5502">
            <w:pPr>
              <w:spacing w:line="360" w:lineRule="auto"/>
              <w:jc w:val="both"/>
              <w:rPr>
                <w:sz w:val="24"/>
                <w:szCs w:val="24"/>
              </w:rPr>
            </w:pPr>
            <w:r w:rsidRPr="006D5502">
              <w:rPr>
                <w:sz w:val="24"/>
                <w:szCs w:val="24"/>
              </w:rPr>
              <w:t xml:space="preserve">I was then allocated to Ms.1, I reviewed her case notes to familiarise myself with her history and ongoing work. I then contacted Mr.2 by phone, introduced myself, and explained the referral for Ms.1’s care and support assessment. Mr.2 confirmed his awareness of the referral </w:t>
            </w:r>
            <w:r w:rsidRPr="006D5502">
              <w:rPr>
                <w:sz w:val="24"/>
                <w:szCs w:val="24"/>
              </w:rPr>
              <w:lastRenderedPageBreak/>
              <w:t>and stated he is Ms.1’s sole carer and noted her history of alcoholism and current mobility issues, which prompted discussions about additional support. I arranged a joint visit to complete my assessment. During the call, I asked whether Welsh language services were required, Mr.2 declined the service in Welsh for them both. In Wales, social workers must make the ‘Active Offer,’ ensuring individuals are asked if they wish to receive services in Welsh, under the Welsh Language (Wales) Measure 2011 and guidance from More than Just Words (Welsh Government, 2022).</w:t>
            </w:r>
          </w:p>
          <w:p w14:paraId="24B1A876" w14:textId="77777777" w:rsidR="00FD5A12" w:rsidRPr="006D5502" w:rsidRDefault="00FD5A12" w:rsidP="006D5502">
            <w:pPr>
              <w:spacing w:line="360" w:lineRule="auto"/>
              <w:jc w:val="both"/>
              <w:rPr>
                <w:sz w:val="24"/>
                <w:szCs w:val="24"/>
              </w:rPr>
            </w:pPr>
          </w:p>
          <w:p w14:paraId="4E988FF5" w14:textId="77777777" w:rsidR="00FD5A12" w:rsidRPr="006D5502" w:rsidRDefault="00FD5A12" w:rsidP="006D5502">
            <w:pPr>
              <w:spacing w:line="360" w:lineRule="auto"/>
              <w:jc w:val="both"/>
              <w:rPr>
                <w:sz w:val="24"/>
                <w:szCs w:val="24"/>
              </w:rPr>
            </w:pPr>
            <w:r w:rsidRPr="006D5502">
              <w:rPr>
                <w:sz w:val="24"/>
                <w:szCs w:val="24"/>
              </w:rPr>
              <w:t>A suitable date and time were discussed for me to visit Ms.1 and Mr. 2, which was jointly arranged with the GP to attend with me. It was discussed between professionals that having a joint visit with the GP would be useful to professionals and Ms.1. Completing visits with GP’s can be beneficial to allow for professionals to share information and knowledge directly for improved outcomes and effective interprofessional teamwork (</w:t>
            </w:r>
            <w:proofErr w:type="spellStart"/>
            <w:r w:rsidRPr="006D5502">
              <w:rPr>
                <w:sz w:val="24"/>
                <w:szCs w:val="24"/>
              </w:rPr>
              <w:t>Nanacarrow</w:t>
            </w:r>
            <w:proofErr w:type="spellEnd"/>
            <w:r w:rsidRPr="006D5502">
              <w:rPr>
                <w:sz w:val="24"/>
                <w:szCs w:val="24"/>
              </w:rPr>
              <w:t xml:space="preserve"> et al., 2013).</w:t>
            </w:r>
          </w:p>
          <w:p w14:paraId="4DD782B8" w14:textId="77777777" w:rsidR="00FD5A12" w:rsidRPr="006D5502" w:rsidRDefault="00FD5A12" w:rsidP="006D5502">
            <w:pPr>
              <w:spacing w:line="360" w:lineRule="auto"/>
              <w:jc w:val="both"/>
              <w:rPr>
                <w:sz w:val="24"/>
                <w:szCs w:val="24"/>
              </w:rPr>
            </w:pPr>
            <w:r w:rsidRPr="006D5502">
              <w:rPr>
                <w:sz w:val="24"/>
                <w:szCs w:val="24"/>
              </w:rPr>
              <w:t xml:space="preserve">The joint visit was completed with the GP. When meeting Ms.1, it was clear she was unable to mobilise, respond, or communicate effectively with us. She was experiencing hallucinations that raised immediate concerns for her health and wellbeing (NICE, 2022). The GP explained that Ms.1 required hospital admission and advised she would contact the hospital to arrange admission and request an ambulance for transport. </w:t>
            </w:r>
          </w:p>
          <w:p w14:paraId="5FBEA914" w14:textId="77777777" w:rsidR="00FD5A12" w:rsidRPr="006D5502" w:rsidRDefault="00FD5A12" w:rsidP="006D5502">
            <w:pPr>
              <w:spacing w:line="360" w:lineRule="auto"/>
              <w:jc w:val="both"/>
              <w:rPr>
                <w:sz w:val="24"/>
                <w:szCs w:val="24"/>
              </w:rPr>
            </w:pPr>
            <w:r w:rsidRPr="006D5502">
              <w:rPr>
                <w:sz w:val="24"/>
                <w:szCs w:val="24"/>
              </w:rPr>
              <w:t>Ms.1 was observed during the visit to be unkempt, with OT reports confirming she had no access to bathing facilities due to being unable to walk downstairs, raising concerns about unmet hygiene needs and infection risk (Welsh Government, 2014). The GP completed an MCA assessment under the MCA 2005 and determined that Ms.1 lacked capacity regarding her care, support, and hospital admission. It was agreed, in her best interests, that she should be admitted for treatment.</w:t>
            </w:r>
          </w:p>
          <w:p w14:paraId="3069551C" w14:textId="77777777" w:rsidR="00FD5A12" w:rsidRPr="006D5502" w:rsidRDefault="00FD5A12" w:rsidP="006D5502">
            <w:pPr>
              <w:spacing w:after="200" w:line="360" w:lineRule="auto"/>
              <w:jc w:val="both"/>
              <w:rPr>
                <w:sz w:val="24"/>
                <w:szCs w:val="24"/>
              </w:rPr>
            </w:pPr>
            <w:r w:rsidRPr="006D5502">
              <w:rPr>
                <w:sz w:val="24"/>
                <w:szCs w:val="24"/>
              </w:rPr>
              <w:t>I was informed the next day that Mr.2 had twice cancelled the ambulance, preventing access to treatment for Ms.1. The GP contacted Mr. 2 to inform him that stopping Ms1’s admission as he was doing would amount to wilful neglect, a criminal offence under the Criminal Justice and Courts Act 2015 (Ministry of Justice, 2015). Given that Ms.1 lacked capacity to make the decision herself, Mr.2’s actions placed her at significant risk. Consequently, both the GP and I made safeguarding referrals, in line with statutory duties (Welsh Government, 2019).</w:t>
            </w:r>
          </w:p>
          <w:p w14:paraId="53F2DBC7" w14:textId="77777777" w:rsidR="00FD5A12" w:rsidRPr="006D5502" w:rsidRDefault="00FD5A12" w:rsidP="006D5502">
            <w:pPr>
              <w:spacing w:line="360" w:lineRule="auto"/>
              <w:jc w:val="both"/>
              <w:rPr>
                <w:sz w:val="24"/>
                <w:szCs w:val="24"/>
              </w:rPr>
            </w:pPr>
            <w:r w:rsidRPr="006D5502">
              <w:rPr>
                <w:sz w:val="24"/>
                <w:szCs w:val="24"/>
              </w:rPr>
              <w:lastRenderedPageBreak/>
              <w:t>I was updated 3 days after visiting Mrs.1 that she had now been admitted to hospital for treatment. The hospital was informed of the safeguarding concerns to ensure continuity of protection. Ms.1 was again assessed as lacking capacity under the MCA (2005), and a Deprivation of Liberty Safeguard (</w:t>
            </w:r>
            <w:proofErr w:type="spellStart"/>
            <w:r w:rsidRPr="006D5502">
              <w:rPr>
                <w:sz w:val="24"/>
                <w:szCs w:val="24"/>
              </w:rPr>
              <w:t>DoLS</w:t>
            </w:r>
            <w:proofErr w:type="spellEnd"/>
            <w:r w:rsidRPr="006D5502">
              <w:rPr>
                <w:sz w:val="24"/>
                <w:szCs w:val="24"/>
              </w:rPr>
              <w:t>) authorisation was granted to ensure restrictions on her freedom were lawful, proportionate, and in her best interests (Welsh Government, 2019). During her admission, evidence of neglect, malnutrition, and alcohol in her system further indicated that her well-being had not been safeguarded at home. Mr. 2 had previously advised Ms.1 had not consumed alcohol for 3 months prior to her admission, blood tests confirmed otherwise. Providing alcohol to a person lacking capacity poses significant risks, including worsening cognitive decline (NICE, 2010). Ms.1 was medically supported by detox.</w:t>
            </w:r>
          </w:p>
          <w:p w14:paraId="26E63B82" w14:textId="77777777" w:rsidR="00FD5A12" w:rsidRPr="006D5502" w:rsidRDefault="00FD5A12" w:rsidP="006D5502">
            <w:pPr>
              <w:spacing w:after="200" w:line="360" w:lineRule="auto"/>
              <w:jc w:val="both"/>
              <w:rPr>
                <w:sz w:val="24"/>
                <w:szCs w:val="24"/>
              </w:rPr>
            </w:pPr>
            <w:r w:rsidRPr="006D5502">
              <w:rPr>
                <w:sz w:val="24"/>
                <w:szCs w:val="24"/>
              </w:rPr>
              <w:t>During her hospital stay, Ms.1 was diagnosed with Korsakoff syndrome (KS), a chronic memory disorder commonly associated with long-term alcohol misuse and thiamine deficiency (Wood et al., 2012). KS causes severe short-term memory impairments, confabulation, and disorientation (Arts et al., 2017). It falls under the spectrum of alcohol-related brain damage (ARBD), which, while serious, may stabilise or improve with cessation of alcohol use (Alzheimer’s Society, 2024). This diagnosis highlighted the importance of specialist multidisciplinary intervention and long-term support.</w:t>
            </w:r>
          </w:p>
          <w:p w14:paraId="6985B860" w14:textId="77777777" w:rsidR="00FD5A12" w:rsidRPr="006D5502" w:rsidRDefault="00FD5A12" w:rsidP="006D5502">
            <w:pPr>
              <w:spacing w:line="360" w:lineRule="auto"/>
              <w:jc w:val="both"/>
              <w:rPr>
                <w:sz w:val="24"/>
                <w:szCs w:val="24"/>
              </w:rPr>
            </w:pPr>
            <w:r w:rsidRPr="006D5502">
              <w:rPr>
                <w:sz w:val="24"/>
                <w:szCs w:val="24"/>
              </w:rPr>
              <w:t xml:space="preserve">A multidisciplinary team (MDT) was organised to plan discharge. Given Ms.1’s diagnosis, mobility problems, and cognitive impairments, a Continuing Healthcare (CHC) checklist was undertaken. In Wales, this tool determines eligibility for NHS-funded care for individuals with complex health needs (NHS Wales, 2020). The outcome identified a need for 24-hour nursing care within an Elderly Mentally Infirm (EMI) nursing setting in the interim to be further assessed later were a full NHS Decision Support Tool (DST) would be completed. In Wales, the DST is part of the National Framework for Continuing NHS Healthcare (CHC) and NHS-funded Nursing Care in Wales (Welsh Government, 2015). The DST is used when an individual has been screened through a CHC checklist and may be eligible for CHC funding. It supports an MDT to assess the person’s needs across twelve domains, including cognition, behaviour, mobility, nutrition, continence, communication, skin integrity, breathing, drug therapies, altered states of consciousness, and other significant needs. Each domain is given </w:t>
            </w:r>
            <w:r w:rsidRPr="006D5502">
              <w:rPr>
                <w:sz w:val="24"/>
                <w:szCs w:val="24"/>
              </w:rPr>
              <w:lastRenderedPageBreak/>
              <w:t>a level of need, which helps the MDT determine whether the nature, intensity, complexity, or unpredictability of the needs demonstrate a “primary health need” (Welsh Government, 2015).</w:t>
            </w:r>
          </w:p>
          <w:p w14:paraId="49FF2606" w14:textId="77777777" w:rsidR="00FD5A12" w:rsidRPr="006D5502" w:rsidRDefault="00FD5A12" w:rsidP="006D5502">
            <w:pPr>
              <w:spacing w:after="200" w:line="360" w:lineRule="auto"/>
              <w:jc w:val="both"/>
              <w:rPr>
                <w:sz w:val="24"/>
                <w:szCs w:val="24"/>
              </w:rPr>
            </w:pPr>
            <w:r w:rsidRPr="006D5502">
              <w:rPr>
                <w:sz w:val="24"/>
                <w:szCs w:val="24"/>
              </w:rPr>
              <w:t>The process emphasises collaboration between health and social care professionals to ensure that decisions are holistic and person-centred. The MDT considers professional evidence, assessments, and care records before making a recommendation to the Local Health Board which makes the final eligibility decision. This collaborative approach reflects the principles of the SSWBA 2014, ensuring that assessments are grounded in well-being, rights, and safeguarding duties (Welsh Government, 2014).</w:t>
            </w:r>
          </w:p>
          <w:p w14:paraId="5C628447" w14:textId="77777777" w:rsidR="00FD5A12" w:rsidRPr="006D5502" w:rsidRDefault="00FD5A12" w:rsidP="006D5502">
            <w:pPr>
              <w:spacing w:line="360" w:lineRule="auto"/>
              <w:jc w:val="both"/>
              <w:rPr>
                <w:sz w:val="24"/>
                <w:szCs w:val="24"/>
              </w:rPr>
            </w:pPr>
            <w:r w:rsidRPr="006D5502">
              <w:rPr>
                <w:sz w:val="24"/>
                <w:szCs w:val="24"/>
              </w:rPr>
              <w:t>An Independent Mental Capacity Advocate (IMCA) was appointed, as Ms.1 lacked capacity to make decisions about her accommodation and had no appropriate representative (Department of Health and Welsh Assembly Government, 2007). IMCAs safeguard the rights of individuals and ensure their wishes and values are considered (Welsh Government, 2014).</w:t>
            </w:r>
          </w:p>
          <w:p w14:paraId="4A79784D" w14:textId="77777777" w:rsidR="00FD5A12" w:rsidRPr="006D5502" w:rsidRDefault="00FD5A12" w:rsidP="006D5502">
            <w:pPr>
              <w:spacing w:after="200" w:line="360" w:lineRule="auto"/>
              <w:jc w:val="both"/>
              <w:rPr>
                <w:sz w:val="24"/>
                <w:szCs w:val="24"/>
              </w:rPr>
            </w:pPr>
            <w:r w:rsidRPr="006D5502">
              <w:rPr>
                <w:sz w:val="24"/>
                <w:szCs w:val="24"/>
              </w:rPr>
              <w:t xml:space="preserve">Mr.2 opposed the decision and requested Ms.1 return home with a package of care. However, his objections carried no legal authority due to the absence of LPOA. Best interest decisions were made by professionals at the MDT, who considered safeguarding risks, such as Ms.1’s expressed fears of Mr.2, and her presentation upon admission. Therefore, it was agreed by all present for Ms.1 to access an EMI Nursing placement upon discharge </w:t>
            </w:r>
          </w:p>
          <w:p w14:paraId="3108FA04" w14:textId="77777777" w:rsidR="00FD5A12" w:rsidRPr="006D5502" w:rsidRDefault="00FD5A12" w:rsidP="006D5502">
            <w:pPr>
              <w:spacing w:line="360" w:lineRule="auto"/>
              <w:jc w:val="both"/>
              <w:rPr>
                <w:sz w:val="24"/>
                <w:szCs w:val="24"/>
              </w:rPr>
            </w:pPr>
            <w:r w:rsidRPr="006D5502">
              <w:rPr>
                <w:sz w:val="24"/>
                <w:szCs w:val="24"/>
              </w:rPr>
              <w:t xml:space="preserve">Following this decision Ms.1’s condition worsened, she then required an assessment by an Approved Mental Health Professional (AMHP) under the Mental Health Act 2005. She was detained under Section 2 for up to 28 days for assessment and treatment (Welsh Government, 2022). While detained, advocacy was then required to be provided through an Independent Mental Health Advocate (IMHA), who ensured her rights under the Act were upheld (Department of Health and Social Care, 2025). An IMHA is a statutory advocate required under the Mental Health Act 2007, for individuals who are detained under the Mental Health Act 2005 or subject to specific treatments or restrictions. IMHAs can access medical records, attend meetings, and support individuals to express their views and challenge decisions (Department of Health and Social Care, 2022). Their primary focus is on safeguarding the rights of those subject to compulsory powers under mental health law, therefore an IMCA is no longer suitable as their statutory role is to support people who have been assessed as lacking capacity to make specific decisions about medical treatment, accommodation, or care </w:t>
            </w:r>
            <w:r w:rsidRPr="006D5502">
              <w:rPr>
                <w:sz w:val="24"/>
                <w:szCs w:val="24"/>
              </w:rPr>
              <w:lastRenderedPageBreak/>
              <w:t>arrangements, and who have no family or friends to represent their views. Ensuring Ms.1 had access to right advocate was vital to ensure Ms.1’s rights were being upheld. This aligns with the Code of Professional Practice for Social Care, which emphasises advocacy, rights, and well-being (Welsh Government, 2015).</w:t>
            </w:r>
          </w:p>
          <w:p w14:paraId="406C2F57" w14:textId="77777777" w:rsidR="00FD5A12" w:rsidRPr="006D5502" w:rsidRDefault="00FD5A12" w:rsidP="006D5502">
            <w:pPr>
              <w:spacing w:line="360" w:lineRule="auto"/>
              <w:jc w:val="both"/>
              <w:rPr>
                <w:sz w:val="24"/>
                <w:szCs w:val="24"/>
              </w:rPr>
            </w:pPr>
            <w:r w:rsidRPr="006D5502">
              <w:rPr>
                <w:sz w:val="24"/>
                <w:szCs w:val="24"/>
              </w:rPr>
              <w:t xml:space="preserve"> I ensured that I was given all information by coordinating with the AMHP and medical teams, whilst ensuring that Ms.1’s rights and well-being are continued to be safeguarded as part of my statuary duty. </w:t>
            </w:r>
          </w:p>
          <w:p w14:paraId="1160E5D0" w14:textId="77777777" w:rsidR="00FD5A12" w:rsidRPr="006D5502" w:rsidRDefault="00FD5A12" w:rsidP="006D5502">
            <w:pPr>
              <w:spacing w:line="360" w:lineRule="auto"/>
              <w:jc w:val="both"/>
              <w:rPr>
                <w:sz w:val="24"/>
                <w:szCs w:val="24"/>
              </w:rPr>
            </w:pPr>
            <w:r w:rsidRPr="006D5502">
              <w:rPr>
                <w:sz w:val="24"/>
                <w:szCs w:val="24"/>
              </w:rPr>
              <w:t xml:space="preserve">Ms.1 was initially detained under Section 2 of the Mental Health Act 1983, following a multidisciplinary review, it was decided that Ms.1 no longer met the criteria to remain under this section as she has made improvements and felt she was no longer needed to continue with compulsory admission, Due to the  safeguarding concerns raised prior to admission and whilst in hospital and on the mental health unit in regard to Mr.2 it was discussed by all professionals that it  was unsafe for Ms.1 to return home despite her partners wishes. It was also found through OT assessments of the home, that the environment was not suitable for Ms.1 to return to. Further investigations found Ms.1 had been historically open to social services due to concerns around domestic abuse. The LA had contacted the local Police to request police records of domestic abuse. Under SSWBA 2014, LAs can link with safeguarding partners as a statutory duty to work together to find, respond and assess risk (Welsh Government, 2015). Working together to safeguard people statutory guidance highlights the importance of information sharing between agencies for effective safeguarding (Welsh Government, 2016). Due to the history of domestic abuse it was felt that Ms.1 would not be safe to return home to Mr.2 as she would not be able to communicate her needs, report any issues or concerns due to her cognitive impairment, putting her at further risk of potential neglect and harm. Considering this, a standard authorisation under </w:t>
            </w:r>
            <w:proofErr w:type="spellStart"/>
            <w:r w:rsidRPr="006D5502">
              <w:rPr>
                <w:sz w:val="24"/>
                <w:szCs w:val="24"/>
              </w:rPr>
              <w:t>DoLS</w:t>
            </w:r>
            <w:proofErr w:type="spellEnd"/>
            <w:r w:rsidRPr="006D5502">
              <w:rPr>
                <w:sz w:val="24"/>
                <w:szCs w:val="24"/>
              </w:rPr>
              <w:t xml:space="preserve"> was requested and granted for Ms.1 to remain in the ward in her best interests whilst alternative arrangements were to be explored between professionals (Mental Capacity Act, 2005).</w:t>
            </w:r>
          </w:p>
          <w:p w14:paraId="4D5D21CC" w14:textId="77777777" w:rsidR="00FD5A12" w:rsidRPr="006D5502" w:rsidRDefault="00FD5A12" w:rsidP="006D5502">
            <w:pPr>
              <w:spacing w:line="360" w:lineRule="auto"/>
              <w:jc w:val="both"/>
              <w:rPr>
                <w:sz w:val="24"/>
                <w:szCs w:val="24"/>
              </w:rPr>
            </w:pPr>
            <w:r w:rsidRPr="006D5502">
              <w:rPr>
                <w:sz w:val="24"/>
                <w:szCs w:val="24"/>
              </w:rPr>
              <w:t xml:space="preserve">Mr.2 continued to say he would be able to complete all care tasks for Ms.1 to return home and continued to say Ms.1 wished to return home. Ms.1 was visited by a Relevant Person’s Representative (RPR) who then started a challenge under Section 21A of the MCA 2005, on the grounds that Ms.1 was objecting to going into placement and said she wished to return </w:t>
            </w:r>
            <w:r w:rsidRPr="006D5502">
              <w:rPr>
                <w:sz w:val="24"/>
                <w:szCs w:val="24"/>
              </w:rPr>
              <w:lastRenderedPageBreak/>
              <w:t>home. This challenge triggered legal scrutiny of the recommended placements needed and led to the case being under review through the Court of Protection Process.</w:t>
            </w:r>
          </w:p>
          <w:p w14:paraId="08E662A8" w14:textId="77777777" w:rsidR="00FD5A12" w:rsidRPr="006D5502" w:rsidRDefault="00FD5A12" w:rsidP="006D5502">
            <w:pPr>
              <w:spacing w:line="360" w:lineRule="auto"/>
              <w:jc w:val="both"/>
              <w:rPr>
                <w:sz w:val="24"/>
                <w:szCs w:val="24"/>
              </w:rPr>
            </w:pPr>
            <w:r w:rsidRPr="006D5502">
              <w:rPr>
                <w:sz w:val="24"/>
                <w:szCs w:val="24"/>
              </w:rPr>
              <w:t xml:space="preserve">This case was then handed over to my colleague as I was due to go off on maternity leave. </w:t>
            </w:r>
          </w:p>
          <w:p w14:paraId="09638ED1" w14:textId="77777777" w:rsidR="00FD5A12" w:rsidRPr="006D5502" w:rsidRDefault="00FD5A12" w:rsidP="006D5502">
            <w:pPr>
              <w:spacing w:line="360" w:lineRule="auto"/>
              <w:jc w:val="both"/>
              <w:rPr>
                <w:sz w:val="24"/>
                <w:szCs w:val="24"/>
              </w:rPr>
            </w:pPr>
          </w:p>
          <w:p w14:paraId="4B6A9BDA" w14:textId="77777777" w:rsidR="00FD5A12" w:rsidRPr="006D5502" w:rsidRDefault="00FD5A12" w:rsidP="006D5502">
            <w:pPr>
              <w:spacing w:line="360" w:lineRule="auto"/>
              <w:jc w:val="both"/>
              <w:rPr>
                <w:sz w:val="24"/>
                <w:szCs w:val="24"/>
              </w:rPr>
            </w:pPr>
            <w:r w:rsidRPr="006D5502">
              <w:rPr>
                <w:sz w:val="24"/>
                <w:szCs w:val="24"/>
              </w:rPr>
              <w:t>Ms.1 was diagnosed with KS whilst I was her social worker. This diagnosis contributed to her cognitive impairment and the ability to look after herself or make any decisions, leading to her having care and support needs that were not being met in the community. This raised concerns leading to safeguarding investigations being made. As part of this reflection, I investigated how KS links into law and policy within Wales and the UK, as well as considering the links with law and policy within the EU and outside of the EU.</w:t>
            </w:r>
          </w:p>
          <w:p w14:paraId="53E9CF50" w14:textId="77777777" w:rsidR="00FD5A12" w:rsidRPr="006D5502" w:rsidRDefault="00FD5A12" w:rsidP="006D5502">
            <w:pPr>
              <w:spacing w:line="360" w:lineRule="auto"/>
              <w:jc w:val="both"/>
              <w:rPr>
                <w:sz w:val="24"/>
                <w:szCs w:val="24"/>
              </w:rPr>
            </w:pPr>
          </w:p>
          <w:p w14:paraId="4BC31717" w14:textId="77777777" w:rsidR="00FD5A12" w:rsidRPr="006D5502" w:rsidRDefault="00FD5A12" w:rsidP="006D5502">
            <w:pPr>
              <w:spacing w:line="360" w:lineRule="auto"/>
              <w:jc w:val="both"/>
              <w:rPr>
                <w:sz w:val="24"/>
                <w:szCs w:val="24"/>
              </w:rPr>
            </w:pPr>
            <w:r w:rsidRPr="006D5502">
              <w:rPr>
                <w:sz w:val="24"/>
                <w:szCs w:val="24"/>
              </w:rPr>
              <w:t>KS is a long-lasting neuropsychiatric condition that can be a result from a vitamin B1 (Thiamine) deficiency, which can also be associated with Wernicke’s Encephalopathy. KS causes severe memory impairments. KS can be developed as part of alcohol-related brain damage (ARBD) that is again used by the lack of vitamin B. Alcohol use in the long term can interfere with the body’s ability to absorb and use thiamine (Alzheimer’s Society, 2024). KS is mostly commonly seen in people who have a history of alcohol abuse.</w:t>
            </w:r>
          </w:p>
          <w:p w14:paraId="16599DD5" w14:textId="77777777" w:rsidR="00FD5A12" w:rsidRPr="006D5502" w:rsidRDefault="00FD5A12" w:rsidP="006D5502">
            <w:pPr>
              <w:spacing w:line="360" w:lineRule="auto"/>
              <w:jc w:val="both"/>
              <w:rPr>
                <w:sz w:val="24"/>
                <w:szCs w:val="24"/>
              </w:rPr>
            </w:pPr>
          </w:p>
          <w:p w14:paraId="0708AB01" w14:textId="77777777" w:rsidR="00FD5A12" w:rsidRPr="006D5502" w:rsidRDefault="00FD5A12" w:rsidP="006D5502">
            <w:pPr>
              <w:spacing w:line="360" w:lineRule="auto"/>
              <w:jc w:val="both"/>
              <w:rPr>
                <w:sz w:val="24"/>
                <w:szCs w:val="24"/>
              </w:rPr>
            </w:pPr>
            <w:r w:rsidRPr="006D5502">
              <w:rPr>
                <w:sz w:val="24"/>
                <w:szCs w:val="24"/>
              </w:rPr>
              <w:t>The Welsh Government published a national framework, “Substance Misuse: Prevention, diagnosis, treatment and support for alcohol-related brain damage” (ARBD) that includes Wernicke-Korsakoff. This framework was made with the aim of raising more awareness of the condition and helping improve early diagnosis whilst ensuring individuals have access to the required specialised services such as OT’s and Psychologists, Health, and social care professionals and third sector services. Within the framework it states ARBD is not progressive if the use of alcohol is to stop, the individual can be supported to do this and may be able to recover any lost functions.</w:t>
            </w:r>
          </w:p>
          <w:p w14:paraId="729508CC" w14:textId="77777777" w:rsidR="00FD5A12" w:rsidRPr="006D5502" w:rsidRDefault="00FD5A12" w:rsidP="006D5502">
            <w:pPr>
              <w:spacing w:line="360" w:lineRule="auto"/>
              <w:jc w:val="both"/>
              <w:rPr>
                <w:sz w:val="24"/>
                <w:szCs w:val="24"/>
              </w:rPr>
            </w:pPr>
            <w:r w:rsidRPr="006D5502">
              <w:rPr>
                <w:sz w:val="24"/>
                <w:szCs w:val="24"/>
              </w:rPr>
              <w:t>The Public Health (Minimum Price for Alcohol) (Wales) Act 2018 is intended to lower harmful drinking over time and public health campaigns to help individuals recognise what harm can be caused through excessive and long-term alcohol intake. In 2020, a minimum unit price for alcohol was introduced to also reduce alcohol related harm.</w:t>
            </w:r>
          </w:p>
          <w:p w14:paraId="5A7F663B" w14:textId="77777777" w:rsidR="00FD5A12" w:rsidRPr="006D5502" w:rsidRDefault="00FD5A12" w:rsidP="006D5502">
            <w:pPr>
              <w:spacing w:line="360" w:lineRule="auto"/>
              <w:jc w:val="both"/>
              <w:rPr>
                <w:sz w:val="24"/>
                <w:szCs w:val="24"/>
              </w:rPr>
            </w:pPr>
            <w:r w:rsidRPr="006D5502">
              <w:rPr>
                <w:sz w:val="24"/>
                <w:szCs w:val="24"/>
              </w:rPr>
              <w:lastRenderedPageBreak/>
              <w:t>In Wales, the MCA 2005 provides the legal framework for assessments to be completed to discover if individuals can make decisions for themselves that are essential for individuals with KS (Mental Capacity Act, 2005). If the person is assessed as lacking capacity, then decisions must be made in that person’s best interests using the principles that are set out within the Act.</w:t>
            </w:r>
          </w:p>
          <w:p w14:paraId="6481C377" w14:textId="77777777" w:rsidR="00FD5A12" w:rsidRPr="006D5502" w:rsidRDefault="00FD5A12" w:rsidP="006D5502">
            <w:pPr>
              <w:spacing w:line="360" w:lineRule="auto"/>
              <w:jc w:val="both"/>
              <w:rPr>
                <w:sz w:val="24"/>
                <w:szCs w:val="24"/>
              </w:rPr>
            </w:pPr>
            <w:r w:rsidRPr="006D5502">
              <w:rPr>
                <w:sz w:val="24"/>
                <w:szCs w:val="24"/>
              </w:rPr>
              <w:t>In Wales, SSWBA 2014 is the key legislation within social care. The act places a duty on to LA to ensure assessments of care and support needs of individuals and their careers. The act also highlights a person-centred approach and the importance of the individual’s well-being that is needed for individuals with KS, who are likely to require coordinated health and social care support (Welsh Government, 2014).</w:t>
            </w:r>
          </w:p>
          <w:p w14:paraId="6134AADC" w14:textId="77777777" w:rsidR="00FD5A12" w:rsidRPr="006D5502" w:rsidRDefault="00FD5A12" w:rsidP="006D5502">
            <w:pPr>
              <w:spacing w:line="360" w:lineRule="auto"/>
              <w:jc w:val="both"/>
              <w:rPr>
                <w:sz w:val="24"/>
                <w:szCs w:val="24"/>
              </w:rPr>
            </w:pPr>
            <w:r w:rsidRPr="006D5502">
              <w:rPr>
                <w:sz w:val="24"/>
                <w:szCs w:val="24"/>
              </w:rPr>
              <w:t>The Equality Act 2010 (EA 2010) provides protection for a person with KS under the disability Act. Reasonable adjustments should be made to evade putting disabled individuals from disadvantages (Equality and Human Rights Commission, 2010).In circumstances where a safeguarding referral maybe necessary, individuals with KS may be considered “adults at risk” under Part 7 of the SSWBA 2014,  the LA is required to investigate and intervene if there are concerns around abuse or neglect (Welsh Government, 2014). The Mental Health Act 2005 (MHA05) applies to individuals in Wales and may be used if the individual’s condition requires assessment of or treatment for mental health. KS is not classed as a mental illness however, the behaviour that can be displayed can be severe that may lead to the condition to fall within the remit of the MHA05.</w:t>
            </w:r>
          </w:p>
          <w:p w14:paraId="3C8B92B6" w14:textId="77777777" w:rsidR="00FD5A12" w:rsidRPr="006D5502" w:rsidRDefault="00FD5A12" w:rsidP="006D5502">
            <w:pPr>
              <w:spacing w:line="360" w:lineRule="auto"/>
              <w:jc w:val="both"/>
              <w:rPr>
                <w:sz w:val="24"/>
                <w:szCs w:val="24"/>
              </w:rPr>
            </w:pPr>
            <w:r w:rsidRPr="006D5502">
              <w:rPr>
                <w:sz w:val="24"/>
                <w:szCs w:val="24"/>
              </w:rPr>
              <w:t>In England, NICE guidelines and other UK clinical guidance recommend preventing KS through thiamine supplements for people with alcohol dependency, both before and during withdrawal, and across all settings, including hospitals, specialist services, and the community (NICE, 2022). People with KS are protected by several key legislative frameworks, again the MHA05 provides a structure for assessing capacity and ensuring that individuals who lack capacity due to cognitive impairment, such as KS, receive the right support (Mental Capacity Act, 2005).</w:t>
            </w:r>
          </w:p>
          <w:p w14:paraId="51883352" w14:textId="77777777" w:rsidR="00FD5A12" w:rsidRPr="006D5502" w:rsidRDefault="00FD5A12" w:rsidP="006D5502">
            <w:pPr>
              <w:spacing w:line="360" w:lineRule="auto"/>
              <w:jc w:val="both"/>
              <w:rPr>
                <w:sz w:val="24"/>
                <w:szCs w:val="24"/>
              </w:rPr>
            </w:pPr>
            <w:r w:rsidRPr="006D5502">
              <w:rPr>
                <w:sz w:val="24"/>
                <w:szCs w:val="24"/>
              </w:rPr>
              <w:t>KS is also recognised as a disability under the EA 2010, giving individuals the right to reasonable adjustments in employment and education (Equality and Human Rights Commission, 2010). These protections apply across both England and Wales, and the wider UK.</w:t>
            </w:r>
          </w:p>
          <w:p w14:paraId="7125BD82" w14:textId="77777777" w:rsidR="00FD5A12" w:rsidRPr="006D5502" w:rsidRDefault="00FD5A12" w:rsidP="006D5502">
            <w:pPr>
              <w:spacing w:line="360" w:lineRule="auto"/>
              <w:jc w:val="both"/>
              <w:rPr>
                <w:sz w:val="24"/>
                <w:szCs w:val="24"/>
              </w:rPr>
            </w:pPr>
            <w:r w:rsidRPr="006D5502">
              <w:rPr>
                <w:sz w:val="24"/>
                <w:szCs w:val="24"/>
              </w:rPr>
              <w:lastRenderedPageBreak/>
              <w:t>Within the European Union (EU), there is no legislation that directly addresses KS, but individuals with the condition are protected under wider human rights, disability, and healthcare frameworks. The EU Employment Equality Directive prohibits discrimination on the grounds of disability and requires reasonable adjustments for people with long-term health conditions (European Commission, 2020).</w:t>
            </w:r>
          </w:p>
          <w:p w14:paraId="4FE41392" w14:textId="77777777" w:rsidR="00FD5A12" w:rsidRPr="006D5502" w:rsidRDefault="00FD5A12" w:rsidP="006D5502">
            <w:pPr>
              <w:spacing w:line="360" w:lineRule="auto"/>
              <w:jc w:val="both"/>
              <w:rPr>
                <w:sz w:val="24"/>
                <w:szCs w:val="24"/>
              </w:rPr>
            </w:pPr>
            <w:r w:rsidRPr="006D5502">
              <w:rPr>
                <w:sz w:val="24"/>
                <w:szCs w:val="24"/>
              </w:rPr>
              <w:t>The European Convention on Human Rights also provides safeguards, stating that any deprivation of liberty must be lawful, necessary, and proportionate (Council of Europe, 2017).</w:t>
            </w:r>
          </w:p>
          <w:p w14:paraId="7BCF9EE1" w14:textId="77777777" w:rsidR="00FD5A12" w:rsidRPr="006D5502" w:rsidRDefault="00FD5A12" w:rsidP="006D5502">
            <w:pPr>
              <w:spacing w:line="360" w:lineRule="auto"/>
              <w:jc w:val="both"/>
              <w:rPr>
                <w:sz w:val="24"/>
                <w:szCs w:val="24"/>
              </w:rPr>
            </w:pPr>
            <w:r w:rsidRPr="006D5502">
              <w:rPr>
                <w:sz w:val="24"/>
                <w:szCs w:val="24"/>
              </w:rPr>
              <w:t>At a broader international level, United Nations frameworks complement both UK and EU laws. Alongside the Convention on the Rights of Persons with Disabilities, 2006 (CRPD06), the Universal Declaration of Human Rights (1948) protects individuals’ rights to equality, dignity, and freedom from degrading treatment. The CRPD (2006) is an international human rights agreement endorsed by the UK in 2009 to promote and protect the rights of disabled people (Powell et al., 2020).</w:t>
            </w:r>
          </w:p>
          <w:p w14:paraId="670F0B95" w14:textId="77777777" w:rsidR="00FD5A12" w:rsidRPr="006D5502" w:rsidRDefault="00FD5A12" w:rsidP="006D5502">
            <w:pPr>
              <w:spacing w:line="360" w:lineRule="auto"/>
              <w:jc w:val="both"/>
              <w:rPr>
                <w:sz w:val="24"/>
                <w:szCs w:val="24"/>
              </w:rPr>
            </w:pPr>
            <w:r w:rsidRPr="006D5502">
              <w:rPr>
                <w:sz w:val="24"/>
                <w:szCs w:val="24"/>
              </w:rPr>
              <w:t>The International Covenant on Economic, Social and Cultural Rights (1966) also establishes that everyone has the right to the highest attainable standard of physical and mental health, creating a global benchmark that applies to people with KS by affirming their entitlement to non-discriminatory health and social care (United Nations, 1966).</w:t>
            </w:r>
          </w:p>
          <w:p w14:paraId="473C380F" w14:textId="77777777" w:rsidR="00FD5A12" w:rsidRPr="006D5502" w:rsidRDefault="00FD5A12" w:rsidP="006D5502">
            <w:pPr>
              <w:spacing w:line="360" w:lineRule="auto"/>
              <w:jc w:val="both"/>
              <w:rPr>
                <w:sz w:val="24"/>
                <w:szCs w:val="24"/>
              </w:rPr>
            </w:pPr>
            <w:r w:rsidRPr="006D5502">
              <w:rPr>
                <w:sz w:val="24"/>
                <w:szCs w:val="24"/>
              </w:rPr>
              <w:t>While there are differences between Wales, England, the EU, and international frameworks, they all share a commitment to protecting the rights and well-being of people with KS. In Wales, the SSWBA 2014 and specific ARBD frameworks ensure a person-</w:t>
            </w:r>
            <w:proofErr w:type="spellStart"/>
            <w:r w:rsidRPr="006D5502">
              <w:rPr>
                <w:sz w:val="24"/>
                <w:szCs w:val="24"/>
              </w:rPr>
              <w:t>centered</w:t>
            </w:r>
            <w:proofErr w:type="spellEnd"/>
            <w:r w:rsidRPr="006D5502">
              <w:rPr>
                <w:sz w:val="24"/>
                <w:szCs w:val="24"/>
              </w:rPr>
              <w:t xml:space="preserve"> and well-being-focused approach, supported by wider UK legislation such as the MCA 2005 and the EA 2010. England reflects similar protections, with NICE guidance. At the EU level, protections are framed more broadly through equality and human rights directives, while international frameworks such as the CRPD (2006) and ICESCR (1966) provide universal standards of dignity, equality, and access to healthcare. Together, these legal and policy frameworks demonstrate an approach that focuses on both rights and safeguarding, ensuring individuals with KS are supported consistently across local, national, and international levels.</w:t>
            </w:r>
          </w:p>
          <w:p w14:paraId="6C3F649F" w14:textId="77777777" w:rsidR="00FD5A12" w:rsidRPr="006D5502" w:rsidRDefault="00FD5A12" w:rsidP="006D5502">
            <w:pPr>
              <w:spacing w:line="360" w:lineRule="auto"/>
              <w:jc w:val="both"/>
              <w:rPr>
                <w:sz w:val="24"/>
                <w:szCs w:val="24"/>
              </w:rPr>
            </w:pPr>
          </w:p>
          <w:p w14:paraId="57042B69" w14:textId="77777777" w:rsidR="00FD5A12" w:rsidRPr="006D5502" w:rsidRDefault="00FD5A12" w:rsidP="006D5502">
            <w:pPr>
              <w:spacing w:after="200" w:line="360" w:lineRule="auto"/>
              <w:jc w:val="both"/>
              <w:rPr>
                <w:sz w:val="24"/>
                <w:szCs w:val="24"/>
              </w:rPr>
            </w:pPr>
            <w:r w:rsidRPr="006D5502">
              <w:rPr>
                <w:sz w:val="24"/>
                <w:szCs w:val="24"/>
              </w:rPr>
              <w:t xml:space="preserve">Through Gibbs’ Reflective Cycle (1988), I was able to structure my reflection on this case, which helped me to better understand the challenges I faced and the professional learning I </w:t>
            </w:r>
            <w:proofErr w:type="spellStart"/>
            <w:r w:rsidRPr="006D5502">
              <w:rPr>
                <w:sz w:val="24"/>
                <w:szCs w:val="24"/>
              </w:rPr>
              <w:t>gained.This</w:t>
            </w:r>
            <w:proofErr w:type="spellEnd"/>
            <w:r w:rsidRPr="006D5502">
              <w:rPr>
                <w:sz w:val="24"/>
                <w:szCs w:val="24"/>
              </w:rPr>
              <w:t xml:space="preserve"> case was the first case I was given as a newly qualified social worker and I felt </w:t>
            </w:r>
            <w:r w:rsidRPr="006D5502">
              <w:rPr>
                <w:sz w:val="24"/>
                <w:szCs w:val="24"/>
              </w:rPr>
              <w:lastRenderedPageBreak/>
              <w:t>that at times I was out of my depth due to the complex nature of the case. I felt overwhelmed by the responsibility of balancing Ms.1’s rights with the need to safeguard her from harm. I found it particularly challenging when Mr.2 cancelled ambulances and attempted to prevent her hospital admission. I felt anxious about whether I was doing enough to protect Ms.1, while also questioning how to respect her autonomy. These feelings reflect the ethical tension social workers often face between empowerment and protection (BASW, 2021). However, there were positive parts of my practice, such as recognising the need for joint visits, maintaining communication with professionals, and ensuring safeguarding referrals were made promptly. This supported compliance with the SSWBA 2014, which requires agencies to protect adults at risk (Welsh Government, 2014). I recognised areas for improvement, particularly in how I managed my emotions when faced with resistance from Mr.2. On reflection, I could have been more confident in challenging his actions, as they were preventing Ms.1 from accessing essential treatment.</w:t>
            </w:r>
          </w:p>
          <w:p w14:paraId="56023A87" w14:textId="77777777" w:rsidR="00FD5A12" w:rsidRPr="006D5502" w:rsidRDefault="00FD5A12" w:rsidP="006D5502">
            <w:pPr>
              <w:spacing w:after="200" w:line="360" w:lineRule="auto"/>
              <w:jc w:val="both"/>
              <w:rPr>
                <w:sz w:val="24"/>
                <w:szCs w:val="24"/>
              </w:rPr>
            </w:pPr>
            <w:r w:rsidRPr="006D5502">
              <w:rPr>
                <w:sz w:val="24"/>
                <w:szCs w:val="24"/>
              </w:rPr>
              <w:t xml:space="preserve">The analysis of this case highlighted the importance of decisions in statutory frameworks. The MCA05 provided a clear process for assessing capacity and making best interest decisions, which was critical as Ms.1 lacked capacity to decide on her care. The SSWBA 2014 reinforced the need to work in a person-centred way while safeguarding her rights. </w:t>
            </w:r>
          </w:p>
          <w:p w14:paraId="2E8C2FA6" w14:textId="77777777" w:rsidR="00FD5A12" w:rsidRPr="006D5502" w:rsidRDefault="00FD5A12" w:rsidP="006D5502">
            <w:pPr>
              <w:spacing w:after="200" w:line="360" w:lineRule="auto"/>
              <w:jc w:val="both"/>
              <w:rPr>
                <w:sz w:val="24"/>
                <w:szCs w:val="24"/>
              </w:rPr>
            </w:pPr>
            <w:r w:rsidRPr="006D5502">
              <w:rPr>
                <w:sz w:val="24"/>
                <w:szCs w:val="24"/>
              </w:rPr>
              <w:t xml:space="preserve">Advocacy was key learning point for me also, as IMCAs and IMHA’s play an important role in ensuring that the voice of a person lacking capacity is represented (Welsh Government, 2014). </w:t>
            </w:r>
          </w:p>
          <w:p w14:paraId="530CCEA4" w14:textId="77777777" w:rsidR="00FD5A12" w:rsidRPr="006D5502" w:rsidRDefault="00FD5A12" w:rsidP="006D5502">
            <w:pPr>
              <w:spacing w:after="200" w:line="360" w:lineRule="auto"/>
              <w:jc w:val="both"/>
              <w:rPr>
                <w:sz w:val="24"/>
                <w:szCs w:val="24"/>
              </w:rPr>
            </w:pPr>
            <w:r w:rsidRPr="006D5502">
              <w:rPr>
                <w:sz w:val="24"/>
                <w:szCs w:val="24"/>
              </w:rPr>
              <w:t>Overall, this experience strengthened my knowledge of Mental Health law, safeguarding procedures, and alcohol-related brain damage. It also deepened my understanding of the need to balance rights with protection, particularly where rights and safety appear to conflict. I have learnt the importance of ensuring my practice remains legally compliant, ethically sound, and centred on the well-being and rights of the individuals I work with.</w:t>
            </w:r>
          </w:p>
          <w:p w14:paraId="2D605387" w14:textId="77777777" w:rsidR="00FD5A12" w:rsidRPr="006D5502" w:rsidRDefault="00FD5A12" w:rsidP="006D5502">
            <w:pPr>
              <w:spacing w:after="200" w:line="360" w:lineRule="auto"/>
              <w:jc w:val="both"/>
              <w:rPr>
                <w:sz w:val="24"/>
                <w:szCs w:val="24"/>
              </w:rPr>
            </w:pPr>
            <w:r w:rsidRPr="006D5502">
              <w:rPr>
                <w:sz w:val="24"/>
                <w:szCs w:val="24"/>
              </w:rPr>
              <w:t xml:space="preserve">In future cases, I will continue to apply the MCA (2005) and SSWBA (2014) to guide lawful and person-centred decision-making and strengthen my knowledge of alcohol-related brain damage and its impact on safeguarding practice through further reading and training. I hope to develop confidence in managing conflict with family members by drawing on professional </w:t>
            </w:r>
            <w:r w:rsidRPr="006D5502">
              <w:rPr>
                <w:sz w:val="24"/>
                <w:szCs w:val="24"/>
              </w:rPr>
              <w:lastRenderedPageBreak/>
              <w:t>supervision and the BASW Code of Ethics (2021). I will always promote advocacy consistently, ensuring individuals’ voices are heard even when they lack capacity, whilst continue to engage proactively in multi-agency working, recognising the value of collaboration in safeguarding cases.</w:t>
            </w:r>
          </w:p>
          <w:p w14:paraId="637135BC" w14:textId="77777777" w:rsidR="00FD5A12" w:rsidRPr="006D5502" w:rsidRDefault="00FD5A12" w:rsidP="006D5502">
            <w:pPr>
              <w:spacing w:after="200" w:line="360" w:lineRule="auto"/>
              <w:jc w:val="both"/>
              <w:rPr>
                <w:sz w:val="24"/>
                <w:szCs w:val="24"/>
              </w:rPr>
            </w:pPr>
            <w:r w:rsidRPr="006D5502">
              <w:rPr>
                <w:sz w:val="24"/>
                <w:szCs w:val="24"/>
              </w:rPr>
              <w:t>By doing this, I will be able to enhance my practice, protect vulnerable individuals more effectively, and continue developing as a reflective and accountable social worker.</w:t>
            </w:r>
          </w:p>
          <w:p w14:paraId="09276962" w14:textId="77777777" w:rsidR="00FD5A12" w:rsidRPr="00F440CD" w:rsidRDefault="00FD5A12" w:rsidP="00F440CD">
            <w:pPr>
              <w:spacing w:line="360" w:lineRule="auto"/>
              <w:jc w:val="both"/>
              <w:rPr>
                <w:sz w:val="24"/>
                <w:szCs w:val="24"/>
              </w:rPr>
            </w:pPr>
          </w:p>
          <w:p w14:paraId="48028049" w14:textId="77777777" w:rsidR="00FD5A12" w:rsidRPr="00725848" w:rsidRDefault="00FD5A12" w:rsidP="00FD5A12">
            <w:pPr>
              <w:spacing w:line="360" w:lineRule="auto"/>
              <w:jc w:val="both"/>
              <w:rPr>
                <w:sz w:val="24"/>
                <w:szCs w:val="24"/>
              </w:rPr>
            </w:pPr>
            <w:r>
              <w:rPr>
                <w:sz w:val="24"/>
                <w:szCs w:val="24"/>
              </w:rPr>
              <w:t>Word Count - 3720</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1F4AD" w14:textId="77777777" w:rsidR="00D65AA2" w:rsidRDefault="00D65AA2">
      <w:r>
        <w:separator/>
      </w:r>
    </w:p>
  </w:endnote>
  <w:endnote w:type="continuationSeparator" w:id="0">
    <w:p w14:paraId="053D7166" w14:textId="77777777" w:rsidR="00D65AA2" w:rsidRDefault="00D65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FE2E1" w14:textId="77777777" w:rsidR="00D65AA2" w:rsidRDefault="00D65AA2">
      <w:r>
        <w:separator/>
      </w:r>
    </w:p>
  </w:footnote>
  <w:footnote w:type="continuationSeparator" w:id="0">
    <w:p w14:paraId="0C8A9EF5" w14:textId="77777777" w:rsidR="00D65AA2" w:rsidRDefault="00D65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C1F"/>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5DA7"/>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502"/>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898"/>
    <w:rsid w:val="00793EB3"/>
    <w:rsid w:val="00794205"/>
    <w:rsid w:val="0079422A"/>
    <w:rsid w:val="007A0DF2"/>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505"/>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3AD"/>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68D"/>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5AA2"/>
    <w:rsid w:val="00D71201"/>
    <w:rsid w:val="00D720C7"/>
    <w:rsid w:val="00D84841"/>
    <w:rsid w:val="00D86401"/>
    <w:rsid w:val="00D876E6"/>
    <w:rsid w:val="00D90958"/>
    <w:rsid w:val="00DA1025"/>
    <w:rsid w:val="00DA22EC"/>
    <w:rsid w:val="00DA4080"/>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73FD"/>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0CD"/>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A12"/>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3790</Words>
  <Characters>21607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9</cp:revision>
  <cp:lastPrinted>2020-02-11T19:20:00Z</cp:lastPrinted>
  <dcterms:created xsi:type="dcterms:W3CDTF">2025-09-23T20:46:00Z</dcterms:created>
  <dcterms:modified xsi:type="dcterms:W3CDTF">2025-10-01T07:34:00Z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