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eastAsia="en-US"/>
          <w14:ligatures w14:val="standardContextual"/>
        </w:rPr>
        <w:id w:val="1058663080"/>
        <w:docPartObj>
          <w:docPartGallery w:val="Cover Pages"/>
          <w:docPartUnique/>
        </w:docPartObj>
      </w:sdtPr>
      <w:sdtEndPr>
        <w:rPr>
          <w:color w:val="auto"/>
        </w:rPr>
      </w:sdtEndPr>
      <w:sdtContent>
        <w:p w14:paraId="3FF9F4EE" w14:textId="58E68BC4" w:rsidR="008A3842" w:rsidRDefault="008A3842">
          <w:pPr>
            <w:pStyle w:val="NoSpacing"/>
            <w:spacing w:before="1540" w:after="240"/>
            <w:jc w:val="center"/>
            <w:rPr>
              <w:color w:val="4472C4" w:themeColor="accent1"/>
            </w:rPr>
          </w:pPr>
          <w:r>
            <w:rPr>
              <w:noProof/>
              <w:color w:val="4472C4" w:themeColor="accent1"/>
            </w:rPr>
            <w:drawing>
              <wp:inline distT="0" distB="0" distL="0" distR="0" wp14:anchorId="2F4D1C71" wp14:editId="3C48F43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6F201148152472EB5988AEFA55EF37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362813" w14:textId="5C1128DC" w:rsidR="008A3842" w:rsidRDefault="008A38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Property Law.</w:t>
              </w:r>
            </w:p>
          </w:sdtContent>
        </w:sdt>
        <w:sdt>
          <w:sdtPr>
            <w:rPr>
              <w:color w:val="4472C4" w:themeColor="accent1"/>
              <w:sz w:val="28"/>
              <w:szCs w:val="28"/>
            </w:rPr>
            <w:alias w:val="Subtitle"/>
            <w:tag w:val=""/>
            <w:id w:val="328029620"/>
            <w:placeholder>
              <w:docPart w:val="5C50E8842E544E19B942E7FEE9F34B20"/>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7FAC4407" w14:textId="77777777" w:rsidR="008A3842" w:rsidRDefault="008A3842">
              <w:pPr>
                <w:pStyle w:val="NoSpacing"/>
                <w:jc w:val="center"/>
                <w:rPr>
                  <w:color w:val="4472C4" w:themeColor="accent1"/>
                  <w:sz w:val="28"/>
                  <w:szCs w:val="28"/>
                </w:rPr>
              </w:pPr>
              <w:r>
                <w:rPr>
                  <w:color w:val="4472C4" w:themeColor="accent1"/>
                  <w:sz w:val="28"/>
                  <w:szCs w:val="28"/>
                </w:rPr>
                <w:t>[Document subtitle]</w:t>
              </w:r>
            </w:p>
          </w:sdtContent>
        </w:sdt>
        <w:p w14:paraId="0EBACCBD" w14:textId="77777777" w:rsidR="008A3842" w:rsidRDefault="008A384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5CDC1AA" wp14:editId="518B6ED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03T00:00:00Z">
                                    <w:dateFormat w:val="dd MMMM yyyy"/>
                                    <w:lid w:val="en-GB"/>
                                    <w:storeMappedDataAs w:val="dateTime"/>
                                    <w:calendar w:val="gregorian"/>
                                  </w:date>
                                </w:sdtPr>
                                <w:sdtEndPr/>
                                <w:sdtContent>
                                  <w:p w14:paraId="495AAA27" w14:textId="356E743E" w:rsidR="008A3842" w:rsidRDefault="008A3842">
                                    <w:pPr>
                                      <w:pStyle w:val="NoSpacing"/>
                                      <w:spacing w:after="40"/>
                                      <w:jc w:val="center"/>
                                      <w:rPr>
                                        <w:caps/>
                                        <w:color w:val="4472C4" w:themeColor="accent1"/>
                                        <w:sz w:val="28"/>
                                        <w:szCs w:val="28"/>
                                      </w:rPr>
                                    </w:pPr>
                                    <w:r>
                                      <w:rPr>
                                        <w:caps/>
                                        <w:color w:val="4472C4" w:themeColor="accent1"/>
                                        <w:sz w:val="28"/>
                                        <w:szCs w:val="28"/>
                                      </w:rPr>
                                      <w:t>03 December 2023</w:t>
                                    </w:r>
                                  </w:p>
                                </w:sdtContent>
                              </w:sdt>
                              <w:p w14:paraId="363E7BE0" w14:textId="4AD5B208" w:rsidR="008A3842" w:rsidRDefault="0010174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A3842">
                                      <w:rPr>
                                        <w:caps/>
                                        <w:color w:val="4472C4" w:themeColor="accent1"/>
                                      </w:rPr>
                                      <w:t>Melenie Jane Box.</w:t>
                                    </w:r>
                                  </w:sdtContent>
                                </w:sdt>
                              </w:p>
                              <w:p w14:paraId="162314D2" w14:textId="085F6251" w:rsidR="008A3842" w:rsidRDefault="0010174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A3842">
                                      <w:rPr>
                                        <w:color w:val="4472C4" w:themeColor="accent1"/>
                                      </w:rPr>
                                      <w:t>BMLW6008.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CDC1A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03T00:00:00Z">
                              <w:dateFormat w:val="dd MMMM yyyy"/>
                              <w:lid w:val="en-GB"/>
                              <w:storeMappedDataAs w:val="dateTime"/>
                              <w:calendar w:val="gregorian"/>
                            </w:date>
                          </w:sdtPr>
                          <w:sdtEndPr/>
                          <w:sdtContent>
                            <w:p w14:paraId="495AAA27" w14:textId="356E743E" w:rsidR="008A3842" w:rsidRDefault="008A3842">
                              <w:pPr>
                                <w:pStyle w:val="NoSpacing"/>
                                <w:spacing w:after="40"/>
                                <w:jc w:val="center"/>
                                <w:rPr>
                                  <w:caps/>
                                  <w:color w:val="4472C4" w:themeColor="accent1"/>
                                  <w:sz w:val="28"/>
                                  <w:szCs w:val="28"/>
                                </w:rPr>
                              </w:pPr>
                              <w:r>
                                <w:rPr>
                                  <w:caps/>
                                  <w:color w:val="4472C4" w:themeColor="accent1"/>
                                  <w:sz w:val="28"/>
                                  <w:szCs w:val="28"/>
                                </w:rPr>
                                <w:t>03 December 2023</w:t>
                              </w:r>
                            </w:p>
                          </w:sdtContent>
                        </w:sdt>
                        <w:p w14:paraId="363E7BE0" w14:textId="4AD5B208" w:rsidR="008A3842" w:rsidRDefault="0010174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A3842">
                                <w:rPr>
                                  <w:caps/>
                                  <w:color w:val="4472C4" w:themeColor="accent1"/>
                                </w:rPr>
                                <w:t>Melenie Jane Box.</w:t>
                              </w:r>
                            </w:sdtContent>
                          </w:sdt>
                        </w:p>
                        <w:p w14:paraId="162314D2" w14:textId="085F6251" w:rsidR="008A3842" w:rsidRDefault="0010174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A3842">
                                <w:rPr>
                                  <w:color w:val="4472C4" w:themeColor="accent1"/>
                                </w:rPr>
                                <w:t>BMLW6008.</w:t>
                              </w:r>
                            </w:sdtContent>
                          </w:sdt>
                        </w:p>
                      </w:txbxContent>
                    </v:textbox>
                    <w10:wrap anchorx="margin" anchory="page"/>
                  </v:shape>
                </w:pict>
              </mc:Fallback>
            </mc:AlternateContent>
          </w:r>
          <w:r>
            <w:rPr>
              <w:noProof/>
              <w:color w:val="4472C4" w:themeColor="accent1"/>
            </w:rPr>
            <w:drawing>
              <wp:inline distT="0" distB="0" distL="0" distR="0" wp14:anchorId="6D29523A" wp14:editId="6544668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15D760" w14:textId="3363C26F" w:rsidR="008A3842" w:rsidRDefault="008A3842">
          <w:r>
            <w:br w:type="page"/>
          </w:r>
        </w:p>
      </w:sdtContent>
    </w:sdt>
    <w:p w14:paraId="2CB2F6A5" w14:textId="6806A100" w:rsidR="00272192" w:rsidRDefault="008A3842" w:rsidP="008A3842">
      <w:pPr>
        <w:spacing w:line="480" w:lineRule="auto"/>
        <w:rPr>
          <w:rFonts w:ascii="Arial" w:hAnsi="Arial" w:cs="Arial"/>
          <w:sz w:val="44"/>
          <w:szCs w:val="44"/>
          <w:u w:val="single"/>
        </w:rPr>
      </w:pPr>
      <w:r>
        <w:rPr>
          <w:rFonts w:ascii="Arial" w:hAnsi="Arial" w:cs="Arial"/>
          <w:sz w:val="44"/>
          <w:szCs w:val="44"/>
        </w:rPr>
        <w:lastRenderedPageBreak/>
        <w:t xml:space="preserve">                         </w:t>
      </w:r>
      <w:r w:rsidRPr="008A3842">
        <w:rPr>
          <w:rFonts w:ascii="Arial" w:hAnsi="Arial" w:cs="Arial"/>
          <w:sz w:val="44"/>
          <w:szCs w:val="44"/>
          <w:u w:val="single"/>
        </w:rPr>
        <w:t>Property Law.</w:t>
      </w:r>
    </w:p>
    <w:p w14:paraId="5E66CAA1" w14:textId="048E2D9E" w:rsidR="009767DB" w:rsidRDefault="009767DB" w:rsidP="008A3842">
      <w:pPr>
        <w:spacing w:line="480" w:lineRule="auto"/>
        <w:rPr>
          <w:rFonts w:ascii="Arial" w:hAnsi="Arial" w:cs="Arial"/>
          <w:sz w:val="24"/>
          <w:szCs w:val="24"/>
        </w:rPr>
      </w:pPr>
      <w:r>
        <w:rPr>
          <w:rFonts w:ascii="Arial" w:hAnsi="Arial" w:cs="Arial"/>
          <w:sz w:val="24"/>
          <w:szCs w:val="24"/>
        </w:rPr>
        <w:t xml:space="preserve">An easement is a right over the land of another, to do a specified thing. Easements are always enforceable between the one whose land is being used (grantor) and the one using the right (grantee) as a matter of contract. So, is a right in question capable of being an easement? To find this out, you would need to follow the rule which are set out in the Re Ellenborough Park (1956) case, then you must consider how this land had been </w:t>
      </w:r>
      <w:r w:rsidR="008409DF">
        <w:rPr>
          <w:rFonts w:ascii="Arial" w:hAnsi="Arial" w:cs="Arial"/>
          <w:sz w:val="24"/>
          <w:szCs w:val="24"/>
        </w:rPr>
        <w:t>acquired. There</w:t>
      </w:r>
      <w:r>
        <w:rPr>
          <w:rFonts w:ascii="Arial" w:hAnsi="Arial" w:cs="Arial"/>
          <w:sz w:val="24"/>
          <w:szCs w:val="24"/>
        </w:rPr>
        <w:t xml:space="preserve"> must be two clearly defined pieces of land, where one must be capable of benefiting from the easement</w:t>
      </w:r>
      <w:r w:rsidR="008409DF">
        <w:rPr>
          <w:rFonts w:ascii="Arial" w:hAnsi="Arial" w:cs="Arial"/>
          <w:sz w:val="24"/>
          <w:szCs w:val="24"/>
        </w:rPr>
        <w:t>, while the other would carry out the burden of this easement (Dixon, M, 2014).</w:t>
      </w:r>
    </w:p>
    <w:p w14:paraId="798E4E6B" w14:textId="0A79A8A5" w:rsidR="008409DF" w:rsidRDefault="008409DF" w:rsidP="008A3842">
      <w:pPr>
        <w:spacing w:line="480" w:lineRule="auto"/>
        <w:rPr>
          <w:rFonts w:ascii="Arial" w:hAnsi="Arial" w:cs="Arial"/>
          <w:sz w:val="24"/>
          <w:szCs w:val="24"/>
        </w:rPr>
      </w:pPr>
      <w:r>
        <w:rPr>
          <w:rFonts w:ascii="Arial" w:hAnsi="Arial" w:cs="Arial"/>
          <w:sz w:val="24"/>
          <w:szCs w:val="24"/>
        </w:rPr>
        <w:t xml:space="preserve">In the London and Blenheim </w:t>
      </w:r>
      <w:r w:rsidR="003A68F7">
        <w:rPr>
          <w:rFonts w:ascii="Arial" w:hAnsi="Arial" w:cs="Arial"/>
          <w:sz w:val="24"/>
          <w:szCs w:val="24"/>
        </w:rPr>
        <w:t>E</w:t>
      </w:r>
      <w:r>
        <w:rPr>
          <w:rFonts w:ascii="Arial" w:hAnsi="Arial" w:cs="Arial"/>
          <w:sz w:val="24"/>
          <w:szCs w:val="24"/>
        </w:rPr>
        <w:t>states Ltd v Ladbroke Retail Parks Ltd (1993) 4 All ER 157, the Court of Appeal said that an easement cannot be created where the dominant land has not been clearly identified. This is a case which related to the grant of an easement to park cars on an unspecified area/ piece of land.</w:t>
      </w:r>
      <w:r w:rsidR="00094D3E">
        <w:rPr>
          <w:rFonts w:ascii="Arial" w:hAnsi="Arial" w:cs="Arial"/>
          <w:sz w:val="24"/>
          <w:szCs w:val="24"/>
        </w:rPr>
        <w:t xml:space="preserve"> The right </w:t>
      </w:r>
      <w:proofErr w:type="gramStart"/>
      <w:r w:rsidR="00094D3E">
        <w:rPr>
          <w:rFonts w:ascii="Arial" w:hAnsi="Arial" w:cs="Arial"/>
          <w:sz w:val="24"/>
          <w:szCs w:val="24"/>
        </w:rPr>
        <w:t>has to</w:t>
      </w:r>
      <w:proofErr w:type="gramEnd"/>
      <w:r w:rsidR="00094D3E">
        <w:rPr>
          <w:rFonts w:ascii="Arial" w:hAnsi="Arial" w:cs="Arial"/>
          <w:sz w:val="24"/>
          <w:szCs w:val="24"/>
        </w:rPr>
        <w:t xml:space="preserve"> be one that benefits the dominant land, not just the landowner. This was stated in the case of Hill v Tupper (1863) 2 H&amp;C 121.</w:t>
      </w:r>
      <w:r w:rsidR="008C5376">
        <w:rPr>
          <w:rFonts w:ascii="Arial" w:hAnsi="Arial" w:cs="Arial"/>
          <w:sz w:val="24"/>
          <w:szCs w:val="24"/>
        </w:rPr>
        <w:t xml:space="preserve"> Hill was granted a right to hire out pleasure boats from a designated stretch of canal bank. Hill tried to stop another entrepreneur from doing the same thing. The right was to benefit Hill personally, so this could not be classed as an easement. The two pieces of land </w:t>
      </w:r>
      <w:proofErr w:type="gramStart"/>
      <w:r w:rsidR="008C5376">
        <w:rPr>
          <w:rFonts w:ascii="Arial" w:hAnsi="Arial" w:cs="Arial"/>
          <w:sz w:val="24"/>
          <w:szCs w:val="24"/>
        </w:rPr>
        <w:t>have to</w:t>
      </w:r>
      <w:proofErr w:type="gramEnd"/>
      <w:r w:rsidR="008C5376">
        <w:rPr>
          <w:rFonts w:ascii="Arial" w:hAnsi="Arial" w:cs="Arial"/>
          <w:sz w:val="24"/>
          <w:szCs w:val="24"/>
        </w:rPr>
        <w:t xml:space="preserve"> be reasonably close together, though do not have to be adjacent. If it is not adjacent then the dominant owner needs to have a legal right to pass over </w:t>
      </w:r>
      <w:r w:rsidR="009E07E7">
        <w:rPr>
          <w:rFonts w:ascii="Arial" w:hAnsi="Arial" w:cs="Arial"/>
          <w:sz w:val="24"/>
          <w:szCs w:val="24"/>
        </w:rPr>
        <w:t>third-party</w:t>
      </w:r>
      <w:r w:rsidR="008C5376">
        <w:rPr>
          <w:rFonts w:ascii="Arial" w:hAnsi="Arial" w:cs="Arial"/>
          <w:sz w:val="24"/>
          <w:szCs w:val="24"/>
        </w:rPr>
        <w:t xml:space="preserve"> land that may divide these two pieces of land (Sexton, R, Bogusz, B, 2011).</w:t>
      </w:r>
    </w:p>
    <w:p w14:paraId="6FA52B9F" w14:textId="3AF63E3B" w:rsidR="009E07E7" w:rsidRDefault="009E07E7" w:rsidP="008A3842">
      <w:pPr>
        <w:spacing w:line="480" w:lineRule="auto"/>
        <w:rPr>
          <w:rFonts w:ascii="Arial" w:hAnsi="Arial" w:cs="Arial"/>
          <w:sz w:val="24"/>
          <w:szCs w:val="24"/>
        </w:rPr>
      </w:pPr>
      <w:r>
        <w:rPr>
          <w:rFonts w:ascii="Arial" w:hAnsi="Arial" w:cs="Arial"/>
          <w:sz w:val="24"/>
          <w:szCs w:val="24"/>
        </w:rPr>
        <w:t>In 2020, the Court of Appeal</w:t>
      </w:r>
      <w:r w:rsidR="00E761D9">
        <w:rPr>
          <w:rFonts w:ascii="Arial" w:hAnsi="Arial" w:cs="Arial"/>
          <w:sz w:val="24"/>
          <w:szCs w:val="24"/>
        </w:rPr>
        <w:t xml:space="preserve"> overturned the High Court decision of Batchelor v Marlow (2007) and held that on the facts of this case, parking vehicles on adjoining land cannot be an easement as it was too extensive which went on to state that this </w:t>
      </w:r>
      <w:r w:rsidR="00E761D9">
        <w:rPr>
          <w:rFonts w:ascii="Arial" w:hAnsi="Arial" w:cs="Arial"/>
          <w:sz w:val="24"/>
          <w:szCs w:val="24"/>
        </w:rPr>
        <w:lastRenderedPageBreak/>
        <w:t>would exclude the landowner (adjoining) from the purpose of what is intended, this was the right to be able to use the land. The right for the parking of motor vehicles was to be acquired by prescription. The High Court judge was satisfied that the defendant had a right for parking upon this land for business hours for five days a week (Monday – Friday) could be an easement because it would not deprive the landowner in any way to continue to use the land that was in question at this time. When this case was heard at the Court of Appeal, it was considered that any implications for the decision of the owner of fore said land was not adequately considered (Reuters, T, 2023).</w:t>
      </w:r>
      <w:r w:rsidR="00E22428">
        <w:rPr>
          <w:rFonts w:ascii="Arial" w:hAnsi="Arial" w:cs="Arial"/>
          <w:sz w:val="24"/>
          <w:szCs w:val="24"/>
        </w:rPr>
        <w:t xml:space="preserve"> </w:t>
      </w:r>
    </w:p>
    <w:p w14:paraId="69BBB6C9" w14:textId="0CCD2267" w:rsidR="001D6663" w:rsidRDefault="001D6663" w:rsidP="008A3842">
      <w:pPr>
        <w:spacing w:line="480" w:lineRule="auto"/>
        <w:rPr>
          <w:rFonts w:ascii="Arial" w:hAnsi="Arial" w:cs="Arial"/>
          <w:sz w:val="24"/>
          <w:szCs w:val="24"/>
        </w:rPr>
      </w:pPr>
      <w:r>
        <w:rPr>
          <w:rFonts w:ascii="Arial" w:hAnsi="Arial" w:cs="Arial"/>
          <w:sz w:val="24"/>
          <w:szCs w:val="24"/>
        </w:rPr>
        <w:t xml:space="preserve">Easements provide a commercial advantage to the tenement (dominant) which is not harmful to a claim, this </w:t>
      </w:r>
      <w:proofErr w:type="gramStart"/>
      <w:r>
        <w:rPr>
          <w:rFonts w:ascii="Arial" w:hAnsi="Arial" w:cs="Arial"/>
          <w:sz w:val="24"/>
          <w:szCs w:val="24"/>
        </w:rPr>
        <w:t>has to</w:t>
      </w:r>
      <w:proofErr w:type="gramEnd"/>
      <w:r>
        <w:rPr>
          <w:rFonts w:ascii="Arial" w:hAnsi="Arial" w:cs="Arial"/>
          <w:sz w:val="24"/>
          <w:szCs w:val="24"/>
        </w:rPr>
        <w:t xml:space="preserve"> attach to the land and not just the person who really occupies this piece of land</w:t>
      </w:r>
      <w:r w:rsidR="007F4144">
        <w:rPr>
          <w:rFonts w:ascii="Arial" w:hAnsi="Arial" w:cs="Arial"/>
          <w:sz w:val="24"/>
          <w:szCs w:val="24"/>
        </w:rPr>
        <w:t xml:space="preserve"> (Thomas, M, 2018 – 2019).</w:t>
      </w:r>
    </w:p>
    <w:p w14:paraId="2AE3C151" w14:textId="27DE0B39" w:rsidR="001D6663" w:rsidRDefault="00DE71E6" w:rsidP="008A3842">
      <w:pPr>
        <w:spacing w:line="480" w:lineRule="auto"/>
        <w:rPr>
          <w:rFonts w:ascii="Arial" w:hAnsi="Arial" w:cs="Arial"/>
          <w:sz w:val="24"/>
          <w:szCs w:val="24"/>
        </w:rPr>
      </w:pPr>
      <w:r>
        <w:rPr>
          <w:rFonts w:ascii="Arial" w:hAnsi="Arial" w:cs="Arial"/>
          <w:sz w:val="24"/>
          <w:szCs w:val="24"/>
        </w:rPr>
        <w:t xml:space="preserve">Begley v Taylor (2014) EWHC 1180 (Ch) was about a neighbour’s dispute within a </w:t>
      </w:r>
      <w:proofErr w:type="spellStart"/>
      <w:r>
        <w:rPr>
          <w:rFonts w:ascii="Arial" w:hAnsi="Arial" w:cs="Arial"/>
          <w:sz w:val="24"/>
          <w:szCs w:val="24"/>
        </w:rPr>
        <w:t>cul</w:t>
      </w:r>
      <w:proofErr w:type="spellEnd"/>
      <w:r>
        <w:rPr>
          <w:rFonts w:ascii="Arial" w:hAnsi="Arial" w:cs="Arial"/>
          <w:sz w:val="24"/>
          <w:szCs w:val="24"/>
        </w:rPr>
        <w:t xml:space="preserve"> – de – sac that had to be accessed by a private road. The defendants started to construct a gate, and the neighbours were to </w:t>
      </w:r>
      <w:proofErr w:type="gramStart"/>
      <w:r>
        <w:rPr>
          <w:rFonts w:ascii="Arial" w:hAnsi="Arial" w:cs="Arial"/>
          <w:sz w:val="24"/>
          <w:szCs w:val="24"/>
        </w:rPr>
        <w:t>protest against</w:t>
      </w:r>
      <w:proofErr w:type="gramEnd"/>
      <w:r>
        <w:rPr>
          <w:rFonts w:ascii="Arial" w:hAnsi="Arial" w:cs="Arial"/>
          <w:sz w:val="24"/>
          <w:szCs w:val="24"/>
        </w:rPr>
        <w:t xml:space="preserve"> this as it would interfere with rights of way and stop them from being able to turn around their </w:t>
      </w:r>
      <w:r w:rsidR="007F4144">
        <w:rPr>
          <w:rFonts w:ascii="Arial" w:hAnsi="Arial" w:cs="Arial"/>
          <w:sz w:val="24"/>
          <w:szCs w:val="24"/>
        </w:rPr>
        <w:t>cars and would also half the width of the access road too and go on to create a closed forecourt for the defendants. Anyone who were to visit, would have to park in a way that would interfere with the use of the access road. The judge decided to look back upon the Batchelor v Marlow case (2007), to state that the defendants right of way had not been rendered illusory (Martin, J, Turner C, 2003).</w:t>
      </w:r>
    </w:p>
    <w:p w14:paraId="0F4EA25F" w14:textId="1CB58561" w:rsidR="007F4144" w:rsidRDefault="007F4144" w:rsidP="008A3842">
      <w:pPr>
        <w:spacing w:line="480" w:lineRule="auto"/>
        <w:rPr>
          <w:rFonts w:ascii="Arial" w:hAnsi="Arial" w:cs="Arial"/>
          <w:sz w:val="24"/>
          <w:szCs w:val="24"/>
        </w:rPr>
      </w:pPr>
      <w:r>
        <w:rPr>
          <w:rFonts w:ascii="Arial" w:hAnsi="Arial" w:cs="Arial"/>
          <w:sz w:val="24"/>
          <w:szCs w:val="24"/>
        </w:rPr>
        <w:t xml:space="preserve">The Batchelor v Marlow (2007) case was referred to again in R Square Properties Ltd v Nissan Motors (GB) </w:t>
      </w:r>
      <w:r w:rsidR="00141AED">
        <w:rPr>
          <w:rFonts w:ascii="Arial" w:hAnsi="Arial" w:cs="Arial"/>
          <w:sz w:val="24"/>
          <w:szCs w:val="24"/>
        </w:rPr>
        <w:t>Ltd (</w:t>
      </w:r>
      <w:r>
        <w:rPr>
          <w:rFonts w:ascii="Arial" w:hAnsi="Arial" w:cs="Arial"/>
          <w:sz w:val="24"/>
          <w:szCs w:val="24"/>
        </w:rPr>
        <w:t>unreported, Chancery Division, 2014)</w:t>
      </w:r>
      <w:r w:rsidR="00141AED">
        <w:rPr>
          <w:rFonts w:ascii="Arial" w:hAnsi="Arial" w:cs="Arial"/>
          <w:sz w:val="24"/>
          <w:szCs w:val="24"/>
        </w:rPr>
        <w:t xml:space="preserve">. The judge found that a company’s exclusive rights for the use of parking spaces upon an </w:t>
      </w:r>
      <w:r w:rsidR="00141AED">
        <w:rPr>
          <w:rFonts w:ascii="Arial" w:hAnsi="Arial" w:cs="Arial"/>
          <w:sz w:val="24"/>
          <w:szCs w:val="24"/>
        </w:rPr>
        <w:lastRenderedPageBreak/>
        <w:t>industrial estate was to state that an easement was to be upheld. The owner of the servient land was not deprived of reasonable use of the piece of land by virtue of the company’s rights to park exclusively (</w:t>
      </w:r>
      <w:proofErr w:type="spellStart"/>
      <w:r w:rsidR="00141AED">
        <w:rPr>
          <w:rFonts w:ascii="Arial" w:hAnsi="Arial" w:cs="Arial"/>
          <w:sz w:val="24"/>
          <w:szCs w:val="24"/>
        </w:rPr>
        <w:t>Duddington</w:t>
      </w:r>
      <w:proofErr w:type="spellEnd"/>
      <w:r w:rsidR="00141AED">
        <w:rPr>
          <w:rFonts w:ascii="Arial" w:hAnsi="Arial" w:cs="Arial"/>
          <w:sz w:val="24"/>
          <w:szCs w:val="24"/>
        </w:rPr>
        <w:t>, J, 2017).</w:t>
      </w:r>
    </w:p>
    <w:p w14:paraId="48622CF2" w14:textId="721C8CA0" w:rsidR="00141AED" w:rsidRDefault="00141AED" w:rsidP="008A3842">
      <w:pPr>
        <w:spacing w:line="480" w:lineRule="auto"/>
        <w:rPr>
          <w:rFonts w:ascii="Arial" w:hAnsi="Arial" w:cs="Arial"/>
          <w:sz w:val="24"/>
          <w:szCs w:val="24"/>
        </w:rPr>
      </w:pPr>
      <w:r>
        <w:rPr>
          <w:rFonts w:ascii="Arial" w:hAnsi="Arial" w:cs="Arial"/>
          <w:sz w:val="24"/>
          <w:szCs w:val="24"/>
        </w:rPr>
        <w:t xml:space="preserve">In Copeland v </w:t>
      </w:r>
      <w:proofErr w:type="spellStart"/>
      <w:r>
        <w:rPr>
          <w:rFonts w:ascii="Arial" w:hAnsi="Arial" w:cs="Arial"/>
          <w:sz w:val="24"/>
          <w:szCs w:val="24"/>
        </w:rPr>
        <w:t>Greenhalf</w:t>
      </w:r>
      <w:proofErr w:type="spellEnd"/>
      <w:r>
        <w:rPr>
          <w:rFonts w:ascii="Arial" w:hAnsi="Arial" w:cs="Arial"/>
          <w:sz w:val="24"/>
          <w:szCs w:val="24"/>
        </w:rPr>
        <w:t xml:space="preserve"> (1952), </w:t>
      </w:r>
      <w:proofErr w:type="spellStart"/>
      <w:r>
        <w:rPr>
          <w:rFonts w:ascii="Arial" w:hAnsi="Arial" w:cs="Arial"/>
          <w:sz w:val="24"/>
          <w:szCs w:val="24"/>
        </w:rPr>
        <w:t>UpJohn</w:t>
      </w:r>
      <w:proofErr w:type="spellEnd"/>
      <w:r>
        <w:rPr>
          <w:rFonts w:ascii="Arial" w:hAnsi="Arial" w:cs="Arial"/>
          <w:sz w:val="24"/>
          <w:szCs w:val="24"/>
        </w:rPr>
        <w:t xml:space="preserve"> J was to consider that if a claim that amounted to </w:t>
      </w:r>
      <w:proofErr w:type="gramStart"/>
      <w:r>
        <w:rPr>
          <w:rFonts w:ascii="Arial" w:hAnsi="Arial" w:cs="Arial"/>
          <w:sz w:val="24"/>
          <w:szCs w:val="24"/>
        </w:rPr>
        <w:t>all of</w:t>
      </w:r>
      <w:proofErr w:type="gramEnd"/>
      <w:r>
        <w:rPr>
          <w:rFonts w:ascii="Arial" w:hAnsi="Arial" w:cs="Arial"/>
          <w:sz w:val="24"/>
          <w:szCs w:val="24"/>
        </w:rPr>
        <w:t xml:space="preserve"> the beneficial use of land was not an easement and to succeed, it must amount to a successful claim for possession by a reason of adverse possession. This was pointed out by Lord Neuberger in the case of Moncri</w:t>
      </w:r>
      <w:r w:rsidR="008D34EB">
        <w:rPr>
          <w:rFonts w:ascii="Arial" w:hAnsi="Arial" w:cs="Arial"/>
          <w:sz w:val="24"/>
          <w:szCs w:val="24"/>
        </w:rPr>
        <w:t xml:space="preserve">eff v Jameison (2007), which has been relied upon in so many cases to suggest that the right to park cannot be an easement. Looking at London v Blenheim Estates Ltd v Ladbroke Retail Parks Ltd (1992), the deputy judge was to reject the argument that Copeland v </w:t>
      </w:r>
      <w:proofErr w:type="spellStart"/>
      <w:r w:rsidR="008D34EB">
        <w:rPr>
          <w:rFonts w:ascii="Arial" w:hAnsi="Arial" w:cs="Arial"/>
          <w:sz w:val="24"/>
          <w:szCs w:val="24"/>
        </w:rPr>
        <w:t>Greenhalf</w:t>
      </w:r>
      <w:proofErr w:type="spellEnd"/>
      <w:r w:rsidR="008D34EB">
        <w:rPr>
          <w:rFonts w:ascii="Arial" w:hAnsi="Arial" w:cs="Arial"/>
          <w:sz w:val="24"/>
          <w:szCs w:val="24"/>
        </w:rPr>
        <w:t xml:space="preserve"> (1952) case had been wrongly decided upon and that his decision was affirmed on appeal at (1994) 1 WLR 31 (Dixon, M, 2014).</w:t>
      </w:r>
    </w:p>
    <w:p w14:paraId="12B539EC" w14:textId="42469364" w:rsidR="008D34EB" w:rsidRDefault="008D34EB" w:rsidP="008A3842">
      <w:pPr>
        <w:spacing w:line="480" w:lineRule="auto"/>
        <w:rPr>
          <w:rFonts w:ascii="Arial" w:hAnsi="Arial" w:cs="Arial"/>
          <w:sz w:val="24"/>
          <w:szCs w:val="24"/>
        </w:rPr>
      </w:pPr>
      <w:r>
        <w:rPr>
          <w:rFonts w:ascii="Arial" w:hAnsi="Arial" w:cs="Arial"/>
          <w:sz w:val="24"/>
          <w:szCs w:val="24"/>
        </w:rPr>
        <w:t xml:space="preserve">Grigsby v Melville (1972) 1 WLR 1355 case applied the Copland v </w:t>
      </w:r>
      <w:proofErr w:type="spellStart"/>
      <w:r w:rsidR="0008566F">
        <w:rPr>
          <w:rFonts w:ascii="Arial" w:hAnsi="Arial" w:cs="Arial"/>
          <w:sz w:val="24"/>
          <w:szCs w:val="24"/>
        </w:rPr>
        <w:t>Greenhalf</w:t>
      </w:r>
      <w:proofErr w:type="spellEnd"/>
      <w:r w:rsidR="0008566F">
        <w:rPr>
          <w:rFonts w:ascii="Arial" w:hAnsi="Arial" w:cs="Arial"/>
          <w:sz w:val="24"/>
          <w:szCs w:val="24"/>
        </w:rPr>
        <w:t xml:space="preserve"> (</w:t>
      </w:r>
      <w:r>
        <w:rPr>
          <w:rFonts w:ascii="Arial" w:hAnsi="Arial" w:cs="Arial"/>
          <w:sz w:val="24"/>
          <w:szCs w:val="24"/>
        </w:rPr>
        <w:t>1952) on an alleged right to store goods within a cellar, this was held not to be an easement, it failed because it amounted to an exclusive right of user over a confined space</w:t>
      </w:r>
      <w:r w:rsidR="0008566F">
        <w:rPr>
          <w:rFonts w:ascii="Arial" w:hAnsi="Arial" w:cs="Arial"/>
          <w:sz w:val="24"/>
          <w:szCs w:val="24"/>
        </w:rPr>
        <w:t xml:space="preserve"> upon the servient land. Within his judgement, Brightman J was to refer his counsel to the defendant’s argument that the outcome was inconsistent within the judgement of Copeland v </w:t>
      </w:r>
      <w:proofErr w:type="spellStart"/>
      <w:r w:rsidR="0008566F">
        <w:rPr>
          <w:rFonts w:ascii="Arial" w:hAnsi="Arial" w:cs="Arial"/>
          <w:sz w:val="24"/>
          <w:szCs w:val="24"/>
        </w:rPr>
        <w:t>Greenhalf</w:t>
      </w:r>
      <w:proofErr w:type="spellEnd"/>
      <w:r w:rsidR="0008566F">
        <w:rPr>
          <w:rFonts w:ascii="Arial" w:hAnsi="Arial" w:cs="Arial"/>
          <w:sz w:val="24"/>
          <w:szCs w:val="24"/>
        </w:rPr>
        <w:t xml:space="preserve"> (1952) (Sexton, R, Bogusz, B, 2014).</w:t>
      </w:r>
    </w:p>
    <w:p w14:paraId="68FB143C" w14:textId="10A98630" w:rsidR="0008566F" w:rsidRDefault="0008566F" w:rsidP="008A3842">
      <w:pPr>
        <w:spacing w:line="480" w:lineRule="auto"/>
        <w:rPr>
          <w:rFonts w:ascii="Arial" w:hAnsi="Arial" w:cs="Arial"/>
          <w:sz w:val="24"/>
          <w:szCs w:val="24"/>
        </w:rPr>
      </w:pPr>
      <w:r>
        <w:rPr>
          <w:rFonts w:ascii="Arial" w:hAnsi="Arial" w:cs="Arial"/>
          <w:sz w:val="24"/>
          <w:szCs w:val="24"/>
        </w:rPr>
        <w:t xml:space="preserve">No claim which is lawfully made at common law, by grant, custom or by prescription, to anyway or other easement, or of any watercourse, or even the water derived or enjoyed upon, over or from land of water of the King or part of the duchy of Lancaster or Cornwall. Being the sole property of any lay person, ecclesiastical, or corporate, when this way or other matter was last mentioned should have been enjoyed by someone claiming the right without any interruption for the period of </w:t>
      </w:r>
      <w:r>
        <w:rPr>
          <w:rFonts w:ascii="Arial" w:hAnsi="Arial" w:cs="Arial"/>
          <w:sz w:val="24"/>
          <w:szCs w:val="24"/>
        </w:rPr>
        <w:lastRenderedPageBreak/>
        <w:t>twenty years. This shall be destroyed or defeated showing only the way or other matter was first enjoyed prior to the twenty years (Thomas, M, 2018 – 2019).</w:t>
      </w:r>
    </w:p>
    <w:p w14:paraId="2DBEB6A7" w14:textId="2FC12D4E" w:rsidR="00B17012" w:rsidRDefault="00B17012" w:rsidP="008A3842">
      <w:pPr>
        <w:spacing w:line="480" w:lineRule="auto"/>
        <w:rPr>
          <w:rFonts w:ascii="Arial" w:hAnsi="Arial" w:cs="Arial"/>
          <w:sz w:val="24"/>
          <w:szCs w:val="24"/>
        </w:rPr>
      </w:pPr>
      <w:r>
        <w:rPr>
          <w:rFonts w:ascii="Arial" w:hAnsi="Arial" w:cs="Arial"/>
          <w:sz w:val="24"/>
          <w:szCs w:val="24"/>
        </w:rPr>
        <w:t>From the above cases there would be no fast or hard rule when a use of land will be considered that it is too extensive to be an actual easement. This is decided within each case as to whether they are easements or not (Clarke, S, Greer, S, 2014).</w:t>
      </w:r>
    </w:p>
    <w:p w14:paraId="023AAA2E" w14:textId="0FEEBD7A" w:rsidR="008142FB" w:rsidRDefault="008142FB" w:rsidP="008A3842">
      <w:pPr>
        <w:spacing w:line="480" w:lineRule="auto"/>
        <w:rPr>
          <w:rFonts w:ascii="Arial" w:hAnsi="Arial" w:cs="Arial"/>
          <w:sz w:val="24"/>
          <w:szCs w:val="24"/>
        </w:rPr>
      </w:pPr>
      <w:r>
        <w:rPr>
          <w:rFonts w:ascii="Arial" w:hAnsi="Arial" w:cs="Arial"/>
          <w:sz w:val="24"/>
          <w:szCs w:val="24"/>
        </w:rPr>
        <w:t xml:space="preserve">Most physical objects can be seen or treated as part of the land. These are fixtures so cannot be moved if the property </w:t>
      </w:r>
      <w:proofErr w:type="gramStart"/>
      <w:r>
        <w:rPr>
          <w:rFonts w:ascii="Arial" w:hAnsi="Arial" w:cs="Arial"/>
          <w:sz w:val="24"/>
          <w:szCs w:val="24"/>
        </w:rPr>
        <w:t>has to</w:t>
      </w:r>
      <w:proofErr w:type="gramEnd"/>
      <w:r>
        <w:rPr>
          <w:rFonts w:ascii="Arial" w:hAnsi="Arial" w:cs="Arial"/>
          <w:sz w:val="24"/>
          <w:szCs w:val="24"/>
        </w:rPr>
        <w:t xml:space="preserve"> be sold, so the fixtures are part of the property and are sold with the house/ property. Other objects which are known as chattels which means cattle and are moveable and are not part of the land, when any land </w:t>
      </w:r>
      <w:proofErr w:type="gramStart"/>
      <w:r>
        <w:rPr>
          <w:rFonts w:ascii="Arial" w:hAnsi="Arial" w:cs="Arial"/>
          <w:sz w:val="24"/>
          <w:szCs w:val="24"/>
        </w:rPr>
        <w:t>has to</w:t>
      </w:r>
      <w:proofErr w:type="gramEnd"/>
      <w:r>
        <w:rPr>
          <w:rFonts w:ascii="Arial" w:hAnsi="Arial" w:cs="Arial"/>
          <w:sz w:val="24"/>
          <w:szCs w:val="24"/>
        </w:rPr>
        <w:t xml:space="preserve"> be sold to avoid any disputes. Normally a list should be provided as to what stands as fixtures and fittings. The Botham v TSB Plc (1996) provides the distinction between fittings and fixtures. Lictor </w:t>
      </w:r>
      <w:proofErr w:type="spellStart"/>
      <w:r>
        <w:rPr>
          <w:rFonts w:ascii="Arial" w:hAnsi="Arial" w:cs="Arial"/>
          <w:sz w:val="24"/>
          <w:szCs w:val="24"/>
        </w:rPr>
        <w:t>Anstalt</w:t>
      </w:r>
      <w:proofErr w:type="spellEnd"/>
      <w:r>
        <w:rPr>
          <w:rFonts w:ascii="Arial" w:hAnsi="Arial" w:cs="Arial"/>
          <w:sz w:val="24"/>
          <w:szCs w:val="24"/>
        </w:rPr>
        <w:t xml:space="preserve"> v Mir Steel</w:t>
      </w:r>
      <w:r w:rsidR="0016114A">
        <w:rPr>
          <w:rFonts w:ascii="Arial" w:hAnsi="Arial" w:cs="Arial"/>
          <w:sz w:val="24"/>
          <w:szCs w:val="24"/>
        </w:rPr>
        <w:t xml:space="preserve"> UK Ltd (2014), was where a hot strip steel mill used within the metalworking processes is an actual fixture so cannot be moved (</w:t>
      </w:r>
      <w:proofErr w:type="spellStart"/>
      <w:r w:rsidR="0016114A">
        <w:rPr>
          <w:rFonts w:ascii="Arial" w:hAnsi="Arial" w:cs="Arial"/>
          <w:sz w:val="24"/>
          <w:szCs w:val="24"/>
        </w:rPr>
        <w:t>Duddington</w:t>
      </w:r>
      <w:proofErr w:type="spellEnd"/>
      <w:r w:rsidR="0016114A">
        <w:rPr>
          <w:rFonts w:ascii="Arial" w:hAnsi="Arial" w:cs="Arial"/>
          <w:sz w:val="24"/>
          <w:szCs w:val="24"/>
        </w:rPr>
        <w:t>, J, 2014).</w:t>
      </w:r>
    </w:p>
    <w:p w14:paraId="549BC3F0" w14:textId="233A67C7" w:rsidR="0016114A" w:rsidRDefault="0016114A" w:rsidP="008A3842">
      <w:pPr>
        <w:spacing w:line="480" w:lineRule="auto"/>
        <w:rPr>
          <w:rFonts w:ascii="Arial" w:hAnsi="Arial" w:cs="Arial"/>
          <w:sz w:val="24"/>
          <w:szCs w:val="24"/>
        </w:rPr>
      </w:pPr>
      <w:r>
        <w:rPr>
          <w:rFonts w:ascii="Arial" w:hAnsi="Arial" w:cs="Arial"/>
          <w:sz w:val="24"/>
          <w:szCs w:val="24"/>
        </w:rPr>
        <w:t xml:space="preserve">The law relating to chattels was reviewed by the House of Lords in </w:t>
      </w:r>
      <w:proofErr w:type="spellStart"/>
      <w:r>
        <w:rPr>
          <w:rFonts w:ascii="Arial" w:hAnsi="Arial" w:cs="Arial"/>
          <w:sz w:val="24"/>
          <w:szCs w:val="24"/>
        </w:rPr>
        <w:t>Elitestone</w:t>
      </w:r>
      <w:proofErr w:type="spellEnd"/>
      <w:r>
        <w:rPr>
          <w:rFonts w:ascii="Arial" w:hAnsi="Arial" w:cs="Arial"/>
          <w:sz w:val="24"/>
          <w:szCs w:val="24"/>
        </w:rPr>
        <w:t xml:space="preserve"> v Morris (1997) 1 WLR 687. </w:t>
      </w:r>
      <w:r w:rsidR="001042A5">
        <w:rPr>
          <w:rFonts w:ascii="Arial" w:hAnsi="Arial" w:cs="Arial"/>
          <w:sz w:val="24"/>
          <w:szCs w:val="24"/>
        </w:rPr>
        <w:t xml:space="preserve">This was a case about a legal status of a wooden bungalow, where the weight of it was to rest by its own weight upon concrete pillars that were embedded into the ground beneath. A portacabin is removable whereas the wooden bungalow could only be removed by demolition. So, it was held that the wooden bungalow was part of the land as it was upon concrete pillars into the land. When Morris had taken of the land, it was to include </w:t>
      </w:r>
      <w:r w:rsidR="00ED1879">
        <w:rPr>
          <w:rFonts w:ascii="Arial" w:hAnsi="Arial" w:cs="Arial"/>
          <w:sz w:val="24"/>
          <w:szCs w:val="24"/>
        </w:rPr>
        <w:t>the area the bungalow was standing upon, plus the bungalow itself. Not allowed Morris was not allowed to be evicted</w:t>
      </w:r>
      <w:r w:rsidR="00862E56">
        <w:rPr>
          <w:rFonts w:ascii="Arial" w:hAnsi="Arial" w:cs="Arial"/>
          <w:sz w:val="24"/>
          <w:szCs w:val="24"/>
        </w:rPr>
        <w:t xml:space="preserve"> due to this ruling by the House of Lords (</w:t>
      </w:r>
      <w:r w:rsidR="00DB5FCC">
        <w:rPr>
          <w:rFonts w:ascii="Arial" w:hAnsi="Arial" w:cs="Arial"/>
          <w:sz w:val="24"/>
          <w:szCs w:val="24"/>
        </w:rPr>
        <w:t>Clarke, S, Greer, S,2014).</w:t>
      </w:r>
    </w:p>
    <w:p w14:paraId="1C0DEEEF" w14:textId="79609E73" w:rsidR="00862E56" w:rsidRDefault="00862E56" w:rsidP="008A3842">
      <w:pPr>
        <w:spacing w:line="480" w:lineRule="auto"/>
        <w:rPr>
          <w:rFonts w:ascii="Arial" w:hAnsi="Arial" w:cs="Arial"/>
          <w:sz w:val="24"/>
          <w:szCs w:val="24"/>
        </w:rPr>
      </w:pPr>
      <w:r>
        <w:rPr>
          <w:rFonts w:ascii="Arial" w:hAnsi="Arial" w:cs="Arial"/>
          <w:sz w:val="24"/>
          <w:szCs w:val="24"/>
        </w:rPr>
        <w:lastRenderedPageBreak/>
        <w:t xml:space="preserve">The contract is a silent one so this would be a process by which one of the </w:t>
      </w:r>
      <w:r w:rsidR="008A4D47">
        <w:rPr>
          <w:rFonts w:ascii="Arial" w:hAnsi="Arial" w:cs="Arial"/>
          <w:sz w:val="24"/>
          <w:szCs w:val="24"/>
        </w:rPr>
        <w:t>parties</w:t>
      </w:r>
      <w:r>
        <w:rPr>
          <w:rFonts w:ascii="Arial" w:hAnsi="Arial" w:cs="Arial"/>
          <w:sz w:val="24"/>
          <w:szCs w:val="24"/>
        </w:rPr>
        <w:t xml:space="preserve"> would agree to the </w:t>
      </w:r>
      <w:r w:rsidR="008A4D47">
        <w:rPr>
          <w:rFonts w:ascii="Arial" w:hAnsi="Arial" w:cs="Arial"/>
          <w:sz w:val="24"/>
          <w:szCs w:val="24"/>
        </w:rPr>
        <w:t>terms of</w:t>
      </w:r>
      <w:r>
        <w:rPr>
          <w:rFonts w:ascii="Arial" w:hAnsi="Arial" w:cs="Arial"/>
          <w:sz w:val="24"/>
          <w:szCs w:val="24"/>
        </w:rPr>
        <w:t xml:space="preserve"> the contract, better known as contract acceptance.</w:t>
      </w:r>
      <w:r w:rsidR="008A4D47">
        <w:rPr>
          <w:rFonts w:ascii="Arial" w:hAnsi="Arial" w:cs="Arial"/>
          <w:sz w:val="24"/>
          <w:szCs w:val="24"/>
        </w:rPr>
        <w:t xml:space="preserve"> When one of the parties are silent, this goes on to show that they have accepted the contract by not actually answering. This type of principle depends</w:t>
      </w:r>
      <w:r w:rsidR="00AD25D1">
        <w:rPr>
          <w:rFonts w:ascii="Arial" w:hAnsi="Arial" w:cs="Arial"/>
          <w:sz w:val="24"/>
          <w:szCs w:val="24"/>
        </w:rPr>
        <w:t xml:space="preserve"> solely upon any jurisdictions </w:t>
      </w:r>
      <w:proofErr w:type="gramStart"/>
      <w:r w:rsidR="00AD25D1">
        <w:rPr>
          <w:rFonts w:ascii="Arial" w:hAnsi="Arial" w:cs="Arial"/>
          <w:sz w:val="24"/>
          <w:szCs w:val="24"/>
        </w:rPr>
        <w:t>and also</w:t>
      </w:r>
      <w:proofErr w:type="gramEnd"/>
      <w:r w:rsidR="00AD25D1">
        <w:rPr>
          <w:rFonts w:ascii="Arial" w:hAnsi="Arial" w:cs="Arial"/>
          <w:sz w:val="24"/>
          <w:szCs w:val="24"/>
        </w:rPr>
        <w:t xml:space="preserve"> with regards of any of the offers. Harrison is selling his property to Olivia, but as the contract is silent, according to the concept of acceptance by silence, then this could be construed as acceptance of the offer and a legally enforceable contract has been made. Therefore, Olivia would expect Harrison to leave everything, even it is not fixed to anything. Acceptance of silence may not always be regarded as a form of </w:t>
      </w:r>
      <w:r w:rsidR="00816972">
        <w:rPr>
          <w:rFonts w:ascii="Arial" w:hAnsi="Arial" w:cs="Arial"/>
          <w:sz w:val="24"/>
          <w:szCs w:val="24"/>
        </w:rPr>
        <w:t>acceptance; this would usually depend on jurisdiction along with any context. This could go on to argue that by the party staying silent then this doesn’t indicate any acceptance of a contract and that verbal assent would be needed</w:t>
      </w:r>
      <w:r w:rsidR="00BB22B0">
        <w:rPr>
          <w:rFonts w:ascii="Arial" w:hAnsi="Arial" w:cs="Arial"/>
          <w:sz w:val="24"/>
          <w:szCs w:val="24"/>
        </w:rPr>
        <w:t xml:space="preserve">. Many contracts may state that the offer is only accepted if it has been signed </w:t>
      </w:r>
      <w:proofErr w:type="gramStart"/>
      <w:r w:rsidR="00BB22B0">
        <w:rPr>
          <w:rFonts w:ascii="Arial" w:hAnsi="Arial" w:cs="Arial"/>
          <w:sz w:val="24"/>
          <w:szCs w:val="24"/>
        </w:rPr>
        <w:t>and also</w:t>
      </w:r>
      <w:proofErr w:type="gramEnd"/>
      <w:r w:rsidR="00BB22B0">
        <w:rPr>
          <w:rFonts w:ascii="Arial" w:hAnsi="Arial" w:cs="Arial"/>
          <w:sz w:val="24"/>
          <w:szCs w:val="24"/>
        </w:rPr>
        <w:t xml:space="preserve"> by the return of this signed copy. Acceptance by silence is not widely acknowledged within law, so you should seek legal </w:t>
      </w:r>
      <w:r w:rsidR="00165F22">
        <w:rPr>
          <w:rFonts w:ascii="Arial" w:hAnsi="Arial" w:cs="Arial"/>
          <w:sz w:val="24"/>
          <w:szCs w:val="24"/>
        </w:rPr>
        <w:t>advice</w:t>
      </w:r>
      <w:r w:rsidR="00BB22B0">
        <w:rPr>
          <w:rFonts w:ascii="Arial" w:hAnsi="Arial" w:cs="Arial"/>
          <w:sz w:val="24"/>
          <w:szCs w:val="24"/>
        </w:rPr>
        <w:t xml:space="preserve"> before exploring any possibilities of this (Mc Duffey, T, 2021).</w:t>
      </w:r>
    </w:p>
    <w:p w14:paraId="62F67B09" w14:textId="365813BE" w:rsidR="00165F22" w:rsidRDefault="00165F22" w:rsidP="008A3842">
      <w:pPr>
        <w:spacing w:line="480" w:lineRule="auto"/>
        <w:rPr>
          <w:rFonts w:ascii="Arial" w:hAnsi="Arial" w:cs="Arial"/>
          <w:sz w:val="24"/>
          <w:szCs w:val="24"/>
        </w:rPr>
      </w:pPr>
      <w:r>
        <w:rPr>
          <w:rFonts w:ascii="Arial" w:hAnsi="Arial" w:cs="Arial"/>
          <w:sz w:val="24"/>
          <w:szCs w:val="24"/>
        </w:rPr>
        <w:t>Capitol Park Leeds Plc v Global Radio Services Ltd (2021) EWCA civ 995, is a case with regards to a tenant who was to hand back an empty shell of a building. This had complied with a condition of its break option which gave vacant possession of this property. The current tenant was under a lease which was to run for twenty – four years from 2001. The lease upon this property could be broken in 2017 under the condition that it gave back vacant possession of said property to the landlord. This was set out or defined within the lease of the property, which was to include</w:t>
      </w:r>
      <w:r w:rsidR="007C1429">
        <w:rPr>
          <w:rFonts w:ascii="Arial" w:hAnsi="Arial" w:cs="Arial"/>
          <w:sz w:val="24"/>
          <w:szCs w:val="24"/>
        </w:rPr>
        <w:t xml:space="preserve"> that all fixtures and fittings of the premises whenever they were fixed, apart, from what was regarded as trade or tenant’s fittings or fixture and any improvements or any further </w:t>
      </w:r>
      <w:r w:rsidR="007C1429">
        <w:rPr>
          <w:rFonts w:ascii="Arial" w:hAnsi="Arial" w:cs="Arial"/>
          <w:sz w:val="24"/>
          <w:szCs w:val="24"/>
        </w:rPr>
        <w:lastRenderedPageBreak/>
        <w:t>additions which were made to the premises. The then current tenant started work of stripping out elements of the premises, plus the landlord’s fixtures. This work came to a stop with regards towards a settlement. Both the parties could not reach an agreement</w:t>
      </w:r>
      <w:r w:rsidR="003A79C9">
        <w:rPr>
          <w:rFonts w:ascii="Arial" w:hAnsi="Arial" w:cs="Arial"/>
          <w:sz w:val="24"/>
          <w:szCs w:val="24"/>
        </w:rPr>
        <w:t xml:space="preserve">, so the keys were returned, and the work was </w:t>
      </w:r>
      <w:proofErr w:type="gramStart"/>
      <w:r w:rsidR="003A79C9">
        <w:rPr>
          <w:rFonts w:ascii="Arial" w:hAnsi="Arial" w:cs="Arial"/>
          <w:sz w:val="24"/>
          <w:szCs w:val="24"/>
        </w:rPr>
        <w:t>actually left</w:t>
      </w:r>
      <w:proofErr w:type="gramEnd"/>
      <w:r w:rsidR="003A79C9">
        <w:rPr>
          <w:rFonts w:ascii="Arial" w:hAnsi="Arial" w:cs="Arial"/>
          <w:sz w:val="24"/>
          <w:szCs w:val="24"/>
        </w:rPr>
        <w:t xml:space="preserve"> unfinished at the break date. This was held that vacant possession had been given by the current tenant (Harris, D, 2021).</w:t>
      </w:r>
    </w:p>
    <w:p w14:paraId="7845D391" w14:textId="5ED709AE" w:rsidR="003A79C9" w:rsidRDefault="003A79C9" w:rsidP="008A3842">
      <w:pPr>
        <w:spacing w:line="480" w:lineRule="auto"/>
        <w:rPr>
          <w:rFonts w:ascii="Arial" w:hAnsi="Arial" w:cs="Arial"/>
          <w:sz w:val="24"/>
          <w:szCs w:val="24"/>
        </w:rPr>
      </w:pPr>
      <w:r>
        <w:rPr>
          <w:rFonts w:ascii="Arial" w:hAnsi="Arial" w:cs="Arial"/>
          <w:sz w:val="24"/>
          <w:szCs w:val="24"/>
        </w:rPr>
        <w:t xml:space="preserve">The summerhouse, which is bolted into a concrete base would not be classed as a chattel as it cannot be moved. This would be seen in the case of Deen v Andrews (1986), the question that arose from this was whether a greenhouse was classed as a building, </w:t>
      </w:r>
      <w:proofErr w:type="gramStart"/>
      <w:r>
        <w:rPr>
          <w:rFonts w:ascii="Arial" w:hAnsi="Arial" w:cs="Arial"/>
          <w:sz w:val="24"/>
          <w:szCs w:val="24"/>
        </w:rPr>
        <w:t>so as to</w:t>
      </w:r>
      <w:proofErr w:type="gramEnd"/>
      <w:r>
        <w:rPr>
          <w:rFonts w:ascii="Arial" w:hAnsi="Arial" w:cs="Arial"/>
          <w:sz w:val="24"/>
          <w:szCs w:val="24"/>
        </w:rPr>
        <w:t xml:space="preserve"> pass to the buyer which is under a contract to sell the land. Hirst J. held that it was not, he used a previous decision of </w:t>
      </w:r>
      <w:proofErr w:type="spellStart"/>
      <w:r>
        <w:rPr>
          <w:rFonts w:ascii="Arial" w:hAnsi="Arial" w:cs="Arial"/>
          <w:sz w:val="24"/>
          <w:szCs w:val="24"/>
        </w:rPr>
        <w:t>H.</w:t>
      </w:r>
      <w:proofErr w:type="gramStart"/>
      <w:r>
        <w:rPr>
          <w:rFonts w:ascii="Arial" w:hAnsi="Arial" w:cs="Arial"/>
          <w:sz w:val="24"/>
          <w:szCs w:val="24"/>
        </w:rPr>
        <w:t>E.Dibble</w:t>
      </w:r>
      <w:proofErr w:type="spellEnd"/>
      <w:proofErr w:type="gramEnd"/>
      <w:r>
        <w:rPr>
          <w:rFonts w:ascii="Arial" w:hAnsi="Arial" w:cs="Arial"/>
          <w:sz w:val="24"/>
          <w:szCs w:val="24"/>
        </w:rPr>
        <w:t xml:space="preserve"> Ltd v Moore (1970) 2 Q.B. 181, where the Court of Appeal reversed the trial judge, who was to hold that a greenhouse is not classed as an erection in section 62(1)</w:t>
      </w:r>
      <w:r w:rsidR="00EB7218">
        <w:rPr>
          <w:rFonts w:ascii="Arial" w:hAnsi="Arial" w:cs="Arial"/>
          <w:sz w:val="24"/>
          <w:szCs w:val="24"/>
        </w:rPr>
        <w:t xml:space="preserve"> of the Law of Property Act (1925). Attention was drawn to the Dibble case where it was found to be customary to be able to move the greenhouse every few years. This appeal was allowed (House of Lords 1997).</w:t>
      </w:r>
    </w:p>
    <w:p w14:paraId="2FAF34EE" w14:textId="3F0C7351" w:rsidR="00EB7218" w:rsidRDefault="00EB7218" w:rsidP="008A3842">
      <w:pPr>
        <w:spacing w:line="480" w:lineRule="auto"/>
        <w:rPr>
          <w:rFonts w:ascii="Arial" w:hAnsi="Arial" w:cs="Arial"/>
          <w:sz w:val="24"/>
          <w:szCs w:val="24"/>
        </w:rPr>
      </w:pPr>
      <w:r>
        <w:rPr>
          <w:rFonts w:ascii="Arial" w:hAnsi="Arial" w:cs="Arial"/>
          <w:sz w:val="24"/>
          <w:szCs w:val="24"/>
        </w:rPr>
        <w:t>With regards to the tapestries that have been protected from the elements as they have been encased so they can be cleaned and moved, then refer to the case of Leigh v Taylor (1902) AC 157 where heavy tapestries were on the walls within a house so that all visitors and residents were able to enjoy looking at them. As the tapestries are an item to be viewed objectively and are intended to be permanent as a lasting improvement towards the building, are to be known as a fixture. If these tapestries are known to be only temporary and not permanent, then they would remain to be chattels and maybe removed. The House of Lords</w:t>
      </w:r>
      <w:r w:rsidR="00330D45">
        <w:rPr>
          <w:rFonts w:ascii="Arial" w:hAnsi="Arial" w:cs="Arial"/>
          <w:sz w:val="24"/>
          <w:szCs w:val="24"/>
        </w:rPr>
        <w:t xml:space="preserve"> stated that these tapestries were not part of the house. In Holland v Hodgson (1871 – 1872) LR 7CP </w:t>
      </w:r>
      <w:r w:rsidR="00330D45">
        <w:rPr>
          <w:rFonts w:ascii="Arial" w:hAnsi="Arial" w:cs="Arial"/>
          <w:sz w:val="24"/>
          <w:szCs w:val="24"/>
        </w:rPr>
        <w:lastRenderedPageBreak/>
        <w:t>328, machinery or heavy machinery had been nailed to the floor of a factory. The Court of Common Pleas were to hold that this machinery was part of the factory, due to the nailing down of it (Dixon, M, 2014).</w:t>
      </w:r>
    </w:p>
    <w:p w14:paraId="58430A14" w14:textId="29B5C63E" w:rsidR="0010174E" w:rsidRDefault="0010174E" w:rsidP="008A3842">
      <w:pPr>
        <w:spacing w:line="480" w:lineRule="auto"/>
        <w:rPr>
          <w:rFonts w:ascii="Arial" w:hAnsi="Arial" w:cs="Arial"/>
          <w:sz w:val="24"/>
          <w:szCs w:val="24"/>
        </w:rPr>
      </w:pPr>
      <w:r>
        <w:rPr>
          <w:rFonts w:ascii="Arial" w:hAnsi="Arial" w:cs="Arial"/>
          <w:sz w:val="24"/>
          <w:szCs w:val="24"/>
        </w:rPr>
        <w:t>Terracotta plant pots could be classed as a chattel as they can be removed, but due to one that contains ivy and has grown around the bi – fold door which leads onto the patio, then if removed may cause some kind of damage.</w:t>
      </w:r>
    </w:p>
    <w:p w14:paraId="66D1DD90" w14:textId="2DB53B92" w:rsidR="0010174E" w:rsidRDefault="0010174E" w:rsidP="008A3842">
      <w:pPr>
        <w:spacing w:line="480" w:lineRule="auto"/>
        <w:rPr>
          <w:rFonts w:ascii="Arial" w:hAnsi="Arial" w:cs="Arial"/>
          <w:sz w:val="24"/>
          <w:szCs w:val="24"/>
        </w:rPr>
      </w:pPr>
      <w:r>
        <w:rPr>
          <w:rFonts w:ascii="Arial" w:hAnsi="Arial" w:cs="Arial"/>
          <w:sz w:val="24"/>
          <w:szCs w:val="24"/>
        </w:rPr>
        <w:t>The kitchen is not fitted, and the units are free standing and not attached to the walls. As these are not integrated appliances, they therefore would not be classed as a chattel, but could still be left either way.</w:t>
      </w:r>
    </w:p>
    <w:p w14:paraId="7844DA00" w14:textId="77777777" w:rsidR="00B57DCF" w:rsidRDefault="00B57DCF" w:rsidP="008A3842">
      <w:pPr>
        <w:spacing w:line="480" w:lineRule="auto"/>
        <w:rPr>
          <w:rFonts w:ascii="Arial" w:hAnsi="Arial" w:cs="Arial"/>
          <w:sz w:val="24"/>
          <w:szCs w:val="24"/>
        </w:rPr>
      </w:pPr>
    </w:p>
    <w:p w14:paraId="45A3A881" w14:textId="64340DC3" w:rsidR="00B57DCF" w:rsidRDefault="00B57DCF" w:rsidP="008A3842">
      <w:pPr>
        <w:spacing w:line="480" w:lineRule="auto"/>
        <w:rPr>
          <w:rFonts w:ascii="Arial" w:hAnsi="Arial" w:cs="Arial"/>
          <w:sz w:val="24"/>
          <w:szCs w:val="24"/>
        </w:rPr>
      </w:pPr>
      <w:r>
        <w:rPr>
          <w:rFonts w:ascii="Arial" w:hAnsi="Arial" w:cs="Arial"/>
          <w:sz w:val="24"/>
          <w:szCs w:val="24"/>
        </w:rPr>
        <w:t xml:space="preserve">With regards to the summing up of the assignment, not every case </w:t>
      </w:r>
      <w:r w:rsidR="00497808">
        <w:rPr>
          <w:rFonts w:ascii="Arial" w:hAnsi="Arial" w:cs="Arial"/>
          <w:sz w:val="24"/>
          <w:szCs w:val="24"/>
        </w:rPr>
        <w:t xml:space="preserve">is identical, but the courts tend to </w:t>
      </w:r>
      <w:proofErr w:type="gramStart"/>
      <w:r w:rsidR="00497808">
        <w:rPr>
          <w:rFonts w:ascii="Arial" w:hAnsi="Arial" w:cs="Arial"/>
          <w:sz w:val="24"/>
          <w:szCs w:val="24"/>
        </w:rPr>
        <w:t>refer back</w:t>
      </w:r>
      <w:proofErr w:type="gramEnd"/>
      <w:r w:rsidR="00497808">
        <w:rPr>
          <w:rFonts w:ascii="Arial" w:hAnsi="Arial" w:cs="Arial"/>
          <w:sz w:val="24"/>
          <w:szCs w:val="24"/>
        </w:rPr>
        <w:t xml:space="preserve"> to previous cases like Batchelor v Marlow (2007) or even Ellenborough Park (1956) for clear guidance to gain the correct outcome for all who are involved. When it comes to fixtures and fittings (chattels) there would be no right or wrong way of deciding as to what is a fixture or a fitting, common sense should be used with regards to the understanding of this.</w:t>
      </w:r>
    </w:p>
    <w:p w14:paraId="15388233" w14:textId="77777777" w:rsidR="00C34255" w:rsidRDefault="00C34255" w:rsidP="008A3842">
      <w:pPr>
        <w:spacing w:line="480" w:lineRule="auto"/>
        <w:rPr>
          <w:rFonts w:ascii="Arial" w:hAnsi="Arial" w:cs="Arial"/>
          <w:sz w:val="24"/>
          <w:szCs w:val="24"/>
        </w:rPr>
      </w:pPr>
    </w:p>
    <w:p w14:paraId="5959D9AF" w14:textId="0B47E1A6" w:rsidR="00C34255" w:rsidRDefault="0018047C" w:rsidP="008A3842">
      <w:pPr>
        <w:spacing w:line="480" w:lineRule="auto"/>
        <w:rPr>
          <w:rFonts w:ascii="Arial" w:hAnsi="Arial" w:cs="Arial"/>
          <w:sz w:val="24"/>
          <w:szCs w:val="24"/>
        </w:rPr>
      </w:pPr>
      <w:r>
        <w:rPr>
          <w:rFonts w:ascii="Arial" w:hAnsi="Arial" w:cs="Arial"/>
          <w:sz w:val="24"/>
          <w:szCs w:val="24"/>
        </w:rPr>
        <w:t>Bogusz, B. and Sexton, R. (2015) Land law text, cases and materials. Oxford: Oxford University Press.</w:t>
      </w:r>
    </w:p>
    <w:p w14:paraId="55A04C4E" w14:textId="3B6F63D1" w:rsidR="0018047C" w:rsidRDefault="0018047C" w:rsidP="008A3842">
      <w:pPr>
        <w:spacing w:line="480" w:lineRule="auto"/>
        <w:rPr>
          <w:rFonts w:ascii="Arial" w:hAnsi="Arial" w:cs="Arial"/>
          <w:sz w:val="24"/>
          <w:szCs w:val="24"/>
        </w:rPr>
      </w:pPr>
      <w:r>
        <w:rPr>
          <w:rFonts w:ascii="Arial" w:hAnsi="Arial" w:cs="Arial"/>
          <w:sz w:val="24"/>
          <w:szCs w:val="24"/>
        </w:rPr>
        <w:t>Clarke, S. and Greer, S. (2014) Land law directions. Oxford: Oxford University Press.</w:t>
      </w:r>
    </w:p>
    <w:p w14:paraId="4B0417CF" w14:textId="2147AF10" w:rsidR="0018047C" w:rsidRDefault="0018047C" w:rsidP="008A3842">
      <w:pPr>
        <w:spacing w:line="480" w:lineRule="auto"/>
        <w:rPr>
          <w:rFonts w:ascii="Arial" w:hAnsi="Arial" w:cs="Arial"/>
          <w:sz w:val="24"/>
          <w:szCs w:val="24"/>
        </w:rPr>
      </w:pPr>
      <w:r>
        <w:rPr>
          <w:rFonts w:ascii="Arial" w:hAnsi="Arial" w:cs="Arial"/>
          <w:sz w:val="24"/>
          <w:szCs w:val="24"/>
        </w:rPr>
        <w:t>Dixon, M (2016) Modern land law. Oxon: Routledge.</w:t>
      </w:r>
    </w:p>
    <w:p w14:paraId="4D6351EE" w14:textId="1EC8CBAF" w:rsidR="0018047C" w:rsidRDefault="0018047C" w:rsidP="008A3842">
      <w:pPr>
        <w:spacing w:line="480" w:lineRule="auto"/>
        <w:rPr>
          <w:rFonts w:ascii="Arial" w:hAnsi="Arial" w:cs="Arial"/>
          <w:sz w:val="24"/>
          <w:szCs w:val="24"/>
        </w:rPr>
      </w:pPr>
      <w:r>
        <w:rPr>
          <w:rFonts w:ascii="Arial" w:hAnsi="Arial" w:cs="Arial"/>
          <w:sz w:val="24"/>
          <w:szCs w:val="24"/>
        </w:rPr>
        <w:t>Martin, J. and Turner, C. (2003) The comprehensive guide to all the facts land law. Oxon: Hodder Arnold.</w:t>
      </w:r>
    </w:p>
    <w:p w14:paraId="1DCD6190" w14:textId="3D28E27E" w:rsidR="0018047C" w:rsidRDefault="0018047C" w:rsidP="008A3842">
      <w:pPr>
        <w:spacing w:line="480" w:lineRule="auto"/>
        <w:rPr>
          <w:rFonts w:ascii="Arial" w:hAnsi="Arial" w:cs="Arial"/>
          <w:sz w:val="24"/>
          <w:szCs w:val="24"/>
        </w:rPr>
      </w:pPr>
      <w:r>
        <w:rPr>
          <w:rFonts w:ascii="Arial" w:hAnsi="Arial" w:cs="Arial"/>
          <w:sz w:val="24"/>
          <w:szCs w:val="24"/>
        </w:rPr>
        <w:lastRenderedPageBreak/>
        <w:t xml:space="preserve">Harris, D (2021) Capitol Park Leeds and Another. Available at: </w:t>
      </w:r>
      <w:hyperlink r:id="rId9" w:history="1">
        <w:r w:rsidRPr="00CD211D">
          <w:rPr>
            <w:rStyle w:val="Hyperlink"/>
            <w:rFonts w:ascii="Arial" w:hAnsi="Arial" w:cs="Arial"/>
            <w:sz w:val="24"/>
            <w:szCs w:val="24"/>
          </w:rPr>
          <w:t>https://www.brownejacobson.com/insights/capitol-park-leeds-plc-and-another-v-global-radio-services</w:t>
        </w:r>
      </w:hyperlink>
    </w:p>
    <w:p w14:paraId="675EFAF4" w14:textId="068F89A9" w:rsidR="0018047C" w:rsidRDefault="0018047C" w:rsidP="008A3842">
      <w:pPr>
        <w:spacing w:line="480" w:lineRule="auto"/>
        <w:rPr>
          <w:rFonts w:ascii="Arial" w:hAnsi="Arial" w:cs="Arial"/>
          <w:sz w:val="24"/>
          <w:szCs w:val="24"/>
        </w:rPr>
      </w:pPr>
      <w:r>
        <w:rPr>
          <w:rFonts w:ascii="Arial" w:hAnsi="Arial" w:cs="Arial"/>
          <w:sz w:val="24"/>
          <w:szCs w:val="24"/>
        </w:rPr>
        <w:t>(Accessed: 01 December 2023).</w:t>
      </w:r>
    </w:p>
    <w:p w14:paraId="7249E0B9" w14:textId="7AF44769" w:rsidR="0018047C" w:rsidRDefault="0018047C" w:rsidP="008A3842">
      <w:pPr>
        <w:spacing w:line="480" w:lineRule="auto"/>
        <w:rPr>
          <w:rFonts w:ascii="Arial" w:hAnsi="Arial" w:cs="Arial"/>
          <w:sz w:val="24"/>
          <w:szCs w:val="24"/>
        </w:rPr>
      </w:pPr>
      <w:r>
        <w:rPr>
          <w:rFonts w:ascii="Arial" w:hAnsi="Arial" w:cs="Arial"/>
          <w:sz w:val="24"/>
          <w:szCs w:val="24"/>
        </w:rPr>
        <w:t xml:space="preserve">Reuters, T. (2023) Practical law. Available at: </w:t>
      </w:r>
      <w:hyperlink r:id="rId10" w:history="1">
        <w:r w:rsidR="00DC3A64" w:rsidRPr="00CD211D">
          <w:rPr>
            <w:rStyle w:val="Hyperlink"/>
            <w:rFonts w:ascii="Arial" w:hAnsi="Arial" w:cs="Arial"/>
            <w:sz w:val="24"/>
            <w:szCs w:val="24"/>
          </w:rPr>
          <w:t>https://uk.practicallaw.thomsonreuters.com/7-101-5276?transitiontype=default&amp;contextdata=(sc.default)&amp;firstpage=true</w:t>
        </w:r>
      </w:hyperlink>
    </w:p>
    <w:p w14:paraId="2D8B2431" w14:textId="280A45C4" w:rsidR="00DC3A64" w:rsidRDefault="00DC3A64" w:rsidP="008A3842">
      <w:pPr>
        <w:spacing w:line="480" w:lineRule="auto"/>
        <w:rPr>
          <w:rFonts w:ascii="Arial" w:hAnsi="Arial" w:cs="Arial"/>
          <w:sz w:val="24"/>
          <w:szCs w:val="24"/>
        </w:rPr>
      </w:pPr>
      <w:r>
        <w:rPr>
          <w:rFonts w:ascii="Arial" w:hAnsi="Arial" w:cs="Arial"/>
          <w:sz w:val="24"/>
          <w:szCs w:val="24"/>
        </w:rPr>
        <w:t>(Accessed:30 November 2023).</w:t>
      </w:r>
    </w:p>
    <w:p w14:paraId="385EB8E9" w14:textId="3D835703" w:rsidR="00DC3A64" w:rsidRDefault="00DC3A64" w:rsidP="008A3842">
      <w:pPr>
        <w:spacing w:line="480" w:lineRule="auto"/>
        <w:rPr>
          <w:rFonts w:ascii="Arial" w:hAnsi="Arial" w:cs="Arial"/>
          <w:sz w:val="24"/>
          <w:szCs w:val="24"/>
        </w:rPr>
      </w:pPr>
      <w:r>
        <w:rPr>
          <w:rFonts w:ascii="Arial" w:hAnsi="Arial" w:cs="Arial"/>
          <w:sz w:val="24"/>
          <w:szCs w:val="24"/>
        </w:rPr>
        <w:t xml:space="preserve">Mc Duffey, T. (2021) Silence as contract acceptance. Available at: </w:t>
      </w:r>
      <w:hyperlink r:id="rId11" w:history="1">
        <w:r w:rsidRPr="00CD211D">
          <w:rPr>
            <w:rStyle w:val="Hyperlink"/>
            <w:rFonts w:ascii="Arial" w:hAnsi="Arial" w:cs="Arial"/>
            <w:sz w:val="24"/>
            <w:szCs w:val="24"/>
          </w:rPr>
          <w:t>https://www.legalmatch.com/law-library/article/silence-as-acceptance-in-contracts.html</w:t>
        </w:r>
      </w:hyperlink>
    </w:p>
    <w:p w14:paraId="7DDA3E83" w14:textId="0D044EEF" w:rsidR="00DC3A64" w:rsidRDefault="00DC3A64" w:rsidP="008A3842">
      <w:pPr>
        <w:spacing w:line="480" w:lineRule="auto"/>
        <w:rPr>
          <w:rFonts w:ascii="Arial" w:hAnsi="Arial" w:cs="Arial"/>
          <w:sz w:val="24"/>
          <w:szCs w:val="24"/>
        </w:rPr>
      </w:pPr>
      <w:r>
        <w:rPr>
          <w:rFonts w:ascii="Arial" w:hAnsi="Arial" w:cs="Arial"/>
          <w:sz w:val="24"/>
          <w:szCs w:val="24"/>
        </w:rPr>
        <w:t>(Accessed: 02 December 2023).</w:t>
      </w:r>
    </w:p>
    <w:p w14:paraId="48168455" w14:textId="1274E555" w:rsidR="00DC3A64" w:rsidRDefault="00DC3A64" w:rsidP="008A3842">
      <w:pPr>
        <w:spacing w:line="480" w:lineRule="auto"/>
        <w:rPr>
          <w:rFonts w:ascii="Arial" w:hAnsi="Arial" w:cs="Arial"/>
          <w:sz w:val="24"/>
          <w:szCs w:val="24"/>
        </w:rPr>
      </w:pPr>
      <w:r>
        <w:rPr>
          <w:rFonts w:ascii="Arial" w:hAnsi="Arial" w:cs="Arial"/>
          <w:sz w:val="24"/>
          <w:szCs w:val="24"/>
        </w:rPr>
        <w:t>House of Lords (1997) Judgements-</w:t>
      </w:r>
      <w:proofErr w:type="spellStart"/>
      <w:r>
        <w:rPr>
          <w:rFonts w:ascii="Arial" w:hAnsi="Arial" w:cs="Arial"/>
          <w:sz w:val="24"/>
          <w:szCs w:val="24"/>
        </w:rPr>
        <w:t>Elitestone</w:t>
      </w:r>
      <w:proofErr w:type="spellEnd"/>
      <w:r>
        <w:rPr>
          <w:rFonts w:ascii="Arial" w:hAnsi="Arial" w:cs="Arial"/>
          <w:sz w:val="24"/>
          <w:szCs w:val="24"/>
        </w:rPr>
        <w:t xml:space="preserve"> Ltd v Morris and Another Available at: </w:t>
      </w:r>
      <w:hyperlink r:id="rId12" w:anchor=":~:text=entitled%20to%20remove.-,in%20deen%" w:history="1">
        <w:r w:rsidRPr="00CD211D">
          <w:rPr>
            <w:rStyle w:val="Hyperlink"/>
            <w:rFonts w:ascii="Arial" w:hAnsi="Arial" w:cs="Arial"/>
            <w:sz w:val="24"/>
            <w:szCs w:val="24"/>
          </w:rPr>
          <w:t>https://publications.parliament.uk/pa/ld199697/idjudgmt/jd970501/elitesol.html#:~:text=entitled%20to%20remove.-,in%20deen%</w:t>
        </w:r>
      </w:hyperlink>
      <w:r>
        <w:rPr>
          <w:rFonts w:ascii="Arial" w:hAnsi="Arial" w:cs="Arial"/>
          <w:sz w:val="24"/>
          <w:szCs w:val="24"/>
        </w:rPr>
        <w:t>...</w:t>
      </w:r>
    </w:p>
    <w:p w14:paraId="59EFC69E" w14:textId="3A329C1B" w:rsidR="00DC3A64" w:rsidRDefault="00DC3A64" w:rsidP="008A3842">
      <w:pPr>
        <w:spacing w:line="480" w:lineRule="auto"/>
        <w:rPr>
          <w:rFonts w:ascii="Arial" w:hAnsi="Arial" w:cs="Arial"/>
          <w:sz w:val="24"/>
          <w:szCs w:val="24"/>
        </w:rPr>
      </w:pPr>
      <w:r>
        <w:rPr>
          <w:rFonts w:ascii="Arial" w:hAnsi="Arial" w:cs="Arial"/>
          <w:sz w:val="24"/>
          <w:szCs w:val="24"/>
        </w:rPr>
        <w:t>(Accessed: 02 December 2023).</w:t>
      </w:r>
    </w:p>
    <w:p w14:paraId="33EE80A8" w14:textId="3E717981" w:rsidR="00CE354F" w:rsidRDefault="00944BA9" w:rsidP="008A3842">
      <w:pPr>
        <w:spacing w:line="480" w:lineRule="auto"/>
        <w:rPr>
          <w:rFonts w:ascii="Arial" w:hAnsi="Arial" w:cs="Arial"/>
          <w:sz w:val="24"/>
          <w:szCs w:val="24"/>
        </w:rPr>
      </w:pPr>
      <w:r>
        <w:rPr>
          <w:rFonts w:ascii="Arial" w:hAnsi="Arial" w:cs="Arial"/>
          <w:sz w:val="24"/>
          <w:szCs w:val="24"/>
        </w:rPr>
        <w:t xml:space="preserve">London and </w:t>
      </w:r>
      <w:proofErr w:type="spellStart"/>
      <w:r>
        <w:rPr>
          <w:rFonts w:ascii="Arial" w:hAnsi="Arial" w:cs="Arial"/>
          <w:sz w:val="24"/>
          <w:szCs w:val="24"/>
        </w:rPr>
        <w:t>Blenhein</w:t>
      </w:r>
      <w:proofErr w:type="spellEnd"/>
      <w:r>
        <w:rPr>
          <w:rFonts w:ascii="Arial" w:hAnsi="Arial" w:cs="Arial"/>
          <w:sz w:val="24"/>
          <w:szCs w:val="24"/>
        </w:rPr>
        <w:t xml:space="preserve"> Estates Ltd v Ladbroke Retail Parks Ltd (1993) 4 ALL ER 157</w:t>
      </w:r>
    </w:p>
    <w:p w14:paraId="02F7A5DA" w14:textId="5FE96CE8" w:rsidR="00944BA9" w:rsidRDefault="00944BA9" w:rsidP="008A3842">
      <w:pPr>
        <w:spacing w:line="480" w:lineRule="auto"/>
        <w:rPr>
          <w:rFonts w:ascii="Arial" w:hAnsi="Arial" w:cs="Arial"/>
          <w:sz w:val="24"/>
          <w:szCs w:val="24"/>
        </w:rPr>
      </w:pPr>
      <w:r>
        <w:rPr>
          <w:rFonts w:ascii="Arial" w:hAnsi="Arial" w:cs="Arial"/>
          <w:sz w:val="24"/>
          <w:szCs w:val="24"/>
        </w:rPr>
        <w:t>Hill v Tupper (1863) 2 H&amp;C 121.</w:t>
      </w:r>
    </w:p>
    <w:p w14:paraId="4765BFCF" w14:textId="2966710D" w:rsidR="00944BA9" w:rsidRDefault="00944BA9" w:rsidP="008A3842">
      <w:pPr>
        <w:spacing w:line="480" w:lineRule="auto"/>
        <w:rPr>
          <w:rFonts w:ascii="Arial" w:hAnsi="Arial" w:cs="Arial"/>
          <w:sz w:val="24"/>
          <w:szCs w:val="24"/>
        </w:rPr>
      </w:pPr>
      <w:r>
        <w:rPr>
          <w:rFonts w:ascii="Arial" w:hAnsi="Arial" w:cs="Arial"/>
          <w:sz w:val="24"/>
          <w:szCs w:val="24"/>
        </w:rPr>
        <w:t>Begley v Taylor (2014) EWHC 1180 (CH).</w:t>
      </w:r>
    </w:p>
    <w:p w14:paraId="0F6D6B9D" w14:textId="74E59CFF" w:rsidR="00944BA9" w:rsidRDefault="00944BA9" w:rsidP="008A3842">
      <w:pPr>
        <w:spacing w:line="480" w:lineRule="auto"/>
        <w:rPr>
          <w:rFonts w:ascii="Arial" w:hAnsi="Arial" w:cs="Arial"/>
          <w:sz w:val="24"/>
          <w:szCs w:val="24"/>
        </w:rPr>
      </w:pPr>
      <w:r>
        <w:rPr>
          <w:rFonts w:ascii="Arial" w:hAnsi="Arial" w:cs="Arial"/>
          <w:sz w:val="24"/>
          <w:szCs w:val="24"/>
        </w:rPr>
        <w:t>Grigsby v Melville (1972) 1 WLR 1355.</w:t>
      </w:r>
    </w:p>
    <w:p w14:paraId="46536E75" w14:textId="5947DC4B" w:rsidR="00944BA9" w:rsidRDefault="00944BA9" w:rsidP="008A3842">
      <w:pPr>
        <w:spacing w:line="480" w:lineRule="auto"/>
        <w:rPr>
          <w:rFonts w:ascii="Arial" w:hAnsi="Arial" w:cs="Arial"/>
          <w:sz w:val="24"/>
          <w:szCs w:val="24"/>
        </w:rPr>
      </w:pPr>
      <w:proofErr w:type="spellStart"/>
      <w:r>
        <w:rPr>
          <w:rFonts w:ascii="Arial" w:hAnsi="Arial" w:cs="Arial"/>
          <w:sz w:val="24"/>
          <w:szCs w:val="24"/>
        </w:rPr>
        <w:t>Elitestone</w:t>
      </w:r>
      <w:proofErr w:type="spellEnd"/>
      <w:r>
        <w:rPr>
          <w:rFonts w:ascii="Arial" w:hAnsi="Arial" w:cs="Arial"/>
          <w:sz w:val="24"/>
          <w:szCs w:val="24"/>
        </w:rPr>
        <w:t xml:space="preserve"> v Morris (1997) 1 WLR687.</w:t>
      </w:r>
    </w:p>
    <w:p w14:paraId="541A51BF" w14:textId="7701905D" w:rsidR="00944BA9" w:rsidRDefault="00944BA9" w:rsidP="008A3842">
      <w:pPr>
        <w:spacing w:line="480" w:lineRule="auto"/>
        <w:rPr>
          <w:rFonts w:ascii="Arial" w:hAnsi="Arial" w:cs="Arial"/>
          <w:sz w:val="24"/>
          <w:szCs w:val="24"/>
        </w:rPr>
      </w:pPr>
      <w:r>
        <w:rPr>
          <w:rFonts w:ascii="Arial" w:hAnsi="Arial" w:cs="Arial"/>
          <w:sz w:val="24"/>
          <w:szCs w:val="24"/>
        </w:rPr>
        <w:t>Capitol Park Leeds Plc v Global Radio Services Ltd (2021) EWCA civ 995.</w:t>
      </w:r>
    </w:p>
    <w:p w14:paraId="0A448D7F" w14:textId="02F4FA16" w:rsidR="00FC0E88" w:rsidRDefault="00FC0E88" w:rsidP="008A3842">
      <w:pPr>
        <w:spacing w:line="480" w:lineRule="auto"/>
        <w:rPr>
          <w:rFonts w:ascii="Arial" w:hAnsi="Arial" w:cs="Arial"/>
          <w:sz w:val="24"/>
          <w:szCs w:val="24"/>
        </w:rPr>
      </w:pPr>
      <w:proofErr w:type="spellStart"/>
      <w:r>
        <w:rPr>
          <w:rFonts w:ascii="Arial" w:hAnsi="Arial" w:cs="Arial"/>
          <w:sz w:val="24"/>
          <w:szCs w:val="24"/>
        </w:rPr>
        <w:lastRenderedPageBreak/>
        <w:t>H.</w:t>
      </w:r>
      <w:proofErr w:type="gramStart"/>
      <w:r>
        <w:rPr>
          <w:rFonts w:ascii="Arial" w:hAnsi="Arial" w:cs="Arial"/>
          <w:sz w:val="24"/>
          <w:szCs w:val="24"/>
        </w:rPr>
        <w:t>E.Dibble</w:t>
      </w:r>
      <w:proofErr w:type="spellEnd"/>
      <w:proofErr w:type="gramEnd"/>
      <w:r>
        <w:rPr>
          <w:rFonts w:ascii="Arial" w:hAnsi="Arial" w:cs="Arial"/>
          <w:sz w:val="24"/>
          <w:szCs w:val="24"/>
        </w:rPr>
        <w:t xml:space="preserve"> Ltd v Moore (1970) 2 Q B 181.</w:t>
      </w:r>
    </w:p>
    <w:p w14:paraId="04F7B72B" w14:textId="15631051" w:rsidR="00FC0E88" w:rsidRDefault="00FC0E88" w:rsidP="008A3842">
      <w:pPr>
        <w:spacing w:line="480" w:lineRule="auto"/>
        <w:rPr>
          <w:rFonts w:ascii="Arial" w:hAnsi="Arial" w:cs="Arial"/>
          <w:sz w:val="24"/>
          <w:szCs w:val="24"/>
        </w:rPr>
      </w:pPr>
      <w:r>
        <w:rPr>
          <w:rFonts w:ascii="Arial" w:hAnsi="Arial" w:cs="Arial"/>
          <w:sz w:val="24"/>
          <w:szCs w:val="24"/>
        </w:rPr>
        <w:t>Leigh v Taylor (1902) AC 157</w:t>
      </w:r>
    </w:p>
    <w:p w14:paraId="02A7658A" w14:textId="10E26093" w:rsidR="00FC0E88" w:rsidRDefault="00FC0E88" w:rsidP="008A3842">
      <w:pPr>
        <w:spacing w:line="480" w:lineRule="auto"/>
        <w:rPr>
          <w:rFonts w:ascii="Arial" w:hAnsi="Arial" w:cs="Arial"/>
          <w:sz w:val="24"/>
          <w:szCs w:val="24"/>
        </w:rPr>
      </w:pPr>
      <w:r>
        <w:rPr>
          <w:rFonts w:ascii="Arial" w:hAnsi="Arial" w:cs="Arial"/>
          <w:sz w:val="24"/>
          <w:szCs w:val="24"/>
        </w:rPr>
        <w:t>Holland v Hodgson (1871 – 1872) LR 7CP 328.</w:t>
      </w:r>
    </w:p>
    <w:p w14:paraId="21E5B153" w14:textId="0EEE6BB7" w:rsidR="00FC0E88" w:rsidRDefault="00453A44" w:rsidP="008A3842">
      <w:pPr>
        <w:spacing w:line="480" w:lineRule="auto"/>
        <w:rPr>
          <w:rFonts w:ascii="Arial" w:hAnsi="Arial" w:cs="Arial"/>
          <w:sz w:val="24"/>
          <w:szCs w:val="24"/>
        </w:rPr>
      </w:pPr>
      <w:r>
        <w:rPr>
          <w:rFonts w:ascii="Arial" w:hAnsi="Arial" w:cs="Arial"/>
          <w:sz w:val="24"/>
          <w:szCs w:val="24"/>
        </w:rPr>
        <w:t>Batchelor v Marlow (2007).</w:t>
      </w:r>
    </w:p>
    <w:p w14:paraId="0289B7EB" w14:textId="55E210DE" w:rsidR="00453A44" w:rsidRDefault="00453A44" w:rsidP="008A3842">
      <w:pPr>
        <w:spacing w:line="480" w:lineRule="auto"/>
        <w:rPr>
          <w:rFonts w:ascii="Arial" w:hAnsi="Arial" w:cs="Arial"/>
          <w:sz w:val="24"/>
          <w:szCs w:val="24"/>
        </w:rPr>
      </w:pPr>
      <w:r>
        <w:rPr>
          <w:rFonts w:ascii="Arial" w:hAnsi="Arial" w:cs="Arial"/>
          <w:sz w:val="24"/>
          <w:szCs w:val="24"/>
        </w:rPr>
        <w:t>R Square Properties Ltd v Nissan Motors (GB) Ltd (2014).</w:t>
      </w:r>
    </w:p>
    <w:p w14:paraId="16F68AD8" w14:textId="180A899E" w:rsidR="00453A44" w:rsidRDefault="00453A44" w:rsidP="008A3842">
      <w:pPr>
        <w:spacing w:line="480" w:lineRule="auto"/>
        <w:rPr>
          <w:rFonts w:ascii="Arial" w:hAnsi="Arial" w:cs="Arial"/>
          <w:sz w:val="24"/>
          <w:szCs w:val="24"/>
        </w:rPr>
      </w:pPr>
      <w:r>
        <w:rPr>
          <w:rFonts w:ascii="Arial" w:hAnsi="Arial" w:cs="Arial"/>
          <w:sz w:val="24"/>
          <w:szCs w:val="24"/>
        </w:rPr>
        <w:t xml:space="preserve">Copeland V </w:t>
      </w:r>
      <w:proofErr w:type="spellStart"/>
      <w:r>
        <w:rPr>
          <w:rFonts w:ascii="Arial" w:hAnsi="Arial" w:cs="Arial"/>
          <w:sz w:val="24"/>
          <w:szCs w:val="24"/>
        </w:rPr>
        <w:t>Greenhalf</w:t>
      </w:r>
      <w:proofErr w:type="spellEnd"/>
      <w:r>
        <w:rPr>
          <w:rFonts w:ascii="Arial" w:hAnsi="Arial" w:cs="Arial"/>
          <w:sz w:val="24"/>
          <w:szCs w:val="24"/>
        </w:rPr>
        <w:t xml:space="preserve"> (1952).</w:t>
      </w:r>
    </w:p>
    <w:p w14:paraId="3D0CC8AB" w14:textId="4362FEC2" w:rsidR="00453A44" w:rsidRDefault="00453A44" w:rsidP="008A3842">
      <w:pPr>
        <w:spacing w:line="480" w:lineRule="auto"/>
        <w:rPr>
          <w:rFonts w:ascii="Arial" w:hAnsi="Arial" w:cs="Arial"/>
          <w:sz w:val="24"/>
          <w:szCs w:val="24"/>
        </w:rPr>
      </w:pPr>
      <w:r>
        <w:rPr>
          <w:rFonts w:ascii="Arial" w:hAnsi="Arial" w:cs="Arial"/>
          <w:sz w:val="24"/>
          <w:szCs w:val="24"/>
        </w:rPr>
        <w:t xml:space="preserve">Moncrieff v Jameison </w:t>
      </w:r>
      <w:r w:rsidR="00B3786A">
        <w:rPr>
          <w:rFonts w:ascii="Arial" w:hAnsi="Arial" w:cs="Arial"/>
          <w:sz w:val="24"/>
          <w:szCs w:val="24"/>
        </w:rPr>
        <w:t>(2007).</w:t>
      </w:r>
    </w:p>
    <w:p w14:paraId="304DD99C" w14:textId="3DEAC20C" w:rsidR="00B3786A" w:rsidRDefault="00B3786A" w:rsidP="008A3842">
      <w:pPr>
        <w:spacing w:line="480" w:lineRule="auto"/>
        <w:rPr>
          <w:rFonts w:ascii="Arial" w:hAnsi="Arial" w:cs="Arial"/>
          <w:sz w:val="24"/>
          <w:szCs w:val="24"/>
        </w:rPr>
      </w:pPr>
      <w:r>
        <w:rPr>
          <w:rFonts w:ascii="Arial" w:hAnsi="Arial" w:cs="Arial"/>
          <w:sz w:val="24"/>
          <w:szCs w:val="24"/>
        </w:rPr>
        <w:t>Botham v TSB Plc (1996).</w:t>
      </w:r>
    </w:p>
    <w:p w14:paraId="4691AD7A" w14:textId="6104E932" w:rsidR="00B3786A" w:rsidRDefault="00B3786A" w:rsidP="008A3842">
      <w:pPr>
        <w:spacing w:line="480" w:lineRule="auto"/>
        <w:rPr>
          <w:rFonts w:ascii="Arial" w:hAnsi="Arial" w:cs="Arial"/>
          <w:sz w:val="24"/>
          <w:szCs w:val="24"/>
        </w:rPr>
      </w:pPr>
      <w:r>
        <w:rPr>
          <w:rFonts w:ascii="Arial" w:hAnsi="Arial" w:cs="Arial"/>
          <w:sz w:val="24"/>
          <w:szCs w:val="24"/>
        </w:rPr>
        <w:t xml:space="preserve">Lictor </w:t>
      </w:r>
      <w:proofErr w:type="spellStart"/>
      <w:r>
        <w:rPr>
          <w:rFonts w:ascii="Arial" w:hAnsi="Arial" w:cs="Arial"/>
          <w:sz w:val="24"/>
          <w:szCs w:val="24"/>
        </w:rPr>
        <w:t>Anstalt</w:t>
      </w:r>
      <w:proofErr w:type="spellEnd"/>
      <w:r>
        <w:rPr>
          <w:rFonts w:ascii="Arial" w:hAnsi="Arial" w:cs="Arial"/>
          <w:sz w:val="24"/>
          <w:szCs w:val="24"/>
        </w:rPr>
        <w:t xml:space="preserve"> v Mir Steel </w:t>
      </w:r>
      <w:proofErr w:type="spellStart"/>
      <w:r>
        <w:rPr>
          <w:rFonts w:ascii="Arial" w:hAnsi="Arial" w:cs="Arial"/>
          <w:sz w:val="24"/>
          <w:szCs w:val="24"/>
        </w:rPr>
        <w:t>Uk</w:t>
      </w:r>
      <w:proofErr w:type="spellEnd"/>
      <w:r>
        <w:rPr>
          <w:rFonts w:ascii="Arial" w:hAnsi="Arial" w:cs="Arial"/>
          <w:sz w:val="24"/>
          <w:szCs w:val="24"/>
        </w:rPr>
        <w:t xml:space="preserve"> Ltd (2014).</w:t>
      </w:r>
    </w:p>
    <w:p w14:paraId="1AF93A2F" w14:textId="2A0C3A01" w:rsidR="00B3786A" w:rsidRDefault="00B3786A" w:rsidP="008A3842">
      <w:pPr>
        <w:spacing w:line="480" w:lineRule="auto"/>
        <w:rPr>
          <w:rFonts w:ascii="Arial" w:hAnsi="Arial" w:cs="Arial"/>
          <w:sz w:val="24"/>
          <w:szCs w:val="24"/>
        </w:rPr>
      </w:pPr>
      <w:r>
        <w:rPr>
          <w:rFonts w:ascii="Arial" w:hAnsi="Arial" w:cs="Arial"/>
          <w:sz w:val="24"/>
          <w:szCs w:val="24"/>
        </w:rPr>
        <w:t>Deen v Andrews (1986).</w:t>
      </w:r>
    </w:p>
    <w:p w14:paraId="2A0BAB2A" w14:textId="7F675A6F" w:rsidR="00B3786A" w:rsidRDefault="00B3786A" w:rsidP="008A3842">
      <w:pPr>
        <w:spacing w:line="480" w:lineRule="auto"/>
        <w:rPr>
          <w:rFonts w:ascii="Arial" w:hAnsi="Arial" w:cs="Arial"/>
          <w:sz w:val="24"/>
          <w:szCs w:val="24"/>
        </w:rPr>
      </w:pPr>
      <w:r>
        <w:rPr>
          <w:rFonts w:ascii="Arial" w:hAnsi="Arial" w:cs="Arial"/>
          <w:sz w:val="24"/>
          <w:szCs w:val="24"/>
        </w:rPr>
        <w:t xml:space="preserve">Re </w:t>
      </w:r>
      <w:proofErr w:type="spellStart"/>
      <w:r>
        <w:rPr>
          <w:rFonts w:ascii="Arial" w:hAnsi="Arial" w:cs="Arial"/>
          <w:sz w:val="24"/>
          <w:szCs w:val="24"/>
        </w:rPr>
        <w:t>Ellenbrough</w:t>
      </w:r>
      <w:proofErr w:type="spellEnd"/>
      <w:r>
        <w:rPr>
          <w:rFonts w:ascii="Arial" w:hAnsi="Arial" w:cs="Arial"/>
          <w:sz w:val="24"/>
          <w:szCs w:val="24"/>
        </w:rPr>
        <w:t xml:space="preserve"> Park (1956).</w:t>
      </w:r>
    </w:p>
    <w:p w14:paraId="1B4CF810" w14:textId="77777777" w:rsidR="0008566F" w:rsidRDefault="0008566F" w:rsidP="008A3842">
      <w:pPr>
        <w:spacing w:line="480" w:lineRule="auto"/>
        <w:rPr>
          <w:rFonts w:ascii="Arial" w:hAnsi="Arial" w:cs="Arial"/>
          <w:sz w:val="24"/>
          <w:szCs w:val="24"/>
        </w:rPr>
      </w:pPr>
    </w:p>
    <w:p w14:paraId="1DB1DE41" w14:textId="77777777" w:rsidR="004A5842" w:rsidRPr="008A3842" w:rsidRDefault="004A5842" w:rsidP="008A3842">
      <w:pPr>
        <w:spacing w:line="480" w:lineRule="auto"/>
        <w:rPr>
          <w:rFonts w:ascii="Arial" w:hAnsi="Arial" w:cs="Arial"/>
          <w:sz w:val="24"/>
          <w:szCs w:val="24"/>
        </w:rPr>
      </w:pPr>
    </w:p>
    <w:sectPr w:rsidR="004A5842" w:rsidRPr="008A3842" w:rsidSect="008A38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5964" w14:textId="77777777" w:rsidR="0010174E" w:rsidRDefault="0010174E" w:rsidP="0010174E">
      <w:pPr>
        <w:spacing w:after="0" w:line="240" w:lineRule="auto"/>
      </w:pPr>
      <w:r>
        <w:separator/>
      </w:r>
    </w:p>
  </w:endnote>
  <w:endnote w:type="continuationSeparator" w:id="0">
    <w:p w14:paraId="6208F82A" w14:textId="77777777" w:rsidR="0010174E" w:rsidRDefault="0010174E" w:rsidP="00101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F3DAE" w14:textId="77777777" w:rsidR="0010174E" w:rsidRDefault="0010174E" w:rsidP="0010174E">
      <w:pPr>
        <w:spacing w:after="0" w:line="240" w:lineRule="auto"/>
      </w:pPr>
      <w:r>
        <w:separator/>
      </w:r>
    </w:p>
  </w:footnote>
  <w:footnote w:type="continuationSeparator" w:id="0">
    <w:p w14:paraId="0B4D7243" w14:textId="77777777" w:rsidR="0010174E" w:rsidRDefault="0010174E" w:rsidP="001017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42"/>
    <w:rsid w:val="00065C66"/>
    <w:rsid w:val="0008566F"/>
    <w:rsid w:val="00094D3E"/>
    <w:rsid w:val="0010174E"/>
    <w:rsid w:val="001042A5"/>
    <w:rsid w:val="00141AED"/>
    <w:rsid w:val="0016114A"/>
    <w:rsid w:val="00165F22"/>
    <w:rsid w:val="0018047C"/>
    <w:rsid w:val="001D6663"/>
    <w:rsid w:val="00272192"/>
    <w:rsid w:val="00330D45"/>
    <w:rsid w:val="003A68F7"/>
    <w:rsid w:val="003A79C9"/>
    <w:rsid w:val="00453A44"/>
    <w:rsid w:val="00473C25"/>
    <w:rsid w:val="00497808"/>
    <w:rsid w:val="004A5842"/>
    <w:rsid w:val="007C1429"/>
    <w:rsid w:val="007F4144"/>
    <w:rsid w:val="008142FB"/>
    <w:rsid w:val="00816972"/>
    <w:rsid w:val="008409DF"/>
    <w:rsid w:val="00862E56"/>
    <w:rsid w:val="008A3842"/>
    <w:rsid w:val="008A4D47"/>
    <w:rsid w:val="008C5376"/>
    <w:rsid w:val="008D34EB"/>
    <w:rsid w:val="00944BA9"/>
    <w:rsid w:val="009767DB"/>
    <w:rsid w:val="009E07E7"/>
    <w:rsid w:val="00AD25D1"/>
    <w:rsid w:val="00B17012"/>
    <w:rsid w:val="00B3786A"/>
    <w:rsid w:val="00B57DCF"/>
    <w:rsid w:val="00BB22B0"/>
    <w:rsid w:val="00BF6739"/>
    <w:rsid w:val="00C34255"/>
    <w:rsid w:val="00C42953"/>
    <w:rsid w:val="00CE354F"/>
    <w:rsid w:val="00DB5FCC"/>
    <w:rsid w:val="00DC3A64"/>
    <w:rsid w:val="00DE71E6"/>
    <w:rsid w:val="00E22428"/>
    <w:rsid w:val="00E761D9"/>
    <w:rsid w:val="00EB7218"/>
    <w:rsid w:val="00ED1879"/>
    <w:rsid w:val="00FC0E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5479C"/>
  <w15:chartTrackingRefBased/>
  <w15:docId w15:val="{70B34291-1C62-4DD5-A683-D43D5DB8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384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A3842"/>
    <w:rPr>
      <w:rFonts w:eastAsiaTheme="minorEastAsia"/>
      <w:kern w:val="0"/>
      <w:lang w:eastAsia="en-GB"/>
      <w14:ligatures w14:val="none"/>
    </w:rPr>
  </w:style>
  <w:style w:type="character" w:styleId="Hyperlink">
    <w:name w:val="Hyperlink"/>
    <w:basedOn w:val="DefaultParagraphFont"/>
    <w:uiPriority w:val="99"/>
    <w:unhideWhenUsed/>
    <w:rsid w:val="0018047C"/>
    <w:rPr>
      <w:color w:val="0563C1" w:themeColor="hyperlink"/>
      <w:u w:val="single"/>
    </w:rPr>
  </w:style>
  <w:style w:type="character" w:styleId="UnresolvedMention">
    <w:name w:val="Unresolved Mention"/>
    <w:basedOn w:val="DefaultParagraphFont"/>
    <w:uiPriority w:val="99"/>
    <w:semiHidden/>
    <w:unhideWhenUsed/>
    <w:rsid w:val="0018047C"/>
    <w:rPr>
      <w:color w:val="605E5C"/>
      <w:shd w:val="clear" w:color="auto" w:fill="E1DFDD"/>
    </w:rPr>
  </w:style>
  <w:style w:type="paragraph" w:styleId="Header">
    <w:name w:val="header"/>
    <w:basedOn w:val="Normal"/>
    <w:link w:val="HeaderChar"/>
    <w:uiPriority w:val="99"/>
    <w:unhideWhenUsed/>
    <w:rsid w:val="00101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74E"/>
  </w:style>
  <w:style w:type="paragraph" w:styleId="Footer">
    <w:name w:val="footer"/>
    <w:basedOn w:val="Normal"/>
    <w:link w:val="FooterChar"/>
    <w:uiPriority w:val="99"/>
    <w:unhideWhenUsed/>
    <w:rsid w:val="00101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ublications.parliament.uk/pa/ld199697/idjudgmt/jd970501/elitesol.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almatch.com/law-library/article/silence-as-acceptance-in-contract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k.practicallaw.thomsonreuters.com/7-101-5276?transitiontype=default&amp;contextdata=(sc.default)&amp;firstpage=true" TargetMode="External"/><Relationship Id="rId4" Type="http://schemas.openxmlformats.org/officeDocument/2006/relationships/webSettings" Target="webSettings.xml"/><Relationship Id="rId9" Type="http://schemas.openxmlformats.org/officeDocument/2006/relationships/hyperlink" Target="https://www.brownejacobson.com/insights/capitol-park-leeds-plc-and-another-v-global-radio-service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6F201148152472EB5988AEFA55EF375"/>
        <w:category>
          <w:name w:val="General"/>
          <w:gallery w:val="placeholder"/>
        </w:category>
        <w:types>
          <w:type w:val="bbPlcHdr"/>
        </w:types>
        <w:behaviors>
          <w:behavior w:val="content"/>
        </w:behaviors>
        <w:guid w:val="{68672F38-704D-4D10-BEBA-72DA8DACF450}"/>
      </w:docPartPr>
      <w:docPartBody>
        <w:p w:rsidR="005E7EFC" w:rsidRDefault="005E7EFC" w:rsidP="005E7EFC">
          <w:pPr>
            <w:pStyle w:val="66F201148152472EB5988AEFA55EF375"/>
          </w:pPr>
          <w:r>
            <w:rPr>
              <w:rFonts w:asciiTheme="majorHAnsi" w:eastAsiaTheme="majorEastAsia" w:hAnsiTheme="majorHAnsi" w:cstheme="majorBidi"/>
              <w:caps/>
              <w:color w:val="4472C4" w:themeColor="accent1"/>
              <w:sz w:val="80"/>
              <w:szCs w:val="80"/>
            </w:rPr>
            <w:t>[Document title]</w:t>
          </w:r>
        </w:p>
      </w:docPartBody>
    </w:docPart>
    <w:docPart>
      <w:docPartPr>
        <w:name w:val="5C50E8842E544E19B942E7FEE9F34B20"/>
        <w:category>
          <w:name w:val="General"/>
          <w:gallery w:val="placeholder"/>
        </w:category>
        <w:types>
          <w:type w:val="bbPlcHdr"/>
        </w:types>
        <w:behaviors>
          <w:behavior w:val="content"/>
        </w:behaviors>
        <w:guid w:val="{6E0EC3DA-B17C-4AD1-943A-D19C95B8D273}"/>
      </w:docPartPr>
      <w:docPartBody>
        <w:p w:rsidR="005E7EFC" w:rsidRDefault="005E7EFC" w:rsidP="005E7EFC">
          <w:pPr>
            <w:pStyle w:val="5C50E8842E544E19B942E7FEE9F34B2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FC"/>
    <w:rsid w:val="005E7E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F201148152472EB5988AEFA55EF375">
    <w:name w:val="66F201148152472EB5988AEFA55EF375"/>
    <w:rsid w:val="005E7EFC"/>
  </w:style>
  <w:style w:type="paragraph" w:customStyle="1" w:styleId="5C50E8842E544E19B942E7FEE9F34B20">
    <w:name w:val="5C50E8842E544E19B942E7FEE9F34B20"/>
    <w:rsid w:val="005E7E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2023-12-03T00:00:00</PublishDate>
  <Abstract/>
  <CompanyAddress>BMLW6008.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2233</Words>
  <Characters>12733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Property Law.</vt:lpstr>
    </vt:vector>
  </TitlesOfParts>
  <Company>Melenie Jane Box.</Company>
  <LinksUpToDate>false</LinksUpToDate>
  <CharactersWithSpaces>14937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Property Law.</dc:title>
  <dc:subject/>
  <dc:creator>Melenie Jane Box</dc:creator>
  <cp:keywords/>
  <dc:description/>
  <cp:lastModifiedBy>Mel Box (2003707)</cp:lastModifiedBy>
  <cp:revision>2</cp:revision>
  <dcterms:created xsi:type="dcterms:W3CDTF">2023-12-14T10:15:00Z</dcterms:created>
  <dcterms:modified xsi:type="dcterms:W3CDTF">2023-12-14T10:15:00Z</dcterms:modified>
</cp:coreProperties>
</file>